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HEMORROIDECTOMIA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gfhfd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fdghfdg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fghfdgh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fghfdgh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/>
              <w:t xml:space="preserve">fghfdg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>
              <w:rPr/>
              <w:t xml:space="preserve">gfhfg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  <w:r>
              <w:rPr/>
              <w:t xml:space="preserve">hfghf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