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Federico Eleno Amaya Diaz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749872984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ENDOSCOPIA ADULTOS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Femenino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45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X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/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X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/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