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fgdf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fdg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fdsd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dfsd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>sdfsd</w:t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sdfsd</w:t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>ssdf</w:t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PERSONAL DE ENFERMERIA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>dsfd</w:t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