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4362" w:rsidRPr="00847255" w:rsidRDefault="00CF2D3D">
      <w:pPr>
        <w:pStyle w:val="Ttulo"/>
        <w:pBdr>
          <w:top w:val="nil"/>
          <w:left w:val="nil"/>
          <w:bottom w:val="nil"/>
          <w:right w:val="nil"/>
          <w:between w:val="nil"/>
          <w:bar w:val="nil"/>
        </w:pBdr>
        <w:spacing w:before="1240" w:after="240"/>
        <w:jc w:val="center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b/>
          <w:color w:val="000000"/>
          <w:sz w:val="24"/>
          <w:szCs w:val="24"/>
          <w:lang w:val="es-BO"/>
        </w:rPr>
        <w:t>Documento de soporte Reto practico Modulo 5</w:t>
      </w:r>
    </w:p>
    <w:p w:rsidR="00844362" w:rsidRPr="00847255" w:rsidRDefault="00CF2D3D">
      <w:pPr>
        <w:spacing w:after="560"/>
        <w:jc w:val="center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color w:val="17365D"/>
          <w:sz w:val="24"/>
          <w:szCs w:val="24"/>
          <w:lang w:val="es-BO"/>
        </w:rPr>
        <w:t xml:space="preserve">QA Cloud </w:t>
      </w:r>
      <w:proofErr w:type="spellStart"/>
      <w:r w:rsidRPr="00847255">
        <w:rPr>
          <w:rFonts w:ascii="Times New Roman" w:hAnsi="Times New Roman" w:cs="Times New Roman"/>
          <w:color w:val="17365D"/>
          <w:sz w:val="24"/>
          <w:szCs w:val="24"/>
          <w:lang w:val="es-BO"/>
        </w:rPr>
        <w:t>Native</w:t>
      </w:r>
      <w:proofErr w:type="spellEnd"/>
      <w:r w:rsidRPr="00847255">
        <w:rPr>
          <w:rFonts w:ascii="Times New Roman" w:hAnsi="Times New Roman" w:cs="Times New Roman"/>
          <w:color w:val="17365D"/>
          <w:sz w:val="24"/>
          <w:szCs w:val="24"/>
          <w:lang w:val="es-BO"/>
        </w:rPr>
        <w:t xml:space="preserve"> </w:t>
      </w:r>
      <w:proofErr w:type="spellStart"/>
      <w:r w:rsidRPr="00847255">
        <w:rPr>
          <w:rFonts w:ascii="Times New Roman" w:hAnsi="Times New Roman" w:cs="Times New Roman"/>
          <w:color w:val="17365D"/>
          <w:sz w:val="24"/>
          <w:szCs w:val="24"/>
          <w:lang w:val="es-BO"/>
        </w:rPr>
        <w:t>Automatizacion</w:t>
      </w:r>
      <w:proofErr w:type="spellEnd"/>
      <w:r w:rsidRPr="00847255">
        <w:rPr>
          <w:rFonts w:ascii="Times New Roman" w:hAnsi="Times New Roman" w:cs="Times New Roman"/>
          <w:color w:val="17365D"/>
          <w:sz w:val="24"/>
          <w:szCs w:val="24"/>
          <w:lang w:val="es-BO"/>
        </w:rPr>
        <w:t xml:space="preserve"> Inteligente con IA Generativa</w:t>
      </w:r>
    </w:p>
    <w:p w:rsidR="00844362" w:rsidRPr="00847255" w:rsidRDefault="00CF2D3D">
      <w:pPr>
        <w:spacing w:after="100"/>
        <w:jc w:val="center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color w:val="333333"/>
          <w:sz w:val="24"/>
          <w:szCs w:val="24"/>
          <w:lang w:val="es-BO"/>
        </w:rPr>
        <w:t xml:space="preserve">Proyecto: QA Cloud </w:t>
      </w:r>
      <w:proofErr w:type="spellStart"/>
      <w:r w:rsidRPr="00847255">
        <w:rPr>
          <w:rFonts w:ascii="Times New Roman" w:hAnsi="Times New Roman" w:cs="Times New Roman"/>
          <w:color w:val="333333"/>
          <w:sz w:val="24"/>
          <w:szCs w:val="24"/>
          <w:lang w:val="es-BO"/>
        </w:rPr>
        <w:t>Native</w:t>
      </w:r>
      <w:proofErr w:type="spellEnd"/>
      <w:r w:rsidRPr="00847255">
        <w:rPr>
          <w:rFonts w:ascii="Times New Roman" w:hAnsi="Times New Roman" w:cs="Times New Roman"/>
          <w:color w:val="333333"/>
          <w:sz w:val="24"/>
          <w:szCs w:val="24"/>
          <w:lang w:val="es-BO"/>
        </w:rPr>
        <w:t xml:space="preserve"> Tienda</w:t>
      </w:r>
    </w:p>
    <w:p w:rsidR="00844362" w:rsidRPr="00847255" w:rsidRDefault="00CF2D3D">
      <w:pPr>
        <w:spacing w:after="100"/>
        <w:jc w:val="center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color w:val="333333"/>
          <w:sz w:val="24"/>
          <w:szCs w:val="24"/>
          <w:lang w:val="es-BO"/>
        </w:rPr>
        <w:t>Repositorio: https://github.com/NelsonFlores1/qa-cloud-native-tienda</w:t>
      </w:r>
    </w:p>
    <w:p w:rsidR="00844362" w:rsidRPr="00847255" w:rsidRDefault="00CF2D3D" w:rsidP="009663CB">
      <w:pPr>
        <w:spacing w:after="100"/>
        <w:jc w:val="center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color w:val="333333"/>
          <w:sz w:val="24"/>
          <w:szCs w:val="24"/>
          <w:lang w:val="es-BO"/>
        </w:rPr>
        <w:t>Estudiante: Nelson Flores</w:t>
      </w:r>
      <w:r w:rsidR="009663CB" w:rsidRPr="00847255">
        <w:rPr>
          <w:rFonts w:ascii="Times New Roman" w:hAnsi="Times New Roman" w:cs="Times New Roman"/>
          <w:color w:val="333333"/>
          <w:sz w:val="24"/>
          <w:szCs w:val="24"/>
          <w:lang w:val="es-BO"/>
        </w:rPr>
        <w:t xml:space="preserve"> </w:t>
      </w:r>
      <w:proofErr w:type="spellStart"/>
      <w:r w:rsidR="009663CB" w:rsidRPr="00847255">
        <w:rPr>
          <w:rFonts w:ascii="Times New Roman" w:hAnsi="Times New Roman" w:cs="Times New Roman"/>
          <w:color w:val="333333"/>
          <w:sz w:val="24"/>
          <w:szCs w:val="24"/>
          <w:lang w:val="es-BO"/>
        </w:rPr>
        <w:t>Fernandez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br w:type="page"/>
      </w:r>
    </w:p>
    <w:p w:rsidR="00844362" w:rsidRPr="001D4C97" w:rsidRDefault="00CF2D3D">
      <w:pPr>
        <w:pStyle w:val="Ttulo1"/>
        <w:spacing w:before="280" w:after="120"/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</w:pPr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lastRenderedPageBreak/>
        <w:t>Fase 1 Datos de prueba realistas</w:t>
      </w:r>
    </w:p>
    <w:p w:rsidR="00844362" w:rsidRPr="00847255" w:rsidRDefault="00CF2D3D" w:rsidP="00C84338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La fuente de verdad del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catalogo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es datos/generar-datos.js. El script fija la semilla de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Faker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en 2025, crea 24 productos y los distribuye en las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categorias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hogar,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tecnologia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>, ropa y j</w:t>
      </w:r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uguetes. Cada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categoria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define sus propios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articulos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>, rangos de precio, rangos de stock y descripciones para mantener coherencia entre los campos.</w:t>
      </w:r>
    </w:p>
    <w:p w:rsidR="00844362" w:rsidRPr="00847255" w:rsidRDefault="00C84338">
      <w:pPr>
        <w:pStyle w:val="Ttulo2"/>
        <w:spacing w:before="180" w:after="120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color w:val="000000"/>
          <w:sz w:val="24"/>
          <w:szCs w:val="24"/>
          <w:lang w:val="es-BO"/>
        </w:rPr>
        <w:t>Explica por qué NO versionas datos generados (los regenera el pipeline).</w:t>
      </w:r>
    </w:p>
    <w:p w:rsidR="00C84338" w:rsidRPr="00847255" w:rsidRDefault="00C84338" w:rsidP="00C84338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No versiono los datos generados porque son un artefacto derivado del script generar-datos.js, no la fuente de verdad. El pipeline los regenera en cada ejecución usando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Faker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con una semilla fija, por lo que el catálogo es siempre reproducible.</w:t>
      </w:r>
    </w:p>
    <w:p w:rsidR="00844362" w:rsidRPr="00847255" w:rsidRDefault="00C84338" w:rsidP="00C84338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Esto evita guardar archivos grandes que cambian innecesariamente, reduce conflictos en Git y evita que los datos queden desactualizados respecto al generador. Se versionan el script, la semilla y el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package-</w:t>
      </w:r>
      <w:proofErr w:type="gramStart"/>
      <w:r w:rsidRPr="00847255">
        <w:rPr>
          <w:rFonts w:ascii="Times New Roman" w:hAnsi="Times New Roman" w:cs="Times New Roman"/>
          <w:sz w:val="24"/>
          <w:szCs w:val="24"/>
          <w:lang w:val="es-BO"/>
        </w:rPr>
        <w:t>lock.json</w:t>
      </w:r>
      <w:proofErr w:type="spellEnd"/>
      <w:proofErr w:type="gram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; así cualquier persona o agente del pipeline puede reconstruir exactamente el mismo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db.json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>.</w:t>
      </w:r>
    </w:p>
    <w:p w:rsidR="00844362" w:rsidRPr="001D4C97" w:rsidRDefault="00CF2D3D">
      <w:pPr>
        <w:pStyle w:val="Ttulo1"/>
        <w:spacing w:before="280" w:after="120"/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</w:pPr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 xml:space="preserve">Fase 2 Pipeline CI CD con </w:t>
      </w:r>
      <w:proofErr w:type="spellStart"/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>quality</w:t>
      </w:r>
      <w:proofErr w:type="spellEnd"/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 xml:space="preserve"> </w:t>
      </w:r>
      <w:proofErr w:type="spellStart"/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>gates</w:t>
      </w:r>
      <w:proofErr w:type="spellEnd"/>
    </w:p>
    <w:p w:rsidR="00844362" w:rsidRPr="00847255" w:rsidRDefault="00CF2D3D" w:rsidP="00C84338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El archivo </w:t>
      </w:r>
      <w:r w:rsidRPr="00847255">
        <w:rPr>
          <w:rFonts w:ascii="Times New Roman" w:hAnsi="Times New Roman" w:cs="Times New Roman"/>
          <w:sz w:val="24"/>
          <w:szCs w:val="24"/>
          <w:lang w:val="es-BO"/>
        </w:rPr>
        <w:t>pipeline/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azure-pipelines.yml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define cinco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stages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.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Build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instala dependencias y genera los datos.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SmokeTests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valida que la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aplicacion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este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disponible.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LoadTest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evalua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el SLA. E2E ejecuta los escenarios BDD y publica sus resultados.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Deploy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es simulado y solo</w:t>
      </w:r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se ejecuta si todos los </w:t>
      </w:r>
      <w:proofErr w:type="spellStart"/>
      <w:r w:rsidRPr="00847255">
        <w:rPr>
          <w:rFonts w:ascii="Times New Roman" w:hAnsi="Times New Roman" w:cs="Times New Roman"/>
          <w:sz w:val="24"/>
          <w:szCs w:val="24"/>
          <w:lang w:val="es-BO"/>
        </w:rPr>
        <w:t>gates</w:t>
      </w:r>
      <w:proofErr w:type="spellEnd"/>
      <w:r w:rsidRPr="00847255">
        <w:rPr>
          <w:rFonts w:ascii="Times New Roman" w:hAnsi="Times New Roman" w:cs="Times New Roman"/>
          <w:sz w:val="24"/>
          <w:szCs w:val="24"/>
          <w:lang w:val="es-BO"/>
        </w:rPr>
        <w:t xml:space="preserve"> anteriores terminan correctamente.</w:t>
      </w:r>
    </w:p>
    <w:p w:rsidR="00471305" w:rsidRPr="00847255" w:rsidRDefault="0047130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drawing>
          <wp:inline distT="0" distB="0" distL="0" distR="0" wp14:anchorId="0409C16B" wp14:editId="71146FBD">
            <wp:extent cx="6332220" cy="16694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0C5" w:rsidRPr="00847255" w:rsidRDefault="000240C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drawing>
          <wp:inline distT="0" distB="0" distL="0" distR="0" wp14:anchorId="5FF4E77E" wp14:editId="1BB5EE7F">
            <wp:extent cx="6332220" cy="11563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0C5" w:rsidRPr="00847255" w:rsidRDefault="000240C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lastRenderedPageBreak/>
        <w:drawing>
          <wp:inline distT="0" distB="0" distL="0" distR="0" wp14:anchorId="00FD8839" wp14:editId="03D972BF">
            <wp:extent cx="6332220" cy="342011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0C5" w:rsidRPr="00847255" w:rsidRDefault="000240C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rFonts w:ascii="Times New Roman" w:hAnsi="Times New Roman" w:cs="Times New Roman"/>
          <w:sz w:val="24"/>
          <w:szCs w:val="24"/>
          <w:lang w:val="es-BO"/>
        </w:rPr>
      </w:pPr>
    </w:p>
    <w:p w:rsidR="000240C5" w:rsidRPr="00847255" w:rsidRDefault="000240C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t>CORRIDA EN ROJO</w:t>
      </w:r>
    </w:p>
    <w:p w:rsidR="000240C5" w:rsidRPr="00847255" w:rsidRDefault="000240C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drawing>
          <wp:inline distT="0" distB="0" distL="0" distR="0" wp14:anchorId="46E4C617" wp14:editId="6A8035E9">
            <wp:extent cx="6332220" cy="334772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0C5" w:rsidRPr="00847255" w:rsidRDefault="000240C5" w:rsidP="00471305">
      <w:pPr>
        <w:pStyle w:val="Listaconvietas"/>
        <w:numPr>
          <w:ilvl w:val="0"/>
          <w:numId w:val="0"/>
        </w:numPr>
        <w:spacing w:after="60" w:line="264" w:lineRule="auto"/>
        <w:ind w:left="360" w:hanging="360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lastRenderedPageBreak/>
        <w:drawing>
          <wp:inline distT="0" distB="0" distL="0" distR="0" wp14:anchorId="099B6C98" wp14:editId="3CADF221">
            <wp:extent cx="6332220" cy="346138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362" w:rsidRPr="001D4C97" w:rsidRDefault="00CF2D3D">
      <w:pPr>
        <w:pStyle w:val="Ttulo1"/>
        <w:spacing w:before="280" w:after="120"/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</w:pPr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>Fase 3 Del caso manual al automatizado con IA</w:t>
      </w:r>
    </w:p>
    <w:p w:rsidR="00844362" w:rsidRPr="00847255" w:rsidRDefault="000240C5" w:rsidP="000240C5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drawing>
          <wp:inline distT="0" distB="0" distL="0" distR="0" wp14:anchorId="46469E29" wp14:editId="4C3D6983">
            <wp:extent cx="6332220" cy="440626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255" w:rsidRPr="001D4C97" w:rsidRDefault="00CF2D3D" w:rsidP="00847255">
      <w:pPr>
        <w:pStyle w:val="Ttulo1"/>
        <w:tabs>
          <w:tab w:val="left" w:pos="4507"/>
        </w:tabs>
        <w:spacing w:before="280" w:after="120"/>
        <w:rPr>
          <w:rFonts w:ascii="Times New Roman" w:hAnsi="Times New Roman" w:cs="Times New Roman"/>
          <w:color w:val="000000"/>
          <w:sz w:val="24"/>
          <w:szCs w:val="24"/>
          <w:u w:val="single"/>
          <w:lang w:val="es-BO"/>
        </w:rPr>
      </w:pPr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lastRenderedPageBreak/>
        <w:t xml:space="preserve">Fase 4 </w:t>
      </w:r>
      <w:proofErr w:type="spellStart"/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>Ejecucion</w:t>
      </w:r>
      <w:proofErr w:type="spellEnd"/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 xml:space="preserve"> en la nube</w:t>
      </w:r>
    </w:p>
    <w:p w:rsidR="00847255" w:rsidRPr="00847255" w:rsidRDefault="00847255" w:rsidP="00847255">
      <w:pPr>
        <w:pStyle w:val="Default"/>
        <w:rPr>
          <w:rFonts w:ascii="Times New Roman" w:hAnsi="Times New Roman" w:cs="Times New Roman"/>
        </w:rPr>
      </w:pPr>
      <w:r w:rsidRPr="00847255">
        <w:rPr>
          <w:rFonts w:ascii="Times New Roman" w:hAnsi="Times New Roman" w:cs="Times New Roman"/>
          <w:highlight w:val="yellow"/>
        </w:rPr>
        <w:t>Demo guiada: si no hay cuenta, evidencia con capturas la configuración y el código listo para conectarse</w:t>
      </w:r>
      <w:r w:rsidRPr="00847255">
        <w:rPr>
          <w:rFonts w:ascii="Times New Roman" w:hAnsi="Times New Roman" w:cs="Times New Roman"/>
        </w:rPr>
        <w:t xml:space="preserve"> </w:t>
      </w:r>
    </w:p>
    <w:p w:rsidR="00844362" w:rsidRPr="00847255" w:rsidRDefault="00B520FB">
      <w:pPr>
        <w:spacing w:after="60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drawing>
          <wp:inline distT="0" distB="0" distL="0" distR="0" wp14:anchorId="6C7C1A75" wp14:editId="1150F3EE">
            <wp:extent cx="6332220" cy="39814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0FB" w:rsidRPr="00847255" w:rsidRDefault="00B520FB">
      <w:pPr>
        <w:spacing w:after="60"/>
        <w:rPr>
          <w:rFonts w:ascii="Times New Roman" w:hAnsi="Times New Roman" w:cs="Times New Roman"/>
          <w:sz w:val="24"/>
          <w:szCs w:val="24"/>
          <w:lang w:val="es-BO"/>
        </w:rPr>
      </w:pPr>
      <w:r w:rsidRPr="00847255">
        <w:rPr>
          <w:rFonts w:ascii="Times New Roman" w:hAnsi="Times New Roman" w:cs="Times New Roman"/>
          <w:sz w:val="24"/>
          <w:szCs w:val="24"/>
          <w:lang w:val="es-BO"/>
        </w:rPr>
        <w:drawing>
          <wp:inline distT="0" distB="0" distL="0" distR="0" wp14:anchorId="59C59A6D" wp14:editId="5F2F1F8F">
            <wp:extent cx="6332220" cy="313944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C97" w:rsidRDefault="001D4C97">
      <w:pPr>
        <w:pStyle w:val="Ttulo1"/>
        <w:spacing w:before="280" w:after="120"/>
        <w:rPr>
          <w:rFonts w:ascii="Times New Roman" w:hAnsi="Times New Roman" w:cs="Times New Roman"/>
          <w:color w:val="000000"/>
          <w:sz w:val="24"/>
          <w:szCs w:val="24"/>
          <w:lang w:val="es-BO"/>
        </w:rPr>
      </w:pPr>
    </w:p>
    <w:p w:rsidR="00A047C8" w:rsidRPr="001D4C97" w:rsidRDefault="00CF2D3D" w:rsidP="001D4C97">
      <w:pPr>
        <w:pStyle w:val="Ttulo1"/>
        <w:spacing w:before="280" w:after="120"/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</w:pPr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 xml:space="preserve">Fase 5 Contenedores y </w:t>
      </w:r>
      <w:proofErr w:type="spellStart"/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>contract</w:t>
      </w:r>
      <w:proofErr w:type="spellEnd"/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 xml:space="preserve"> </w:t>
      </w:r>
      <w:proofErr w:type="spellStart"/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>testing</w:t>
      </w:r>
      <w:proofErr w:type="spellEnd"/>
    </w:p>
    <w:p w:rsidR="00A047C8" w:rsidRPr="00A047C8" w:rsidRDefault="00A047C8" w:rsidP="00A047C8">
      <w:pPr>
        <w:rPr>
          <w:lang w:val="es-BO"/>
        </w:rPr>
      </w:pPr>
      <w:r>
        <w:rPr>
          <w:lang w:val="es-BO"/>
        </w:rPr>
        <w:t>Contenedor corriendo en local</w:t>
      </w:r>
    </w:p>
    <w:p w:rsidR="00844362" w:rsidRDefault="008C5ECD" w:rsidP="008C5ECD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 w:rsidRPr="008C5ECD">
        <w:rPr>
          <w:rFonts w:ascii="Times New Roman" w:hAnsi="Times New Roman" w:cs="Times New Roman"/>
          <w:sz w:val="24"/>
          <w:szCs w:val="24"/>
          <w:lang w:val="es-BO"/>
        </w:rPr>
        <w:drawing>
          <wp:inline distT="0" distB="0" distL="0" distR="0" wp14:anchorId="35148F8F" wp14:editId="1E23F838">
            <wp:extent cx="6332220" cy="176720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509" w:rsidRDefault="00994509" w:rsidP="008C5ECD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 w:rsidRPr="00994509">
        <w:rPr>
          <w:rFonts w:ascii="Times New Roman" w:hAnsi="Times New Roman" w:cs="Times New Roman"/>
          <w:sz w:val="24"/>
          <w:szCs w:val="24"/>
          <w:lang w:val="es-BO"/>
        </w:rPr>
        <w:drawing>
          <wp:inline distT="0" distB="0" distL="0" distR="0" wp14:anchorId="68B77059" wp14:editId="4FE8E1D3">
            <wp:extent cx="6332220" cy="1694180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7C8" w:rsidRDefault="00A047C8" w:rsidP="008C5ECD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>
        <w:rPr>
          <w:rFonts w:ascii="Times New Roman" w:hAnsi="Times New Roman" w:cs="Times New Roman"/>
          <w:sz w:val="24"/>
          <w:szCs w:val="24"/>
          <w:lang w:val="es-BO"/>
        </w:rPr>
        <w:t>Contenedor corriendo en ACR</w:t>
      </w:r>
    </w:p>
    <w:p w:rsidR="00B249FA" w:rsidRPr="001D4C97" w:rsidRDefault="001D4C97" w:rsidP="008C5ECD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 w:rsidRPr="001D4C97">
        <w:rPr>
          <w:rFonts w:ascii="Times New Roman" w:hAnsi="Times New Roman" w:cs="Times New Roman"/>
          <w:sz w:val="24"/>
          <w:szCs w:val="24"/>
          <w:lang w:val="es-BO"/>
        </w:rPr>
        <w:drawing>
          <wp:inline distT="0" distB="0" distL="0" distR="0" wp14:anchorId="1D81E5F4" wp14:editId="4C998F01">
            <wp:extent cx="6332220" cy="164084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FA" w:rsidRDefault="00B249FA" w:rsidP="008C5ECD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BO"/>
        </w:rPr>
        <w:t>Pact</w:t>
      </w:r>
      <w:proofErr w:type="spellEnd"/>
      <w:r>
        <w:rPr>
          <w:rFonts w:ascii="Times New Roman" w:hAnsi="Times New Roman" w:cs="Times New Roman"/>
          <w:sz w:val="24"/>
          <w:szCs w:val="24"/>
          <w:lang w:val="es-BO"/>
        </w:rPr>
        <w:t xml:space="preserve"> generado y </w:t>
      </w:r>
      <w:proofErr w:type="spellStart"/>
      <w:r>
        <w:rPr>
          <w:rFonts w:ascii="Times New Roman" w:hAnsi="Times New Roman" w:cs="Times New Roman"/>
          <w:sz w:val="24"/>
          <w:szCs w:val="24"/>
          <w:lang w:val="es-BO"/>
        </w:rPr>
        <w:t>provider</w:t>
      </w:r>
      <w:proofErr w:type="spellEnd"/>
      <w:r>
        <w:rPr>
          <w:rFonts w:ascii="Times New Roman" w:hAnsi="Times New Roman" w:cs="Times New Roman"/>
          <w:sz w:val="24"/>
          <w:szCs w:val="24"/>
          <w:lang w:val="es-BO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s-BO"/>
        </w:rPr>
        <w:t>consumer</w:t>
      </w:r>
      <w:proofErr w:type="spellEnd"/>
      <w:r>
        <w:rPr>
          <w:rFonts w:ascii="Times New Roman" w:hAnsi="Times New Roman" w:cs="Times New Roman"/>
          <w:sz w:val="24"/>
          <w:szCs w:val="24"/>
          <w:lang w:val="es-BO"/>
        </w:rPr>
        <w:t xml:space="preserve"> en verde</w:t>
      </w:r>
    </w:p>
    <w:p w:rsidR="00A047C8" w:rsidRDefault="00B249FA" w:rsidP="008C5ECD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 w:rsidRPr="00B249FA">
        <w:rPr>
          <w:rFonts w:ascii="Times New Roman" w:hAnsi="Times New Roman" w:cs="Times New Roman"/>
          <w:sz w:val="24"/>
          <w:szCs w:val="24"/>
          <w:lang w:val="es-BO"/>
        </w:rPr>
        <w:drawing>
          <wp:inline distT="0" distB="0" distL="0" distR="0" wp14:anchorId="7AC29042" wp14:editId="4C15643A">
            <wp:extent cx="6332220" cy="10166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FA" w:rsidRDefault="00B249FA" w:rsidP="008C5ECD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  <w:r w:rsidRPr="00B249FA">
        <w:rPr>
          <w:rFonts w:ascii="Times New Roman" w:hAnsi="Times New Roman" w:cs="Times New Roman"/>
          <w:sz w:val="24"/>
          <w:szCs w:val="24"/>
          <w:lang w:val="es-BO"/>
        </w:rPr>
        <w:lastRenderedPageBreak/>
        <w:drawing>
          <wp:inline distT="0" distB="0" distL="0" distR="0" wp14:anchorId="0B54D142" wp14:editId="670642EF">
            <wp:extent cx="6332220" cy="2397125"/>
            <wp:effectExtent l="0" t="0" r="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FA" w:rsidRPr="00847255" w:rsidRDefault="00B249FA" w:rsidP="008C5ECD">
      <w:pPr>
        <w:spacing w:after="120" w:line="271" w:lineRule="auto"/>
        <w:rPr>
          <w:rFonts w:ascii="Times New Roman" w:hAnsi="Times New Roman" w:cs="Times New Roman"/>
          <w:sz w:val="24"/>
          <w:szCs w:val="24"/>
          <w:lang w:val="es-BO"/>
        </w:rPr>
      </w:pPr>
    </w:p>
    <w:p w:rsidR="00844362" w:rsidRDefault="00CF2D3D">
      <w:pPr>
        <w:pStyle w:val="Ttulo1"/>
        <w:spacing w:before="280" w:after="120"/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</w:pPr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 xml:space="preserve">Fase 6 </w:t>
      </w:r>
      <w:proofErr w:type="spellStart"/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>Metricas</w:t>
      </w:r>
      <w:proofErr w:type="spellEnd"/>
      <w:r w:rsidRPr="001D4C97">
        <w:rPr>
          <w:rFonts w:ascii="Times New Roman" w:hAnsi="Times New Roman" w:cs="Times New Roman"/>
          <w:color w:val="1F497D" w:themeColor="text2"/>
          <w:sz w:val="24"/>
          <w:szCs w:val="24"/>
          <w:u w:val="single"/>
          <w:lang w:val="es-BO"/>
        </w:rPr>
        <w:t xml:space="preserve"> y estrategia</w:t>
      </w:r>
    </w:p>
    <w:p w:rsidR="00C2649E" w:rsidRDefault="00C2649E" w:rsidP="00C2649E">
      <w:pPr>
        <w:rPr>
          <w:lang w:val="es-BO"/>
        </w:rPr>
      </w:pPr>
    </w:p>
    <w:p w:rsidR="00C2649E" w:rsidRPr="00C2649E" w:rsidRDefault="00C2649E" w:rsidP="00C2649E">
      <w:pPr>
        <w:rPr>
          <w:lang w:val="es-BO"/>
        </w:rPr>
      </w:pPr>
      <w:bookmarkStart w:id="0" w:name="_GoBack"/>
      <w:bookmarkEnd w:id="0"/>
    </w:p>
    <w:p>
      <w:pPr>
        <w:spacing w:after="120" w:line="259" w:lineRule="auto"/>
      </w:pPr>
      <w:r>
        <w:t>La fase 6 consolida la evidencia obtenida en el reto y define una linea base de mejora continua. Las metricas se interpretan como indicadores academicos del flujo CI/CD: el proyecto no realiza despliegues a produccion y el stage Deploy permanece simulado.</w:t>
      </w:r>
    </w:p>
    <w:p>
      <w:pPr>
        <w:pStyle w:val="Ttulo2"/>
      </w:pPr>
      <w:r>
        <w:t>Indicadores DORA</w:t>
      </w:r>
    </w:p>
    <w:p>
      <w:pPr>
        <w:spacing w:after="120" w:line="259" w:lineRule="auto"/>
      </w:pPr>
      <w:r>
        <w:t>Los indicadores DORA permiten observar la velocidad y estabilidad del flujo. Para no presentar datos de produccion inexistentes como si fueran reales, se separan la evidencia de clase, la forma de medicion y las metas propuestas.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10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Linea base del reto</w:t>
            </w:r>
          </w:p>
        </w:tc>
        <w:tc>
          <w:tcPr>
            <w:tcW w:type="dxa" w:w="290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Como se medira</w:t>
            </w:r>
          </w:p>
        </w:tc>
        <w:tc>
          <w:tcPr>
            <w:tcW w:type="dxa" w:w="25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Meta inicial</w:t>
            </w:r>
          </w:p>
        </w:tc>
      </w:tr>
      <w:tr>
        <w:tc>
          <w:tcPr>
            <w:tcW w:type="dxa" w:w="15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Frecuencia de entrega</w:t>
            </w:r>
          </w:p>
        </w:tc>
        <w:tc>
          <w:tcPr>
            <w:tcW w:type="dxa" w:w="31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Una imagen tienda-qa publicada en ACR con el tag 7. El Deploy es simulado.</w:t>
            </w:r>
          </w:p>
        </w:tc>
        <w:tc>
          <w:tcPr>
            <w:tcW w:type="dxa" w:w="2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Conteo de publicaciones exitosas en ACR por semana.</w:t>
            </w:r>
          </w:p>
        </w:tc>
        <w:tc>
          <w:tcPr>
            <w:tcW w:type="dxa" w:w="25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Al menos una publicacion por semana cuando haya cambios aprobados.</w:t>
            </w:r>
          </w:p>
        </w:tc>
      </w:tr>
      <w:tr>
        <w:tc>
          <w:tcPr>
            <w:tcW w:type="dxa" w:w="1560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Lead time for changes</w:t>
            </w:r>
          </w:p>
        </w:tc>
        <w:tc>
          <w:tcPr>
            <w:tcW w:type="dxa" w:w="3100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La ejecucion completa con gates verdes tomo aproximadamente 7 min 37 s.</w:t>
            </w:r>
          </w:p>
        </w:tc>
        <w:tc>
          <w:tcPr>
            <w:tcW w:type="dxa" w:w="2900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Tiempo entre el commit y la publicacion verde de la imagen.</w:t>
            </w:r>
          </w:p>
        </w:tc>
        <w:tc>
          <w:tcPr>
            <w:tcW w:type="dxa" w:w="2560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Menor o igual a 10 minutos para cambios de bajo riesgo.</w:t>
            </w:r>
          </w:p>
        </w:tc>
      </w:tr>
      <w:tr>
        <w:tc>
          <w:tcPr>
            <w:tcW w:type="dxa" w:w="15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Tasa de fallos de cambio</w:t>
            </w:r>
          </w:p>
        </w:tc>
        <w:tc>
          <w:tcPr>
            <w:tcW w:type="dxa" w:w="31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Se detectaron dos fallos de configuracion en fase 5: dependencia Express ausente y ACR Tasks restringido.</w:t>
            </w:r>
          </w:p>
        </w:tc>
        <w:tc>
          <w:tcPr>
            <w:tcW w:type="dxa" w:w="2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Cambios que requieren correccion despues de CI dividido entre cambios publicados.</w:t>
            </w:r>
          </w:p>
        </w:tc>
        <w:tc>
          <w:tcPr>
            <w:tcW w:type="dxa" w:w="25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Menor o igual a 15 por ciento; excluir ejercicios de aprendizaje del indicador de produccion.</w:t>
            </w:r>
          </w:p>
        </w:tc>
      </w:tr>
      <w:tr>
        <w:tc>
          <w:tcPr>
            <w:tcW w:type="dxa" w:w="1560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MTTR</w:t>
            </w:r>
          </w:p>
        </w:tc>
        <w:tc>
          <w:tcPr>
            <w:tcW w:type="dxa" w:w="3100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No hubo incidentes de produccion. Los fallos de CI se corrigieron antes de publicar la imagen.</w:t>
            </w:r>
          </w:p>
        </w:tc>
        <w:tc>
          <w:tcPr>
            <w:tcW w:type="dxa" w:w="2900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Tiempo desde el primer pipeline rojo hasta la primera corrida verde posterior.</w:t>
            </w:r>
          </w:p>
        </w:tc>
        <w:tc>
          <w:tcPr>
            <w:tcW w:type="dxa" w:w="2560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Registrar cada recuperacion y reducir el tiempo en iteraciones posteriores.</w:t>
            </w:r>
          </w:p>
        </w:tc>
      </w:tr>
    </w:tbl>
    <w:p/>
    <w:p>
      <w:pPr>
        <w:pStyle w:val="Ttulo2"/>
      </w:pPr>
      <w:r>
        <w:t>Piramide de pruebas actual</w:t>
      </w:r>
    </w:p>
    <w:p>
      <w:pPr>
        <w:spacing w:after="120" w:line="259" w:lineRule="auto"/>
      </w:pPr>
      <w:r>
        <w:t>La suite valida el flujo de mayor valor mediante pruebas de humo, carga, E2E y contrato. La principal oportunidad de mejora es aumentar la base de pruebas unitarias para reducir la dependencia de pruebas E2E mas lentas y sensibles a la interfaz.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68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type="dxa" w:w="390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Evidencia implementada</w:t>
            </w:r>
          </w:p>
        </w:tc>
        <w:tc>
          <w:tcPr>
            <w:tcW w:type="dxa" w:w="454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Cobertura y decision</w:t>
            </w:r>
          </w:p>
        </w:tc>
      </w:tr>
      <w:tr>
        <w:tc>
          <w:tcPr>
            <w:tcW w:type="dxa" w:w="1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Unitarias</w:t>
            </w:r>
          </w:p>
        </w:tc>
        <w:tc>
          <w:tcPr>
            <w:tcW w:type="dxa" w:w="3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No hay una suite unitaria dedicada.</w:t>
            </w:r>
          </w:p>
        </w:tc>
        <w:tc>
          <w:tcPr>
            <w:tcW w:type="dxa" w:w="45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Agregar pruebas al generador de datos y a las reglas de rutas API antes de ampliar la interfaz.</w:t>
            </w:r>
          </w:p>
        </w:tc>
      </w:tr>
      <w:tr>
        <w:tc>
          <w:tcPr>
            <w:tcW w:type="dxa" w:w="1680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API y contrato</w:t>
            </w:r>
          </w:p>
        </w:tc>
        <w:tc>
          <w:tcPr>
            <w:tcW w:type="dxa" w:w="3900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Smoke API y un contrato Pact para GET /api/productos.</w:t>
            </w:r>
          </w:p>
        </w:tc>
        <w:tc>
          <w:tcPr>
            <w:tcW w:type="dxa" w:w="4540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Valida disponibilidad, respuesta funcional y compatibilidad consumidor-proveedor.</w:t>
            </w:r>
          </w:p>
        </w:tc>
      </w:tr>
      <w:tr>
        <w:tc>
          <w:tcPr>
            <w:tcW w:type="dxa" w:w="1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E2E</w:t>
            </w:r>
          </w:p>
        </w:tc>
        <w:tc>
          <w:tcPr>
            <w:tcW w:type="dxa" w:w="3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Siete escenarios pytest-bdd con Playwright y Screenplay.</w:t>
            </w:r>
          </w:p>
        </w:tc>
        <w:tc>
          <w:tcPr>
            <w:tcW w:type="dxa" w:w="45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Cubre catalogo, carrito, pedido y tres casos de borde; se mantiene para rutas criticas.</w:t>
            </w:r>
          </w:p>
        </w:tc>
      </w:tr>
      <w:tr>
        <w:tc>
          <w:tcPr>
            <w:tcW w:type="dxa" w:w="1680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No funcional</w:t>
            </w:r>
          </w:p>
        </w:tc>
        <w:tc>
          <w:tcPr>
            <w:tcW w:type="dxa" w:w="3900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Gate de carga con SLA de p95 y tasa de error.</w:t>
            </w:r>
          </w:p>
        </w:tc>
        <w:tc>
          <w:tcPr>
            <w:tcW w:type="dxa" w:w="4540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Evita promover cambios que degraden el rendimiento acordado.</w:t>
            </w:r>
          </w:p>
        </w:tc>
      </w:tr>
    </w:tbl>
    <w:p/>
    <w:p>
      <w:pPr>
        <w:pStyle w:val="Ttulo2"/>
      </w:pPr>
      <w:r>
        <w:t>Riesgos y mitigaciones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0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310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45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7"/>
              </w:rPr>
              <w:t>Mitigacion aplicada o propuesta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Suscripcion educativa bloquea ACR Tasks.</w:t>
            </w:r>
          </w:p>
        </w:tc>
        <w:tc>
          <w:tcPr>
            <w:tcW w:type="dxa" w:w="31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No se podia usar az acr build para publicar la imagen.</w:t>
            </w:r>
          </w:p>
        </w:tc>
        <w:tc>
          <w:tcPr>
            <w:tcW w:type="dxa" w:w="4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El pipeline construye en el agente y publica con docker push usando la conexion sc-tienda-acr y el rol AcrPush.</w:t>
            </w:r>
          </w:p>
        </w:tc>
      </w:tr>
      <w:tr>
        <w:tc>
          <w:tcPr>
            <w:tcW w:type="dxa" w:w="2500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Ejecucion cloud de navegadores sin cuenta Sauce Labs.</w:t>
            </w:r>
          </w:p>
        </w:tc>
        <w:tc>
          <w:tcPr>
            <w:tcW w:type="dxa" w:w="3100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No existe evidencia de una sesion remota real.</w:t>
            </w:r>
          </w:p>
        </w:tc>
        <w:tc>
          <w:tcPr>
            <w:tcW w:type="dxa" w:w="4520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Se conserva la demo guiada con capabilities, variables de entorno y stage opcional; para ejecucion real se requieren credenciales y una URL accesible.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Cobertura concentrada en E2E.</w:t>
            </w:r>
          </w:p>
        </w:tc>
        <w:tc>
          <w:tcPr>
            <w:tcW w:type="dxa" w:w="31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Los diagnosticos pueden ser mas lentos y fragiles ante cambios visuales.</w:t>
            </w:r>
          </w:p>
        </w:tc>
        <w:tc>
          <w:tcPr>
            <w:tcW w:type="dxa" w:w="4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Priorizar pruebas unitarias y de API; reservar E2E para escenarios de negocio de alto valor.</w:t>
            </w:r>
          </w:p>
        </w:tc>
      </w:tr>
      <w:tr>
        <w:tc>
          <w:tcPr>
            <w:tcW w:type="dxa" w:w="2500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Deploy simulado.</w:t>
            </w:r>
          </w:p>
        </w:tc>
        <w:tc>
          <w:tcPr>
            <w:tcW w:type="dxa" w:w="3100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No se mide disponibilidad ni recuperacion de una aplicacion productiva.</w:t>
            </w:r>
          </w:p>
        </w:tc>
        <w:tc>
          <w:tcPr>
            <w:tcW w:type="dxa" w:w="4520"/>
            <w:shd w:fill="EAF2F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b w:val="0"/>
                <w:sz w:val="17"/>
              </w:rPr>
              <w:t>Como siguiente paso, desplegar una version etiquetada en un ambiente de prueba y medir salud y rollback.</w:t>
            </w:r>
          </w:p>
        </w:tc>
      </w:tr>
    </w:tbl>
    <w:p/>
    <w:p>
      <w:pPr>
        <w:pStyle w:val="Ttulo2"/>
      </w:pPr>
      <w:r>
        <w:t>Estrategia de mejora continua</w:t>
      </w:r>
    </w:p>
    <w:p>
      <w:pPr>
        <w:spacing w:after="120" w:line="259" w:lineRule="auto"/>
      </w:pPr>
      <w:r>
        <w:t>Cada cambio debe mantener la generacion reproducible de datos, superar los cinco gates de calidad y publicar un artefacto identificable en ACR. El equipo debe revisar semanalmente la duracion del pipeline, las fallas que bloquearon cambios y la evolucion de los indicadores DORA. Cuando exista un ambiente real, el gate de despliegue debe incluir smoke posterior al deploy, observabilidad y una estrategia de rollback.</w:t>
      </w:r>
    </w:p>
    <w:p>
      <w:pPr>
        <w:spacing w:after="120" w:line="259" w:lineRule="auto"/>
      </w:pPr>
      <w:r>
        <w:t>Resultado de la practica: los gates funcionales, de carga, E2E, contenedor y contrato quedaron validados; la imagen tienda-qa se publico en Azure Container Registry. La fase cloud de navegadores se mantiene como demo guiada hasta contar con credenciales de Sauce Labs.</w:t>
      </w:r>
    </w:p>
    <w:sectPr w:rsidR="00C2649E" w:rsidRPr="00C2649E" w:rsidSect="00034616">
      <w:footerReference w:type="default" r:id="rId21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2D3D" w:rsidRDefault="00CF2D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CF2D3D" w:rsidRDefault="00CF2D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4362" w:rsidRPr="009663CB" w:rsidRDefault="00CF2D3D">
    <w:pPr>
      <w:pStyle w:val="Piedepgina"/>
      <w:spacing w:line="271" w:lineRule="auto"/>
      <w:jc w:val="center"/>
      <w:rPr>
        <w:rFonts w:hint="eastAsia"/>
        <w:lang w:val="es-BO"/>
      </w:rPr>
    </w:pPr>
    <w:r w:rsidRPr="009663CB">
      <w:rPr>
        <w:color w:val="666666"/>
        <w:sz w:val="17"/>
        <w:lang w:val="es-BO"/>
      </w:rPr>
      <w:t xml:space="preserve">QA Cloud Native Tienda  |  Documento de soporte  |  28 de </w:t>
    </w:r>
    <w:r w:rsidRPr="009663CB">
      <w:rPr>
        <w:color w:val="666666"/>
        <w:sz w:val="17"/>
        <w:lang w:val="es-BO"/>
      </w:rPr>
      <w:t>octubre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2D3D" w:rsidRDefault="00CF2D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CF2D3D" w:rsidRDefault="00CF2D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0C5"/>
    <w:rsid w:val="00034616"/>
    <w:rsid w:val="0006063C"/>
    <w:rsid w:val="000D112A"/>
    <w:rsid w:val="000D5223"/>
    <w:rsid w:val="0015074B"/>
    <w:rsid w:val="001D4C97"/>
    <w:rsid w:val="0029639D"/>
    <w:rsid w:val="00326F90"/>
    <w:rsid w:val="00471305"/>
    <w:rsid w:val="00844362"/>
    <w:rsid w:val="00847255"/>
    <w:rsid w:val="008C5ECD"/>
    <w:rsid w:val="009663CB"/>
    <w:rsid w:val="00994509"/>
    <w:rsid w:val="00A047C8"/>
    <w:rsid w:val="00AA1D8D"/>
    <w:rsid w:val="00B249FA"/>
    <w:rsid w:val="00B47730"/>
    <w:rsid w:val="00B520FB"/>
    <w:rsid w:val="00C2649E"/>
    <w:rsid w:val="00C84338"/>
    <w:rsid w:val="00CB0664"/>
    <w:rsid w:val="00CF2D3D"/>
    <w:rsid w:val="00F65B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F02DF2"/>
  <w14:defaultImageDpi w14:val="300"/>
  <w15:docId w15:val="{A9A6B07F-F510-4AEA-9293-E624FE2A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847255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DA739A-A86B-42DB-919C-1B681CEF7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308</Words>
  <Characters>1696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soporte Reto practico Modulo 5</vt:lpstr>
      <vt:lpstr/>
    </vt:vector>
  </TitlesOfParts>
  <Manager/>
  <Company/>
  <LinksUpToDate>false</LinksUpToDate>
  <CharactersWithSpaces>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soporte Reto practico Modulo 5</dc:title>
  <dc:subject>QA Cloud Native Tienda</dc:subject>
  <dc:creator>Nelson Flores</dc:creator>
  <cp:keywords/>
  <dc:description>Documento de soporte con evidencias locales y pendientes de integraciones externas.</dc:description>
  <cp:lastModifiedBy>nelson flores Fernández</cp:lastModifiedBy>
  <cp:revision>4</cp:revision>
  <dcterms:created xsi:type="dcterms:W3CDTF">2026-10-29T02:37:00Z</dcterms:created>
  <dcterms:modified xsi:type="dcterms:W3CDTF">2026-10-29T04:35:00Z</dcterms:modified>
  <cp:category/>
</cp:coreProperties>
</file>