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outlineLvl w:val="0"/>
      </w:pPr>
      <w:bookmarkStart w:name="OLE_LINK1" w:id="0"/>
      <w:r>
        <w:rPr>
          <w:rtl w:val="0"/>
          <w:lang w:val="en-US"/>
        </w:rPr>
        <w:t>D</w:t>
      </w:r>
      <w:bookmarkEnd w:id="0"/>
      <w:bookmarkStart w:name="OLE_LINK2" w:id="1"/>
      <w:r>
        <w:rPr>
          <w:rtl w:val="0"/>
          <w:lang w:val="en-US"/>
        </w:rPr>
        <w:t>emonstration of DOCX support in calibr</w:t>
      </w:r>
      <w:bookmarkEnd w:id="1"/>
      <w:r>
        <w:rPr>
          <w:rtl w:val="0"/>
          <w:lang w:val="en-US"/>
        </w:rPr>
        <w:t>e</w:t>
      </w:r>
    </w:p>
    <w:p/>
    <w:p>
      <w:pPr>
        <w:pStyle w:val="Body"/>
      </w:pPr>
      <w:r>
        <w:rPr>
          <w:rtl w:val="0"/>
          <w:lang w:val="en-US"/>
        </w:rPr>
        <w:t>This document demonstrates the ability of the calibre DOCX Input plugin to convert the various typographic features in a Microsoft Word (2007 and newer) document. Convert this document to a modern ebook format, such as AZW3 for Kindles or EPUB for other ebook readers, to see it in action.</w:t>
      </w:r>
    </w:p>
    <w:p/>
    <w:p>
      <w:pPr>
        <w:pStyle w:val="Body"/>
      </w:pPr>
      <w:r>
        <w:rPr>
          <w:rtl w:val="0"/>
          <w:lang w:val="en-US"/>
        </w:rPr>
        <w:t>There is support for images, tables, lists, footnotes, endnotes, links, dropcaps and various types of text and paragraph level formatting.</w:t>
      </w:r>
    </w:p>
    <w:p/>
    <w:p>
      <w:pPr>
        <w:pStyle w:val="Body"/>
      </w:pPr>
      <w:r>
        <w:rPr>
          <w:rtl w:val="0"/>
          <w:lang w:val="en-US"/>
        </w:rPr>
        <w:t xml:space="preserve">To see the DOCX conversion in action, simply add this file to calibre using the </w:t>
      </w:r>
      <w:r>
        <w:rPr>
          <w:rStyle w:val="Strong"/>
          <w:rtl w:val="1"/>
          <w:lang w:val="ar-SA" w:bidi="ar-SA"/>
        </w:rPr>
        <w:t>“</w:t>
      </w:r>
      <w:r>
        <w:rPr>
          <w:rStyle w:val="Strong"/>
          <w:rtl w:val="0"/>
          <w:lang w:val="en-US"/>
        </w:rPr>
        <w:t>Add Books</w:t>
      </w:r>
      <w:r>
        <w:rPr>
          <w:rStyle w:val="Strong"/>
          <w:rtl w:val="0"/>
        </w:rPr>
        <w:t xml:space="preserve">” </w:t>
      </w:r>
      <w:r>
        <w:rPr>
          <w:rtl w:val="0"/>
          <w:lang w:val="en-US"/>
        </w:rPr>
        <w:t xml:space="preserve">button and then click </w:t>
      </w:r>
      <w:r>
        <w:rPr>
          <w:rtl w:val="1"/>
          <w:lang w:val="ar-SA" w:bidi="ar-SA"/>
        </w:rPr>
        <w:t>“</w:t>
      </w:r>
      <w:r>
        <w:rPr>
          <w:rStyle w:val="Strong"/>
          <w:rtl w:val="0"/>
          <w:lang w:val="en-US"/>
        </w:rPr>
        <w:t>Convert</w:t>
      </w:r>
      <w:r>
        <w:rPr>
          <w:rStyle w:val="Strong"/>
          <w:rtl w:val="0"/>
        </w:rPr>
        <w:t>”</w:t>
      </w:r>
      <w:r>
        <w:rPr>
          <w:rStyle w:val="Strong"/>
          <w:rtl w:val="0"/>
        </w:rPr>
        <w:t xml:space="preserve">. </w:t>
      </w:r>
      <w:r>
        <w:rPr>
          <w:rtl w:val="0"/>
          <w:lang w:val="en-US"/>
        </w:rPr>
        <w:t xml:space="preserve"> Set the output format in the top right corner of the conversion dialog to EPUB or AZW3 and click </w:t>
      </w:r>
      <w:r>
        <w:rPr>
          <w:rStyle w:val="Strong"/>
          <w:rtl w:val="1"/>
          <w:lang w:val="ar-SA" w:bidi="ar-SA"/>
        </w:rPr>
        <w:t>“</w:t>
      </w:r>
      <w:r>
        <w:rPr>
          <w:rStyle w:val="Strong"/>
          <w:rtl w:val="0"/>
          <w:lang w:val="en-US"/>
        </w:rPr>
        <w:t>OK</w:t>
      </w:r>
      <w:r>
        <w:rPr>
          <w:rStyle w:val="Strong"/>
          <w:rtl w:val="0"/>
        </w:rPr>
        <w:t>”</w:t>
      </w:r>
      <w:r>
        <w:rPr>
          <w:rtl w:val="0"/>
        </w:rPr>
        <w:t>.</w:t>
      </w:r>
    </w:p>
    <w:p/>
    <w:p>
      <w:pPr>
        <w:pStyle w:val="Body"/>
        <w:pBdr>
          <w:top w:val="nil"/>
          <w:left w:val="nil"/>
          <w:bottom w:val="single" w:color="eeeeee" w:sz="6" w:space="0" w:shadow="0" w:frame="0"/>
          <w:right w:val="nil"/>
        </w:pBdr>
        <w:shd w:val="clear" w:color="auto" w:fill="ffffff"/>
        <w:spacing w:after="225" w:line="345" w:lineRule="atLeast"/>
        <w:outlineLvl w:val="0"/>
        <w:rPr>
          <w:rFonts w:ascii="Helvetica Neue" w:cs="Helvetica Neue" w:hAnsi="Helvetica Neue" w:eastAsia="Helvetica Neue"/>
          <w:outline w:val="0"/>
          <w:color w:val="11171d"/>
          <w:kern w:val="36"/>
          <w:sz w:val="38"/>
          <w:szCs w:val="38"/>
          <w:u w:color="11171d"/>
          <w14:textFill>
            <w14:solidFill>
              <w14:srgbClr w14:val="11171D"/>
            </w14:solidFill>
          </w14:textFill>
        </w:rPr>
      </w:pPr>
      <w:r>
        <w:rPr>
          <w:rFonts w:ascii="Helvetica Neue" w:hAnsi="Helvetica Neue"/>
          <w:outline w:val="0"/>
          <w:color w:val="11171d"/>
          <w:kern w:val="36"/>
          <w:sz w:val="38"/>
          <w:szCs w:val="38"/>
          <w:u w:color="11171d"/>
          <w:rtl w:val="0"/>
          <w:lang w:val="it-IT"/>
          <w14:textFill>
            <w14:solidFill>
              <w14:srgbClr w14:val="11171D"/>
            </w14:solidFill>
          </w14:textFill>
        </w:rPr>
        <w:t>Quantum Aristoxeni ingenium consumptum videmus in musicis?</w:t>
      </w:r>
    </w:p>
    <w:p/>
    <w:p>
      <w:pPr>
        <w:pStyle w:val="Body"/>
        <w:shd w:val="clear" w:color="auto" w:fill="ffffff"/>
        <w:spacing w:after="225" w:line="345" w:lineRule="atLeast"/>
        <w:rPr>
          <w:rFonts w:ascii="Helvetica Neue" w:cs="Helvetica Neue" w:hAnsi="Helvetica Neue" w:eastAsia="Helvetica Neue"/>
          <w:outline w:val="0"/>
          <w:color w:val="11171d"/>
          <w:sz w:val="21"/>
          <w:szCs w:val="21"/>
          <w:u w:color="11171d"/>
          <w14:textFill>
            <w14:solidFill>
              <w14:srgbClr w14:val="11171D"/>
            </w14:solidFill>
          </w14:textFill>
        </w:rPr>
      </w:pPr>
      <w:r>
        <w:rPr>
          <w:rFonts w:ascii="Helvetica Neue" w:hAnsi="Helvetica Neue"/>
          <w:outline w:val="0"/>
          <w:color w:val="11171d"/>
          <w:sz w:val="21"/>
          <w:szCs w:val="21"/>
          <w:u w:color="11171d"/>
          <w:rtl w:val="0"/>
          <w:lang w:val="it-IT"/>
          <w14:textFill>
            <w14:solidFill>
              <w14:srgbClr w14:val="11171D"/>
            </w14:solidFill>
          </w14:textFill>
        </w:rPr>
        <w:t>Lorem ipsum dolor sit amet, consectetur adipiscing elit. Quid nunc honeste dicit? Tum Torquatus: Prorsus, inquit, assentior; Duo Reges: constructio interrete. Iam in altera philosophiae parte. Sed haec omittamus; Haec para/doca illi, nos admirabilia dicamus. Nihil sane.</w:t>
      </w:r>
    </w:p>
    <w:p/>
    <w:p>
      <w:pPr>
        <w:pStyle w:val="Body"/>
        <w:shd w:val="clear" w:color="auto" w:fill="ffffff"/>
        <w:spacing w:before="100" w:after="100" w:line="240" w:lineRule="auto"/>
        <w:outlineLvl w:val="1"/>
        <w:rPr>
          <w:rFonts w:ascii="Helvetica Neue" w:cs="Helvetica Neue" w:hAnsi="Helvetica Neue" w:eastAsia="Helvetica Neue"/>
          <w:b w:val="1"/>
          <w:bCs w:val="1"/>
          <w:outline w:val="0"/>
          <w:color w:val="11171d"/>
          <w:sz w:val="36"/>
          <w:szCs w:val="36"/>
          <w:u w:color="11171d"/>
          <w14:textFill>
            <w14:solidFill>
              <w14:srgbClr w14:val="11171D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11171d"/>
          <w:sz w:val="36"/>
          <w:szCs w:val="36"/>
          <w:u w:color="11171d"/>
          <w:rtl w:val="0"/>
          <w:lang w:val="it-IT"/>
          <w14:textFill>
            <w14:solidFill>
              <w14:srgbClr w14:val="11171D"/>
            </w14:solidFill>
          </w14:textFill>
        </w:rPr>
        <w:t>Expressa vero in iis aetatibus, quae iam confirmatae sunt.</w:t>
      </w:r>
    </w:p>
    <w:p/>
    <w:p>
      <w:pPr>
        <w:pStyle w:val="Body"/>
        <w:shd w:val="clear" w:color="auto" w:fill="ffffff"/>
        <w:spacing w:after="225" w:line="345" w:lineRule="atLeast"/>
      </w:pPr>
      <w:r>
        <w:rPr>
          <w:rFonts w:ascii="Helvetica Neue" w:hAnsi="Helvetica Neue"/>
          <w:outline w:val="0"/>
          <w:color w:val="11171d"/>
          <w:sz w:val="21"/>
          <w:szCs w:val="21"/>
          <w:u w:color="11171d"/>
          <w:rtl w:val="0"/>
          <w:lang w:val="it-IT"/>
          <w14:textFill>
            <w14:solidFill>
              <w14:srgbClr w14:val="11171D"/>
            </w14:solidFill>
          </w14:textFill>
        </w:rPr>
        <w:t xml:space="preserve">Sit sane ista voluptas. Non quam nostram quidem, inquit Pomponius iocans; An tu me de L. Sed haec omittamus; Cave putes quicquam esse verius. </w:t>
      </w:r>
    </w:p>
    <w:p/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1f2021"/>
          <w:sz w:val="58"/>
          <w:szCs w:val="5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Georgia" w:hAnsi="Georgia"/>
          <w:outline w:val="0"/>
          <w:color w:val="1f2021"/>
          <w:sz w:val="58"/>
          <w:szCs w:val="58"/>
          <w:shd w:val="clear" w:color="auto" w:fill="ffffff"/>
          <w:rtl w:val="0"/>
          <w:lang w:val="da-DK"/>
          <w14:textFill>
            <w14:solidFill>
              <w14:srgbClr w14:val="202122"/>
            </w14:solidFill>
          </w14:textFill>
        </w:rPr>
        <w:t>Internet</w:t>
      </w:r>
    </w:p>
    <w:p/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The </w:t>
      </w:r>
      <w:r>
        <w:rPr>
          <w:rFonts w:ascii="Helvetica" w:hAnsi="Helvetica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da-DK"/>
          <w14:textFill>
            <w14:solidFill>
              <w14:srgbClr w14:val="202122"/>
            </w14:solidFill>
          </w14:textFill>
        </w:rPr>
        <w:t>Internet</w:t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(or </w:t>
      </w:r>
      <w:r>
        <w:rPr>
          <w:rFonts w:ascii="Helvetica" w:hAnsi="Helvetica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da-DK"/>
          <w14:textFill>
            <w14:solidFill>
              <w14:srgbClr w14:val="202122"/>
            </w14:solidFill>
          </w14:textFill>
        </w:rPr>
        <w:t>internet</w:t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)</w:t>
      </w:r>
      <w:r>
        <w:rPr>
          <w:rFonts w:ascii="Helvetica" w:hAnsi="Helvetica"/>
          <w:outline w:val="0"/>
          <w:color w:val="3366cc"/>
          <w:sz w:val="22"/>
          <w:szCs w:val="22"/>
          <w:shd w:val="clear" w:color="auto" w:fill="ffffff"/>
          <w:vertAlign w:val="superscript"/>
          <w:rtl w:val="0"/>
          <w:lang w:val="pt-PT"/>
          <w14:textFill>
            <w14:solidFill>
              <w14:srgbClr w14:val="3366CC"/>
            </w14:solidFill>
          </w14:textFill>
        </w:rPr>
        <w:t>[a]</w:t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is the global system of interconnected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"https://en.wikipedia.org/wiki/Computer_network"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66CC"/>
            </w14:solidFill>
          </w14:textFill>
        </w:rPr>
        <w:t>computer networks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that uses the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"https://en.wikipedia.org/wiki/Internet_protocol_suite"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366CC"/>
            </w14:solidFill>
          </w14:textFill>
        </w:rPr>
        <w:t>Internet protocol suite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202122"/>
            </w14:solidFill>
          </w14:textFill>
        </w:rPr>
        <w:t xml:space="preserve"> (TCP/IP)</w:t>
      </w:r>
      <w:r>
        <w:rPr>
          <w:rStyle w:val="None"/>
          <w:rFonts w:ascii="Helvetica" w:hAnsi="Helvetica"/>
          <w:outline w:val="0"/>
          <w:color w:val="3366cc"/>
          <w:sz w:val="22"/>
          <w:szCs w:val="22"/>
          <w:shd w:val="clear" w:color="auto" w:fill="ffffff"/>
          <w:vertAlign w:val="superscript"/>
          <w:rtl w:val="0"/>
          <w:lang w:val="pt-PT"/>
          <w14:textFill>
            <w14:solidFill>
              <w14:srgbClr w14:val="3366CC"/>
            </w14:solidFill>
          </w14:textFill>
        </w:rPr>
        <w:t>[b]</w:t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to communicate between networks and devices. It is a </w: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"https://en.wikipedia.org/wiki/Internetworking"</w:instrTex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i w:val="1"/>
          <w:iCs w:val="1"/>
          <w:outline w:val="0"/>
          <w:color w:val="3366c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66CC"/>
            </w14:solidFill>
          </w14:textFill>
        </w:rPr>
        <w:t>network of networks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that consists of private, public, academic, business, and government networks of local to global scope, linked by a broad array of electronic, wireless, and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"https://en.wikipedia.org/wiki/Optical_networking"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66CC"/>
            </w14:solidFill>
          </w14:textFill>
        </w:rPr>
        <w:t>optical networking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technologies. The Internet carries a vast range of information resources and services, such as the interlinked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"https://en.wikipedia.org/wiki/Hypertext"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t>hypertext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documents and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"https://en.wikipedia.org/wiki/Web_application"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3366CC"/>
            </w14:solidFill>
          </w14:textFill>
        </w:rPr>
        <w:t>applications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of the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"https://en.wikipedia.org/wiki/World_Wide_Web"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366CC"/>
            </w14:solidFill>
          </w14:textFill>
        </w:rPr>
        <w:t>World Wide Web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02122"/>
            </w14:solidFill>
          </w14:textFill>
        </w:rPr>
        <w:t xml:space="preserve"> (WWW),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"https://en.wikipedia.org/wiki/Email"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t>electronic mail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"https://en.wikipedia.org/wiki/Internet_telephony"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t>telephony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, and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"https://en.wikipedia.org/wiki/File_sharing"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66CC"/>
            </w14:solidFill>
          </w14:textFill>
        </w:rPr>
        <w:t>file sharing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