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140" w:line="312" w:lineRule="auto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Categorização BCE</w:t>
      </w:r>
    </w:p>
    <w:p w:rsidR="00000000" w:rsidDel="00000000" w:rsidP="00000000" w:rsidRDefault="00000000" w:rsidRPr="00000000">
      <w:pPr>
        <w:spacing w:after="140" w:before="14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Foram analisados os casos de uso, protótipos e requisitos, priorizando a Categorização BCE, para identificar classes e seus respectivos atributos.</w:t>
      </w:r>
    </w:p>
    <w:p w:rsidR="00000000" w:rsidDel="00000000" w:rsidP="00000000" w:rsidRDefault="00000000" w:rsidRPr="00000000">
      <w:pPr>
        <w:spacing w:after="140" w:before="14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Funcionários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Nome (Funcionário)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CPF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Função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Senha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Operador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Gestor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Produto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Nome (Produto)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Categoria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Fornecedor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Unidades em estoque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Peso (unitário)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Quantidade?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Preço?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Pedido?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Lojas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Cidade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Endereço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Fornecedores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Nome (Fornecedor)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CNPJ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Endereço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Categorias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Quantidade em estoque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Transportadora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Razão Social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Endereço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Número de entrada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Número de saída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Entrada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Peso total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Valor total</w:t>
      </w:r>
    </w:p>
    <w:p w:rsidR="00000000" w:rsidDel="00000000" w:rsidP="00000000" w:rsidRDefault="00000000" w:rsidRPr="00000000">
      <w:pPr>
        <w:spacing w:after="0" w:before="0" w:line="312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Saída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Data pedido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Peso total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Faturamento Mensal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Mês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Ano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Valor total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Estoque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Lista de produtos em baixa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Lista de produtos por fornecedor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Item Estoque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Quantidade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Item Movimentação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Quantidade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Valor unitário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Peso total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Valor total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2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Movimentação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12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Data </w:t>
      </w:r>
    </w:p>
    <w:p w:rsidR="00000000" w:rsidDel="00000000" w:rsidP="00000000" w:rsidRDefault="00000000" w:rsidRPr="00000000">
      <w:pPr>
        <w:spacing w:after="0" w:before="0" w:line="312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rPr>
          <w:i w:val="1"/>
          <w:color w:val="4040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Análise textual de Abbott</w:t>
        <w:br w:type="textWrapping"/>
      </w:r>
      <w:r w:rsidDel="00000000" w:rsidR="00000000" w:rsidRPr="00000000">
        <w:rPr>
          <w:i w:val="1"/>
          <w:color w:val="404040"/>
          <w:rtl w:val="0"/>
        </w:rPr>
        <w:t xml:space="preserve">A seguir o texto descritivo de requisitos com alterações.</w:t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Legenda (elemento e cor)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12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substantivos, adjetivos, etc.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(Sinônimos de nomes encontrados sublinhados)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70ad47"/>
          <w:sz w:val="20"/>
          <w:szCs w:val="20"/>
          <w:u w:val="none"/>
          <w:shd w:fill="auto" w:val="clear"/>
          <w:vertAlign w:val="baseline"/>
          <w:rtl w:val="0"/>
        </w:rPr>
        <w:t xml:space="preserve">Verbos e verbos de ação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12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c000"/>
          <w:sz w:val="20"/>
          <w:szCs w:val="20"/>
          <w:u w:val="none"/>
          <w:shd w:fill="auto" w:val="clear"/>
          <w:vertAlign w:val="baseline"/>
          <w:rtl w:val="0"/>
        </w:rPr>
        <w:t xml:space="preserve">Verbos “Ter” e “Ser”</w:t>
      </w:r>
    </w:p>
    <w:p w:rsidR="00000000" w:rsidDel="00000000" w:rsidP="00000000" w:rsidRDefault="00000000" w:rsidRPr="00000000">
      <w:pPr>
        <w:spacing w:after="0" w:before="140" w:line="312" w:lineRule="auto"/>
        <w:contextualSpacing w:val="0"/>
        <w:rPr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deve </w:t>
      </w:r>
      <w:r w:rsidDel="00000000" w:rsidR="00000000" w:rsidRPr="00000000">
        <w:rPr>
          <w:color w:val="00000a"/>
          <w:rtl w:val="0"/>
        </w:rPr>
        <w:t xml:space="preserve">ter </w:t>
      </w:r>
      <w:r w:rsidDel="00000000" w:rsidR="00000000" w:rsidRPr="00000000">
        <w:rPr>
          <w:rtl w:val="0"/>
        </w:rPr>
        <w:t xml:space="preserve">a capacidade de </w:t>
      </w:r>
      <w:r w:rsidDel="00000000" w:rsidR="00000000" w:rsidRPr="00000000">
        <w:rPr>
          <w:color w:val="ffc000"/>
          <w:rtl w:val="0"/>
        </w:rPr>
        <w:t xml:space="preserve">armazenar (terão) </w:t>
      </w: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color w:val="ff0000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contidos no </w:t>
      </w:r>
      <w:r w:rsidDel="00000000" w:rsidR="00000000" w:rsidRPr="00000000">
        <w:rPr>
          <w:color w:val="ff0000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, para que esses possam ser controlados individualmente. Outro detalhe importante ao </w:t>
      </w:r>
      <w:r w:rsidDel="00000000" w:rsidR="00000000" w:rsidRPr="00000000">
        <w:rPr>
          <w:color w:val="70ad47"/>
          <w:rtl w:val="0"/>
        </w:rPr>
        <w:t xml:space="preserve">cadastrar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é </w:t>
      </w:r>
      <w:r w:rsidDel="00000000" w:rsidR="00000000" w:rsidRPr="00000000">
        <w:rPr>
          <w:color w:val="70ad47"/>
          <w:rtl w:val="0"/>
        </w:rPr>
        <w:t xml:space="preserve">armazenar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ff0000"/>
          <w:rtl w:val="0"/>
        </w:rPr>
        <w:t xml:space="preserve">quantidade mínima </w:t>
      </w:r>
      <w:r w:rsidDel="00000000" w:rsidR="00000000" w:rsidRPr="00000000">
        <w:rPr>
          <w:rtl w:val="0"/>
        </w:rPr>
        <w:t xml:space="preserve">que deverá ter desse </w:t>
      </w:r>
      <w:r w:rsidDel="00000000" w:rsidR="00000000" w:rsidRPr="00000000">
        <w:rPr>
          <w:u w:val="single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u w:val="single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 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u w:val="single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c000"/>
          <w:rtl w:val="0"/>
        </w:rPr>
        <w:t xml:space="preserve">terá </w:t>
      </w: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color w:val="ff0000"/>
          <w:rtl w:val="0"/>
        </w:rPr>
        <w:t xml:space="preserve">fornecedor </w:t>
      </w:r>
      <w:r w:rsidDel="00000000" w:rsidR="00000000" w:rsidRPr="00000000">
        <w:rPr>
          <w:rtl w:val="0"/>
        </w:rPr>
        <w:t xml:space="preserve">relacionado a ele, sendo possível </w:t>
      </w:r>
      <w:r w:rsidDel="00000000" w:rsidR="00000000" w:rsidRPr="00000000">
        <w:rPr>
          <w:color w:val="70ad47"/>
          <w:rtl w:val="0"/>
        </w:rPr>
        <w:t xml:space="preserve">controlar </w:t>
      </w: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u w:val="single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divididos por </w:t>
      </w:r>
      <w:r w:rsidDel="00000000" w:rsidR="00000000" w:rsidRPr="00000000">
        <w:rPr>
          <w:u w:val="single"/>
          <w:rtl w:val="0"/>
        </w:rPr>
        <w:t xml:space="preserve">fornecedores</w:t>
      </w:r>
      <w:r w:rsidDel="00000000" w:rsidR="00000000" w:rsidRPr="00000000">
        <w:rPr>
          <w:rtl w:val="0"/>
        </w:rPr>
        <w:t xml:space="preserve">. 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u w:val="single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devem </w:t>
      </w:r>
      <w:r w:rsidDel="00000000" w:rsidR="00000000" w:rsidRPr="00000000">
        <w:rPr>
          <w:color w:val="70ad47"/>
          <w:rtl w:val="0"/>
        </w:rPr>
        <w:t xml:space="preserve">ser divididos </w:t>
      </w: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color w:val="ff0000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, ou seja, cada </w:t>
      </w:r>
      <w:r w:rsidDel="00000000" w:rsidR="00000000" w:rsidRPr="00000000">
        <w:rPr>
          <w:u w:val="single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c000"/>
          <w:rtl w:val="0"/>
        </w:rPr>
        <w:t xml:space="preserve">terá </w:t>
      </w: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u w:val="single"/>
          <w:rtl w:val="0"/>
        </w:rPr>
        <w:t xml:space="preserve">categoria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color w:val="ff0000"/>
          <w:rtl w:val="0"/>
        </w:rPr>
        <w:t xml:space="preserve">entradas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ff0000"/>
          <w:rtl w:val="0"/>
        </w:rPr>
        <w:t xml:space="preserve">saídas </w:t>
      </w:r>
      <w:r w:rsidDel="00000000" w:rsidR="00000000" w:rsidRPr="00000000">
        <w:rPr>
          <w:rtl w:val="0"/>
        </w:rPr>
        <w:t xml:space="preserve">dos </w:t>
      </w:r>
      <w:r w:rsidDel="00000000" w:rsidR="00000000" w:rsidRPr="00000000">
        <w:rPr>
          <w:u w:val="single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deverão </w:t>
      </w:r>
      <w:r w:rsidDel="00000000" w:rsidR="00000000" w:rsidRPr="00000000">
        <w:rPr>
          <w:color w:val="70ad47"/>
          <w:rtl w:val="0"/>
        </w:rPr>
        <w:t xml:space="preserve">ser registradas </w:t>
      </w:r>
      <w:r w:rsidDel="00000000" w:rsidR="00000000" w:rsidRPr="00000000">
        <w:rPr>
          <w:rtl w:val="0"/>
        </w:rPr>
        <w:t xml:space="preserve">no programa, para futuramente </w:t>
      </w:r>
      <w:r w:rsidDel="00000000" w:rsidR="00000000" w:rsidRPr="00000000">
        <w:rPr>
          <w:color w:val="70ad47"/>
          <w:rtl w:val="0"/>
        </w:rPr>
        <w:t xml:space="preserve">obtermos </w:t>
      </w: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color w:val="ff0000"/>
          <w:rtl w:val="0"/>
        </w:rPr>
        <w:t xml:space="preserve">histórico completo </w:t>
      </w:r>
      <w:r w:rsidDel="00000000" w:rsidR="00000000" w:rsidRPr="00000000">
        <w:rPr>
          <w:rtl w:val="0"/>
        </w:rPr>
        <w:t xml:space="preserve">de todo o trajeto do </w:t>
      </w:r>
      <w:r w:rsidDel="00000000" w:rsidR="00000000" w:rsidRPr="00000000">
        <w:rPr>
          <w:u w:val="single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dentro do centro de distribuição.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u w:val="single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u w:val="single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será necessário </w:t>
      </w:r>
      <w:r w:rsidDel="00000000" w:rsidR="00000000" w:rsidRPr="00000000">
        <w:rPr>
          <w:color w:val="70ad47"/>
          <w:rtl w:val="0"/>
        </w:rPr>
        <w:t xml:space="preserve">armazenar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ff0000"/>
          <w:rtl w:val="0"/>
        </w:rPr>
        <w:t xml:space="preserve">data do pedido </w:t>
      </w:r>
      <w:r w:rsidDel="00000000" w:rsidR="00000000" w:rsidRPr="00000000">
        <w:rPr>
          <w:rtl w:val="0"/>
        </w:rPr>
        <w:t xml:space="preserve">e a </w:t>
      </w:r>
      <w:r w:rsidDel="00000000" w:rsidR="00000000" w:rsidRPr="00000000">
        <w:rPr>
          <w:color w:val="ff0000"/>
          <w:rtl w:val="0"/>
        </w:rPr>
        <w:t xml:space="preserve">data de entrega </w:t>
      </w:r>
      <w:r w:rsidDel="00000000" w:rsidR="00000000" w:rsidRPr="00000000">
        <w:rPr>
          <w:rtl w:val="0"/>
        </w:rPr>
        <w:t xml:space="preserve">da </w:t>
      </w:r>
      <w:r w:rsidDel="00000000" w:rsidR="00000000" w:rsidRPr="00000000">
        <w:rPr>
          <w:u w:val="single"/>
          <w:rtl w:val="0"/>
        </w:rPr>
        <w:t xml:space="preserve">mercadoria</w:t>
      </w:r>
      <w:r w:rsidDel="00000000" w:rsidR="00000000" w:rsidRPr="00000000">
        <w:rPr>
          <w:rtl w:val="0"/>
        </w:rPr>
        <w:t xml:space="preserve">(sinônimo de produto), para depois podermos </w:t>
      </w:r>
      <w:r w:rsidDel="00000000" w:rsidR="00000000" w:rsidRPr="00000000">
        <w:rPr>
          <w:color w:val="70ad47"/>
          <w:rtl w:val="0"/>
        </w:rPr>
        <w:t xml:space="preserve">analisar </w:t>
      </w:r>
      <w:r w:rsidDel="00000000" w:rsidR="00000000" w:rsidRPr="00000000">
        <w:rPr>
          <w:rtl w:val="0"/>
        </w:rPr>
        <w:t xml:space="preserve">quanto </w:t>
      </w:r>
      <w:r w:rsidDel="00000000" w:rsidR="00000000" w:rsidRPr="00000000">
        <w:rPr>
          <w:color w:val="ff0000"/>
          <w:rtl w:val="0"/>
        </w:rPr>
        <w:t xml:space="preserve">tempo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ff0000"/>
          <w:rtl w:val="0"/>
        </w:rPr>
        <w:t xml:space="preserve">pedido </w:t>
      </w:r>
      <w:r w:rsidDel="00000000" w:rsidR="00000000" w:rsidRPr="00000000">
        <w:rPr>
          <w:rtl w:val="0"/>
        </w:rPr>
        <w:t xml:space="preserve">demora a </w:t>
      </w:r>
      <w:r w:rsidDel="00000000" w:rsidR="00000000" w:rsidRPr="00000000">
        <w:rPr>
          <w:color w:val="70ad47"/>
          <w:rtl w:val="0"/>
        </w:rPr>
        <w:t xml:space="preserve">chegar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u w:val="single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color w:val="00000a"/>
          <w:rtl w:val="0"/>
        </w:rPr>
        <w:t xml:space="preserve">Na </w:t>
      </w:r>
      <w:r w:rsidDel="00000000" w:rsidR="00000000" w:rsidRPr="00000000">
        <w:rPr>
          <w:color w:val="00000a"/>
          <w:u w:val="single"/>
          <w:rtl w:val="0"/>
        </w:rPr>
        <w:t xml:space="preserve">saída</w:t>
      </w:r>
      <w:r w:rsidDel="00000000" w:rsidR="00000000" w:rsidRPr="00000000">
        <w:rPr>
          <w:color w:val="00000a"/>
          <w:rtl w:val="0"/>
        </w:rPr>
        <w:t xml:space="preserve"> do produto, será necessário </w:t>
      </w:r>
      <w:r w:rsidDel="00000000" w:rsidR="00000000" w:rsidRPr="00000000">
        <w:rPr>
          <w:color w:val="70ad47"/>
          <w:rtl w:val="0"/>
        </w:rPr>
        <w:t xml:space="preserve">registrar </w:t>
      </w:r>
      <w:r w:rsidDel="00000000" w:rsidR="00000000" w:rsidRPr="00000000">
        <w:rPr>
          <w:color w:val="00000a"/>
          <w:rtl w:val="0"/>
        </w:rPr>
        <w:t xml:space="preserve">a </w:t>
      </w:r>
      <w:r w:rsidDel="00000000" w:rsidR="00000000" w:rsidRPr="00000000">
        <w:rPr>
          <w:color w:val="ff0000"/>
          <w:rtl w:val="0"/>
        </w:rPr>
        <w:t xml:space="preserve">data da saída</w:t>
      </w:r>
      <w:r w:rsidDel="00000000" w:rsidR="00000000" w:rsidRPr="00000000">
        <w:rPr>
          <w:color w:val="4472c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u w:val="single"/>
          <w:rtl w:val="0"/>
        </w:rPr>
        <w:t xml:space="preserve">saída</w:t>
      </w:r>
      <w:r w:rsidDel="00000000" w:rsidR="00000000" w:rsidRPr="00000000">
        <w:rPr>
          <w:rtl w:val="0"/>
        </w:rPr>
        <w:t xml:space="preserve">, obrigatoriamente </w:t>
      </w:r>
      <w:r w:rsidDel="00000000" w:rsidR="00000000" w:rsidRPr="00000000">
        <w:rPr>
          <w:color w:val="70ad47"/>
          <w:rtl w:val="0"/>
        </w:rPr>
        <w:t xml:space="preserve">será informada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ff0000"/>
          <w:rtl w:val="0"/>
        </w:rPr>
        <w:t xml:space="preserve">loja </w:t>
      </w:r>
      <w:r w:rsidDel="00000000" w:rsidR="00000000" w:rsidRPr="00000000">
        <w:rPr>
          <w:rtl w:val="0"/>
        </w:rPr>
        <w:t xml:space="preserve">para a qual a </w:t>
      </w:r>
      <w:r w:rsidDel="00000000" w:rsidR="00000000" w:rsidRPr="00000000">
        <w:rPr>
          <w:u w:val="single"/>
          <w:rtl w:val="0"/>
        </w:rPr>
        <w:t xml:space="preserve">mercadoria</w:t>
      </w:r>
      <w:r w:rsidDel="00000000" w:rsidR="00000000" w:rsidRPr="00000000">
        <w:rPr>
          <w:rtl w:val="0"/>
        </w:rPr>
        <w:t xml:space="preserve"> foi </w:t>
      </w:r>
      <w:r w:rsidDel="00000000" w:rsidR="00000000" w:rsidRPr="00000000">
        <w:rPr>
          <w:color w:val="70ad47"/>
          <w:rtl w:val="0"/>
        </w:rPr>
        <w:t xml:space="preserve">enviada</w:t>
      </w:r>
      <w:r w:rsidDel="00000000" w:rsidR="00000000" w:rsidRPr="00000000">
        <w:rPr>
          <w:rtl w:val="0"/>
        </w:rPr>
        <w:t xml:space="preserve">, pois ao final do mês devemos </w:t>
      </w:r>
      <w:r w:rsidDel="00000000" w:rsidR="00000000" w:rsidRPr="00000000">
        <w:rPr>
          <w:color w:val="70ad47"/>
          <w:rtl w:val="0"/>
        </w:rPr>
        <w:t xml:space="preserve">fazer o fechamento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color w:val="ff0000"/>
          <w:rtl w:val="0"/>
        </w:rPr>
        <w:t xml:space="preserve">faturamento </w:t>
      </w:r>
      <w:r w:rsidDel="00000000" w:rsidR="00000000" w:rsidRPr="00000000">
        <w:rPr>
          <w:rtl w:val="0"/>
        </w:rPr>
        <w:t xml:space="preserve">para saber qual é a </w:t>
      </w:r>
      <w:r w:rsidDel="00000000" w:rsidR="00000000" w:rsidRPr="00000000">
        <w:rPr>
          <w:u w:val="single"/>
          <w:rtl w:val="0"/>
        </w:rPr>
        <w:t xml:space="preserve">loja</w:t>
      </w:r>
      <w:r w:rsidDel="00000000" w:rsidR="00000000" w:rsidRPr="00000000">
        <w:rPr>
          <w:rtl w:val="0"/>
        </w:rPr>
        <w:t xml:space="preserve"> que mais </w:t>
      </w:r>
      <w:r w:rsidDel="00000000" w:rsidR="00000000" w:rsidRPr="00000000">
        <w:rPr>
          <w:color w:val="70ad47"/>
          <w:rtl w:val="0"/>
        </w:rPr>
        <w:t xml:space="preserve">obteve </w:t>
      </w:r>
      <w:r w:rsidDel="00000000" w:rsidR="00000000" w:rsidRPr="00000000">
        <w:rPr>
          <w:color w:val="ff0000"/>
          <w:rtl w:val="0"/>
        </w:rPr>
        <w:t xml:space="preserve">vendas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Outra capacidade que o sistema deverá ter é </w:t>
      </w:r>
      <w:r w:rsidDel="00000000" w:rsidR="00000000" w:rsidRPr="00000000">
        <w:rPr>
          <w:color w:val="70ad47"/>
          <w:rtl w:val="0"/>
        </w:rPr>
        <w:t xml:space="preserve">calcular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ff0000"/>
          <w:rtl w:val="0"/>
        </w:rPr>
        <w:t xml:space="preserve">peso total </w:t>
      </w:r>
      <w:r w:rsidDel="00000000" w:rsidR="00000000" w:rsidRPr="00000000">
        <w:rPr>
          <w:rtl w:val="0"/>
        </w:rPr>
        <w:t xml:space="preserve">de uma </w:t>
      </w:r>
      <w:r w:rsidDel="00000000" w:rsidR="00000000" w:rsidRPr="00000000">
        <w:rPr>
          <w:u w:val="single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 ou de uma </w:t>
      </w:r>
      <w:r w:rsidDel="00000000" w:rsidR="00000000" w:rsidRPr="00000000">
        <w:rPr>
          <w:u w:val="single"/>
          <w:rtl w:val="0"/>
        </w:rPr>
        <w:t xml:space="preserve">saída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No programa, devem-se </w:t>
      </w:r>
      <w:r w:rsidDel="00000000" w:rsidR="00000000" w:rsidRPr="00000000">
        <w:rPr>
          <w:color w:val="70ad47"/>
          <w:rtl w:val="0"/>
        </w:rPr>
        <w:t xml:space="preserve">apresentar </w:t>
      </w: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u w:val="single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nos quais a sua </w:t>
      </w:r>
      <w:r w:rsidDel="00000000" w:rsidR="00000000" w:rsidRPr="00000000">
        <w:rPr>
          <w:color w:val="ff0000"/>
          <w:rtl w:val="0"/>
        </w:rPr>
        <w:t xml:space="preserve">quantidade total </w:t>
      </w: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u w:val="single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é menor ou igual à quantidade mínima requerida em </w:t>
      </w:r>
      <w:r w:rsidDel="00000000" w:rsidR="00000000" w:rsidRPr="00000000">
        <w:rPr>
          <w:u w:val="single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definida previamente.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ff0000"/>
          <w:rtl w:val="0"/>
        </w:rPr>
        <w:t xml:space="preserve">transportadora </w:t>
      </w:r>
      <w:r w:rsidDel="00000000" w:rsidR="00000000" w:rsidRPr="00000000">
        <w:rPr>
          <w:rtl w:val="0"/>
        </w:rPr>
        <w:t xml:space="preserve">será outro item importante na análise, pois devemos saber qual </w:t>
      </w:r>
      <w:r w:rsidDel="00000000" w:rsidR="00000000" w:rsidRPr="00000000">
        <w:rPr>
          <w:u w:val="single"/>
          <w:rtl w:val="0"/>
        </w:rPr>
        <w:t xml:space="preserve">transportadora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0ad47"/>
          <w:rtl w:val="0"/>
        </w:rPr>
        <w:t xml:space="preserve">é mais utilizada </w:t>
      </w:r>
      <w:r w:rsidDel="00000000" w:rsidR="00000000" w:rsidRPr="00000000">
        <w:rPr>
          <w:rtl w:val="0"/>
        </w:rPr>
        <w:t xml:space="preserve">para fazer a </w:t>
      </w:r>
      <w:r w:rsidDel="00000000" w:rsidR="00000000" w:rsidRPr="00000000">
        <w:rPr>
          <w:color w:val="ff0000"/>
          <w:rtl w:val="0"/>
        </w:rPr>
        <w:t xml:space="preserve">entrega </w:t>
      </w:r>
      <w:r w:rsidDel="00000000" w:rsidR="00000000" w:rsidRPr="00000000">
        <w:rPr>
          <w:rtl w:val="0"/>
        </w:rPr>
        <w:t xml:space="preserve">dos </w:t>
      </w:r>
      <w:r w:rsidDel="00000000" w:rsidR="00000000" w:rsidRPr="00000000">
        <w:rPr>
          <w:u w:val="single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e qual </w:t>
      </w:r>
      <w:r w:rsidDel="00000000" w:rsidR="00000000" w:rsidRPr="00000000">
        <w:rPr>
          <w:color w:val="70ad47"/>
          <w:rtl w:val="0"/>
        </w:rPr>
        <w:t xml:space="preserve">é a mais utilizada</w:t>
      </w:r>
      <w:r w:rsidDel="00000000" w:rsidR="00000000" w:rsidRPr="00000000">
        <w:rPr>
          <w:rtl w:val="0"/>
        </w:rPr>
        <w:t xml:space="preserve"> para fazer a </w:t>
      </w:r>
      <w:r w:rsidDel="00000000" w:rsidR="00000000" w:rsidRPr="00000000">
        <w:rPr>
          <w:u w:val="single"/>
          <w:rtl w:val="0"/>
        </w:rPr>
        <w:t xml:space="preserve">saída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Uma questão que o cliente deseja observar é em qual </w:t>
      </w:r>
      <w:r w:rsidDel="00000000" w:rsidR="00000000" w:rsidRPr="00000000">
        <w:rPr>
          <w:u w:val="single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0ad47"/>
          <w:rtl w:val="0"/>
        </w:rPr>
        <w:t xml:space="preserve">possui </w:t>
      </w:r>
      <w:r w:rsidDel="00000000" w:rsidR="00000000" w:rsidRPr="00000000">
        <w:rPr>
          <w:rtl w:val="0"/>
        </w:rPr>
        <w:t xml:space="preserve">mais </w:t>
      </w:r>
      <w:r w:rsidDel="00000000" w:rsidR="00000000" w:rsidRPr="00000000">
        <w:rPr>
          <w:color w:val="ff0000"/>
          <w:rtl w:val="0"/>
        </w:rPr>
        <w:t xml:space="preserve">itens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u w:val="single"/>
          <w:rtl w:val="0"/>
        </w:rPr>
        <w:t xml:space="preserve">local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que hajam diferentes níveis de acesso para os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usuários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um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operador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[que é um usuário]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que pode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efetuar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entradas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saídas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dentre outras funções relacionadas; um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 [que é um usuário]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capaz de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gerenciar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usuários;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 um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gestor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[que é um usuário]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capaz de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gerenciar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todas as entidades e ver os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relatórios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haver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sistema de autenticação (login)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fim de viabilizar o controle de acesso dos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usuários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439"/>
        <w:gridCol w:w="6084"/>
        <w:tblGridChange w:id="0">
          <w:tblGrid>
            <w:gridCol w:w="1668"/>
            <w:gridCol w:w="1439"/>
            <w:gridCol w:w="6084"/>
          </w:tblGrid>
        </w:tblGridChange>
      </w:tblGrid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Parte do texto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 encontrados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próprio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14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Administrador, gestor, operador;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simples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Produto, quantidade mínima, histórico completo;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Categorias, itens;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Fornecedores;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Lojas, (quantidade) vendas;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Transportadoras, entregas (quantidade de entradas e quantidade de saídas);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Estoque, quantidade total (por produto);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Entradas, data pedido, data entrega, peso total;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Saídas, data saída, peso total;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Faturamento;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Tempo (de chegada do pedido)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Verbos de ação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Operação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Armazenar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 dividido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 registrado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Chegar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 informado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Calcular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Apresentar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Possui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Efetuar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Verbo “Ser”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Herança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Administrador, operador e gestor SÃO usuários (funcionários)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Verbo “Ter”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140" w:before="140" w:line="31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Todo-parte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Produto possui uma categoria;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Produto possui um fornecedor;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12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Estoque possui produtos</w:t>
            </w:r>
          </w:p>
        </w:tc>
      </w:tr>
    </w:tbl>
    <w:p w:rsidR="00000000" w:rsidDel="00000000" w:rsidP="00000000" w:rsidRDefault="00000000" w:rsidRPr="00000000">
      <w:pPr>
        <w:spacing w:after="140" w:before="14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140" w:line="312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erif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pBdr/>
      <w:bidi w:val="0"/>
      <w:spacing w:line="276" w:lineRule="auto"/>
      <w:jc w:val="left"/>
    </w:pPr>
    <w:rPr>
      <w:rFonts w:ascii="Arial" w:cs="Arial" w:eastAsia="Arial" w:hAnsi="Arial"/>
      <w:color w:val="000000"/>
      <w:sz w:val="22"/>
      <w:szCs w:val="22"/>
      <w:lang w:bidi="ar-SA" w:eastAsia="pt-BR" w:val="pt-BR"/>
    </w:r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7E6815"/>
    <w:rPr/>
  </w:style>
  <w:style w:type="character" w:styleId="RodapChar" w:customStyle="1">
    <w:name w:val="Rodapé Char"/>
    <w:basedOn w:val="DefaultParagraphFont"/>
    <w:link w:val="Rodap"/>
    <w:uiPriority w:val="99"/>
    <w:qFormat w:val="1"/>
    <w:rsid w:val="007E6815"/>
    <w:rPr/>
  </w:style>
  <w:style w:type="character" w:styleId="Strong">
    <w:name w:val="Strong"/>
    <w:basedOn w:val="DefaultParagraphFont"/>
    <w:uiPriority w:val="22"/>
    <w:qFormat w:val="1"/>
    <w:rsid w:val="007E6815"/>
    <w:rPr>
      <w:b w:val="1"/>
      <w:bCs w:val="1"/>
    </w:rPr>
  </w:style>
  <w:style w:type="character" w:styleId="SubtleEmphasis">
    <w:name w:val="Subtle Emphasis"/>
    <w:basedOn w:val="DefaultParagraphFont"/>
    <w:uiPriority w:val="19"/>
    <w:qFormat w:val="1"/>
    <w:rsid w:val="00866AC3"/>
    <w:rPr>
      <w:i w:val="1"/>
      <w:iCs w:val="1"/>
      <w:color w:val="404040" w:themeColor="text1" w:themeTint="0000BF"/>
    </w:rPr>
  </w:style>
  <w:style w:type="character" w:styleId="ListLabel1">
    <w:name w:val="ListLabel 1"/>
    <w:qFormat w:val="1"/>
    <w:rPr>
      <w:sz w:val="20"/>
      <w:u w:val="none"/>
    </w:rPr>
  </w:style>
  <w:style w:type="character" w:styleId="ListLabel2">
    <w:name w:val="ListLabel 2"/>
    <w:qFormat w:val="1"/>
    <w:rPr>
      <w:sz w:val="20"/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rFonts w:cs="OpenSymbol"/>
    </w:rPr>
  </w:style>
  <w:style w:type="character" w:styleId="ListLabel11">
    <w:name w:val="ListLabel 11"/>
    <w:qFormat w:val="1"/>
    <w:rPr>
      <w:rFonts w:cs="OpenSymbol"/>
    </w:rPr>
  </w:style>
  <w:style w:type="character" w:styleId="ListLabel12">
    <w:name w:val="ListLabel 12"/>
    <w:qFormat w:val="1"/>
    <w:rPr>
      <w:rFonts w:cs="OpenSymbol"/>
    </w:rPr>
  </w:style>
  <w:style w:type="character" w:styleId="ListLabel13">
    <w:name w:val="ListLabel 13"/>
    <w:qFormat w:val="1"/>
    <w:rPr>
      <w:rFonts w:cs="OpenSymbol"/>
    </w:rPr>
  </w:style>
  <w:style w:type="character" w:styleId="ListLabel14">
    <w:name w:val="ListLabel 14"/>
    <w:qFormat w:val="1"/>
    <w:rPr>
      <w:rFonts w:cs="OpenSymbol"/>
    </w:rPr>
  </w:style>
  <w:style w:type="character" w:styleId="ListLabel15">
    <w:name w:val="ListLabel 15"/>
    <w:qFormat w:val="1"/>
    <w:rPr>
      <w:rFonts w:cs="OpenSymbol"/>
    </w:rPr>
  </w:style>
  <w:style w:type="character" w:styleId="ListLabel16">
    <w:name w:val="ListLabel 16"/>
    <w:qFormat w:val="1"/>
    <w:rPr>
      <w:rFonts w:cs="OpenSymbol"/>
    </w:rPr>
  </w:style>
  <w:style w:type="character" w:styleId="ListLabel17">
    <w:name w:val="ListLabel 17"/>
    <w:qFormat w:val="1"/>
    <w:rPr>
      <w:rFonts w:cs="OpenSymbol"/>
    </w:rPr>
  </w:style>
  <w:style w:type="character" w:styleId="ListLabel18">
    <w:name w:val="ListLabel 18"/>
    <w:qFormat w:val="1"/>
    <w:rPr>
      <w:rFonts w:cs="OpenSymbol"/>
    </w:rPr>
  </w:style>
  <w:style w:type="character" w:styleId="ListLabel19">
    <w:name w:val="ListLabel 19"/>
    <w:qFormat w:val="1"/>
    <w:rPr>
      <w:rFonts w:cs="Courier New"/>
    </w:rPr>
  </w:style>
  <w:style w:type="character" w:styleId="ListLabel20">
    <w:name w:val="ListLabel 20"/>
    <w:qFormat w:val="1"/>
    <w:rPr>
      <w:rFonts w:cs="Courier New"/>
    </w:rPr>
  </w:style>
  <w:style w:type="character" w:styleId="ListLabel21">
    <w:name w:val="ListLabel 21"/>
    <w:qFormat w:val="1"/>
    <w:rPr>
      <w:rFonts w:cs="Courier New"/>
    </w:rPr>
  </w:style>
  <w:style w:type="character" w:styleId="ListLabel22">
    <w:name w:val="ListLabel 22"/>
    <w:qFormat w:val="1"/>
    <w:rPr>
      <w:color w:val="00000a"/>
      <w:sz w:val="20"/>
    </w:rPr>
  </w:style>
  <w:style w:type="character" w:styleId="ListLabel23">
    <w:name w:val="ListLabel 23"/>
    <w:qFormat w:val="1"/>
    <w:rPr>
      <w:rFonts w:cs="Courier New"/>
    </w:rPr>
  </w:style>
  <w:style w:type="character" w:styleId="ListLabel24">
    <w:name w:val="ListLabel 24"/>
    <w:qFormat w:val="1"/>
    <w:rPr>
      <w:rFonts w:cs="Courier New"/>
    </w:rPr>
  </w:style>
  <w:style w:type="character" w:styleId="ListLabel25">
    <w:name w:val="ListLabel 25"/>
    <w:qFormat w:val="1"/>
    <w:rPr>
      <w:rFonts w:cs="Courier New"/>
    </w:rPr>
  </w:style>
  <w:style w:type="character" w:styleId="ListLabel26">
    <w:name w:val="ListLabel 26"/>
    <w:qFormat w:val="1"/>
    <w:rPr>
      <w:rFonts w:cs="Courier New"/>
    </w:rPr>
  </w:style>
  <w:style w:type="character" w:styleId="ListLabel27">
    <w:name w:val="ListLabel 27"/>
    <w:qFormat w:val="1"/>
    <w:rPr>
      <w:rFonts w:cs="Courier New"/>
    </w:rPr>
  </w:style>
  <w:style w:type="character" w:styleId="ListLabel28">
    <w:name w:val="ListLabel 28"/>
    <w:qFormat w:val="1"/>
    <w:rPr>
      <w:rFonts w:cs="Courier New"/>
    </w:rPr>
  </w:style>
  <w:style w:type="character" w:styleId="ListLabel29">
    <w:name w:val="ListLabel 29"/>
    <w:qFormat w:val="1"/>
    <w:rPr>
      <w:rFonts w:cs="Courier New"/>
    </w:rPr>
  </w:style>
  <w:style w:type="character" w:styleId="ListLabel30">
    <w:name w:val="ListLabel 30"/>
    <w:qFormat w:val="1"/>
    <w:rPr>
      <w:rFonts w:cs="Courier New"/>
    </w:rPr>
  </w:style>
  <w:style w:type="character" w:styleId="ListLabel31">
    <w:name w:val="ListLabel 31"/>
    <w:qFormat w:val="1"/>
    <w:rPr>
      <w:rFonts w:cs="Courier New"/>
    </w:rPr>
  </w:style>
  <w:style w:type="character" w:styleId="ListLabel32">
    <w:name w:val="ListLabel 32"/>
    <w:qFormat w:val="1"/>
    <w:rPr>
      <w:rFonts w:cs="Courier New"/>
    </w:rPr>
  </w:style>
  <w:style w:type="character" w:styleId="ListLabel33">
    <w:name w:val="ListLabel 33"/>
    <w:qFormat w:val="1"/>
    <w:rPr>
      <w:rFonts w:cs="Courier New"/>
    </w:rPr>
  </w:style>
  <w:style w:type="character" w:styleId="ListLabel34">
    <w:name w:val="ListLabel 34"/>
    <w:qFormat w:val="1"/>
    <w:rPr>
      <w:rFonts w:cs="Courier New"/>
    </w:rPr>
  </w:style>
  <w:style w:type="character" w:styleId="ListLabel35">
    <w:name w:val="ListLabel 35"/>
    <w:qFormat w:val="1"/>
    <w:rPr>
      <w:rFonts w:cs="Courier New"/>
    </w:rPr>
  </w:style>
  <w:style w:type="character" w:styleId="ListLabel36">
    <w:name w:val="ListLabel 36"/>
    <w:qFormat w:val="1"/>
    <w:rPr>
      <w:rFonts w:cs="Courier New"/>
    </w:rPr>
  </w:style>
  <w:style w:type="character" w:styleId="ListLabel37">
    <w:name w:val="ListLabel 37"/>
    <w:qFormat w:val="1"/>
    <w:rPr>
      <w:rFonts w:cs="Courier New"/>
    </w:rPr>
  </w:style>
  <w:style w:type="character" w:styleId="ListLabel38">
    <w:name w:val="ListLabel 38"/>
    <w:qFormat w:val="1"/>
    <w:rPr>
      <w:rFonts w:cs="Courier New"/>
    </w:rPr>
  </w:style>
  <w:style w:type="character" w:styleId="ListLabel39">
    <w:name w:val="ListLabel 39"/>
    <w:qFormat w:val="1"/>
    <w:rPr>
      <w:rFonts w:cs="Courier New"/>
    </w:rPr>
  </w:style>
  <w:style w:type="character" w:styleId="ListLabel40">
    <w:name w:val="ListLabel 40"/>
    <w:qFormat w:val="1"/>
    <w:rPr>
      <w:rFonts w:cs="Courier New"/>
    </w:rPr>
  </w:style>
  <w:style w:type="character" w:styleId="Marcas">
    <w:name w:val="Marcas"/>
    <w:qFormat w:val="1"/>
    <w:rPr>
      <w:rFonts w:ascii="OpenSymbol" w:cs="OpenSymbol" w:eastAsia="OpenSymbol" w:hAnsi="OpenSymbol"/>
    </w:rPr>
  </w:style>
  <w:style w:type="paragraph" w:styleId="Ttulo">
    <w:name w:val="Título"/>
    <w:basedOn w:val="Normal"/>
    <w:next w:val="Corpode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before="0" w:line="288" w:lineRule="auto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Ttulododocumento">
    <w:name w:val="Title"/>
    <w:basedOn w:val="Normal"/>
    <w:next w:val="Normal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662B75"/>
    <w:pPr>
      <w:widowControl w:val="0"/>
      <w:pBdr/>
      <w:spacing w:after="0" w:before="0" w:line="240" w:lineRule="auto"/>
      <w:ind w:left="720" w:hanging="0"/>
      <w:contextualSpacing w:val="1"/>
    </w:pPr>
    <w:rPr>
      <w:rFonts w:ascii="Liberation Serif" w:cs="Mangal" w:eastAsia="Droid Sans Fallback" w:hAnsi="Liberation Serif"/>
      <w:color w:val="00000a"/>
      <w:sz w:val="24"/>
      <w:szCs w:val="21"/>
      <w:lang w:bidi="hi-IN" w:eastAsia="zh-CN"/>
    </w:rPr>
  </w:style>
  <w:style w:type="paragraph" w:styleId="Cabealho">
    <w:name w:val="Header"/>
    <w:basedOn w:val="Normal"/>
    <w:link w:val="CabealhoChar"/>
    <w:uiPriority w:val="99"/>
    <w:unhideWhenUsed w:val="1"/>
    <w:rsid w:val="007E6815"/>
    <w:pPr>
      <w:tabs>
        <w:tab w:val="center" w:leader="none" w:pos="4252"/>
        <w:tab w:val="right" w:leader="none" w:pos="8504"/>
      </w:tabs>
      <w:spacing w:line="240" w:lineRule="auto"/>
    </w:pPr>
    <w:rPr/>
  </w:style>
  <w:style w:type="paragraph" w:styleId="Rodap">
    <w:name w:val="Footer"/>
    <w:basedOn w:val="Normal"/>
    <w:link w:val="RodapChar"/>
    <w:uiPriority w:val="99"/>
    <w:unhideWhenUsed w:val="1"/>
    <w:rsid w:val="007E6815"/>
    <w:pPr>
      <w:tabs>
        <w:tab w:val="center" w:leader="none" w:pos="4252"/>
        <w:tab w:val="right" w:leader="none" w:pos="8504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3D24DE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