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3p8g0skprxg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Grading Rubric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Possible Points: 40 points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External Correctness: 20 points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● The program prompts the user to begin the game upon startup. (5)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● The ball spawns and is sent off in a random direction. (5)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● The users paddle has movement up and down the y axis. (5)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● There is some form of interaction between the ball and user paddle. (5)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Internal Correctness: 14 points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● Code is efficient, with little redundancy. (5)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● Code is structured well using proper syntax. (5)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● Magic numbers are for the most part, eliminated. (4)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Style/Documentation: 6 points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● Java Doc &amp; Header. (1)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● Meaningful variable/method names are given. (1)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● Grading Rubric (2)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● Readme File (2)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