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1E62" w:rsidRDefault="00CB1E62" w:rsidP="00532862">
      <w:pPr>
        <w:shd w:val="clear" w:color="auto" w:fill="FFFFFF"/>
        <w:spacing w:after="0" w:line="240" w:lineRule="auto"/>
        <w:jc w:val="center"/>
        <w:outlineLvl w:val="0"/>
        <w:rPr>
          <w:rFonts w:ascii="Cambria" w:eastAsia="Times New Roman" w:hAnsi="Cambria" w:cs="Segoe UI"/>
          <w:b/>
          <w:bCs/>
          <w:kern w:val="36"/>
          <w:sz w:val="48"/>
          <w:szCs w:val="48"/>
        </w:rPr>
      </w:pPr>
      <w:r w:rsidRPr="00532862">
        <w:rPr>
          <w:rFonts w:ascii="Cambria" w:eastAsia="Times New Roman" w:hAnsi="Cambria" w:cs="Segoe UI"/>
          <w:b/>
          <w:bCs/>
          <w:kern w:val="36"/>
          <w:sz w:val="48"/>
          <w:szCs w:val="48"/>
        </w:rPr>
        <w:t xml:space="preserve">IMF World </w:t>
      </w:r>
      <w:r w:rsidR="00E633AD" w:rsidRPr="00532862">
        <w:rPr>
          <w:rFonts w:ascii="Cambria" w:eastAsia="Times New Roman" w:hAnsi="Cambria" w:cs="Segoe UI"/>
          <w:b/>
          <w:bCs/>
          <w:kern w:val="36"/>
          <w:sz w:val="48"/>
          <w:szCs w:val="48"/>
        </w:rPr>
        <w:t xml:space="preserve">Economic Outlook (April 2026) </w:t>
      </w:r>
      <w:r w:rsidRPr="00532862">
        <w:rPr>
          <w:rFonts w:ascii="Cambria" w:eastAsia="Times New Roman" w:hAnsi="Cambria" w:cs="Segoe UI"/>
          <w:b/>
          <w:bCs/>
          <w:kern w:val="36"/>
          <w:sz w:val="48"/>
          <w:szCs w:val="48"/>
        </w:rPr>
        <w:t>Complete Data Science Analysis</w:t>
      </w:r>
    </w:p>
    <w:p w:rsidR="00532862" w:rsidRPr="00532862" w:rsidRDefault="00532862" w:rsidP="00532862">
      <w:pPr>
        <w:shd w:val="clear" w:color="auto" w:fill="FFFFFF"/>
        <w:spacing w:after="0" w:line="240" w:lineRule="auto"/>
        <w:jc w:val="center"/>
        <w:outlineLvl w:val="0"/>
        <w:rPr>
          <w:rFonts w:ascii="Cambria" w:eastAsia="Times New Roman" w:hAnsi="Cambria" w:cs="Segoe UI"/>
          <w:b/>
          <w:bCs/>
          <w:kern w:val="36"/>
          <w:sz w:val="40"/>
          <w:szCs w:val="40"/>
        </w:rPr>
      </w:pPr>
    </w:p>
    <w:p w:rsidR="00CB1E62" w:rsidRPr="00527ADC" w:rsidRDefault="00CB1E62" w:rsidP="00532862">
      <w:pPr>
        <w:shd w:val="clear" w:color="auto" w:fill="FFFFFF"/>
        <w:spacing w:after="0" w:line="240" w:lineRule="auto"/>
        <w:outlineLvl w:val="1"/>
        <w:rPr>
          <w:rFonts w:ascii="Cambria" w:eastAsia="Times New Roman" w:hAnsi="Cambria" w:cs="Segoe UI"/>
          <w:b/>
          <w:bCs/>
          <w:sz w:val="36"/>
          <w:szCs w:val="36"/>
        </w:rPr>
      </w:pPr>
      <w:r w:rsidRPr="00527ADC">
        <w:rPr>
          <w:rFonts w:ascii="Cambria" w:eastAsia="Times New Roman" w:hAnsi="Cambria" w:cs="Segoe UI"/>
          <w:b/>
          <w:bCs/>
          <w:sz w:val="36"/>
          <w:szCs w:val="36"/>
        </w:rPr>
        <w:t>Executive Summary</w:t>
      </w:r>
    </w:p>
    <w:p w:rsidR="00CB1E62" w:rsidRDefault="00CB1E62" w:rsidP="00532862">
      <w:pPr>
        <w:shd w:val="clear" w:color="auto" w:fill="FFFFFF"/>
        <w:spacing w:after="0" w:line="240" w:lineRule="auto"/>
        <w:jc w:val="both"/>
        <w:rPr>
          <w:rFonts w:ascii="Cambria" w:eastAsia="Times New Roman" w:hAnsi="Cambria" w:cs="Segoe UI"/>
          <w:sz w:val="24"/>
          <w:szCs w:val="24"/>
        </w:rPr>
      </w:pPr>
      <w:r w:rsidRPr="00532862">
        <w:rPr>
          <w:rFonts w:ascii="Cambria" w:eastAsia="Times New Roman" w:hAnsi="Cambria" w:cs="Segoe UI"/>
          <w:sz w:val="24"/>
          <w:szCs w:val="24"/>
        </w:rPr>
        <w:t>This report presents a comprehensive end-to-end data science analysis of the IMF World Economic Outlook dataset, covering 199 countries from 2016 to 2025 with forecasts through 2030. The analysis follows the complete data science methodology across five analytical approaches: Descriptive, Diagnostic, Predictive, Prescriptive, and Classification. Each approach answers progressively deeper questions about the global economy, moving from "What happened?" to "What should we do about it?"</w:t>
      </w:r>
    </w:p>
    <w:p w:rsidR="00532862" w:rsidRPr="00532862" w:rsidRDefault="00532862" w:rsidP="00532862">
      <w:pPr>
        <w:shd w:val="clear" w:color="auto" w:fill="FFFFFF"/>
        <w:spacing w:after="0" w:line="240" w:lineRule="auto"/>
        <w:jc w:val="both"/>
        <w:rPr>
          <w:rFonts w:ascii="Cambria" w:eastAsia="Times New Roman" w:hAnsi="Cambria" w:cs="Segoe UI"/>
          <w:sz w:val="24"/>
          <w:szCs w:val="24"/>
        </w:rPr>
      </w:pPr>
    </w:p>
    <w:p w:rsidR="00CB1E62" w:rsidRPr="00532862" w:rsidRDefault="00CB1E62" w:rsidP="00532862">
      <w:pPr>
        <w:shd w:val="clear" w:color="auto" w:fill="FFFFFF"/>
        <w:spacing w:after="0" w:line="240" w:lineRule="auto"/>
        <w:outlineLvl w:val="1"/>
        <w:rPr>
          <w:rFonts w:ascii="Cambria" w:eastAsia="Times New Roman" w:hAnsi="Cambria" w:cs="Segoe UI"/>
          <w:b/>
          <w:bCs/>
          <w:sz w:val="36"/>
          <w:szCs w:val="36"/>
        </w:rPr>
      </w:pPr>
      <w:r w:rsidRPr="00532862">
        <w:rPr>
          <w:rFonts w:ascii="Cambria" w:eastAsia="Times New Roman" w:hAnsi="Cambria" w:cs="Segoe UI"/>
          <w:b/>
          <w:bCs/>
          <w:sz w:val="36"/>
          <w:szCs w:val="36"/>
        </w:rPr>
        <w:t>Table of Contents</w:t>
      </w:r>
    </w:p>
    <w:p w:rsidR="00CB1E62" w:rsidRPr="00532862" w:rsidRDefault="00CB1E62" w:rsidP="00532862">
      <w:pPr>
        <w:numPr>
          <w:ilvl w:val="0"/>
          <w:numId w:val="1"/>
        </w:numPr>
        <w:shd w:val="clear" w:color="auto" w:fill="FFFFFF"/>
        <w:spacing w:after="0" w:line="240" w:lineRule="auto"/>
        <w:ind w:left="450"/>
        <w:rPr>
          <w:rFonts w:ascii="Cambria" w:eastAsia="Times New Roman" w:hAnsi="Cambria" w:cs="Segoe UI"/>
          <w:sz w:val="24"/>
          <w:szCs w:val="24"/>
        </w:rPr>
      </w:pPr>
      <w:r w:rsidRPr="00532862">
        <w:rPr>
          <w:rFonts w:ascii="Cambria" w:eastAsia="Times New Roman" w:hAnsi="Cambria" w:cs="Segoe UI"/>
          <w:sz w:val="24"/>
          <w:szCs w:val="24"/>
        </w:rPr>
        <w:t>Project Overview</w:t>
      </w:r>
    </w:p>
    <w:p w:rsidR="00CB1E62" w:rsidRPr="00532862" w:rsidRDefault="00CB1E62" w:rsidP="00532862">
      <w:pPr>
        <w:numPr>
          <w:ilvl w:val="0"/>
          <w:numId w:val="1"/>
        </w:numPr>
        <w:shd w:val="clear" w:color="auto" w:fill="FFFFFF"/>
        <w:spacing w:after="0" w:line="240" w:lineRule="auto"/>
        <w:ind w:left="450"/>
        <w:rPr>
          <w:rFonts w:ascii="Cambria" w:eastAsia="Times New Roman" w:hAnsi="Cambria" w:cs="Segoe UI"/>
          <w:sz w:val="24"/>
          <w:szCs w:val="24"/>
        </w:rPr>
      </w:pPr>
      <w:r w:rsidRPr="00532862">
        <w:rPr>
          <w:rFonts w:ascii="Cambria" w:eastAsia="Times New Roman" w:hAnsi="Cambria" w:cs="Segoe UI"/>
          <w:sz w:val="24"/>
          <w:szCs w:val="24"/>
        </w:rPr>
        <w:t>Data Profile</w:t>
      </w:r>
    </w:p>
    <w:p w:rsidR="00CB1E62" w:rsidRPr="00532862" w:rsidRDefault="00CB1E62" w:rsidP="00532862">
      <w:pPr>
        <w:numPr>
          <w:ilvl w:val="0"/>
          <w:numId w:val="1"/>
        </w:numPr>
        <w:shd w:val="clear" w:color="auto" w:fill="FFFFFF"/>
        <w:spacing w:after="0" w:line="240" w:lineRule="auto"/>
        <w:ind w:left="450"/>
        <w:rPr>
          <w:rFonts w:ascii="Cambria" w:eastAsia="Times New Roman" w:hAnsi="Cambria" w:cs="Segoe UI"/>
          <w:sz w:val="24"/>
          <w:szCs w:val="24"/>
        </w:rPr>
      </w:pPr>
      <w:r w:rsidRPr="00532862">
        <w:rPr>
          <w:rFonts w:ascii="Cambria" w:eastAsia="Times New Roman" w:hAnsi="Cambria" w:cs="Segoe UI"/>
          <w:sz w:val="24"/>
          <w:szCs w:val="24"/>
        </w:rPr>
        <w:t>Descriptive Analysis: What Happened?</w:t>
      </w:r>
    </w:p>
    <w:p w:rsidR="00CB1E62" w:rsidRPr="00532862" w:rsidRDefault="00CB1E62" w:rsidP="00532862">
      <w:pPr>
        <w:numPr>
          <w:ilvl w:val="0"/>
          <w:numId w:val="1"/>
        </w:numPr>
        <w:shd w:val="clear" w:color="auto" w:fill="FFFFFF"/>
        <w:spacing w:after="0" w:line="240" w:lineRule="auto"/>
        <w:ind w:left="450"/>
        <w:rPr>
          <w:rFonts w:ascii="Cambria" w:eastAsia="Times New Roman" w:hAnsi="Cambria" w:cs="Segoe UI"/>
          <w:sz w:val="24"/>
          <w:szCs w:val="24"/>
        </w:rPr>
      </w:pPr>
      <w:r w:rsidRPr="00532862">
        <w:rPr>
          <w:rFonts w:ascii="Cambria" w:eastAsia="Times New Roman" w:hAnsi="Cambria" w:cs="Segoe UI"/>
          <w:sz w:val="24"/>
          <w:szCs w:val="24"/>
        </w:rPr>
        <w:t>Diagnostic Analysis: Why Did It Happen?</w:t>
      </w:r>
    </w:p>
    <w:p w:rsidR="00CB1E62" w:rsidRPr="00532862" w:rsidRDefault="00CB1E62" w:rsidP="00532862">
      <w:pPr>
        <w:numPr>
          <w:ilvl w:val="0"/>
          <w:numId w:val="1"/>
        </w:numPr>
        <w:shd w:val="clear" w:color="auto" w:fill="FFFFFF"/>
        <w:spacing w:after="0" w:line="240" w:lineRule="auto"/>
        <w:ind w:left="450"/>
        <w:rPr>
          <w:rFonts w:ascii="Cambria" w:eastAsia="Times New Roman" w:hAnsi="Cambria" w:cs="Segoe UI"/>
          <w:sz w:val="24"/>
          <w:szCs w:val="24"/>
        </w:rPr>
      </w:pPr>
      <w:r w:rsidRPr="00532862">
        <w:rPr>
          <w:rFonts w:ascii="Cambria" w:eastAsia="Times New Roman" w:hAnsi="Cambria" w:cs="Segoe UI"/>
          <w:sz w:val="24"/>
          <w:szCs w:val="24"/>
        </w:rPr>
        <w:t>Predictive Analysis: What Will Happen?</w:t>
      </w:r>
    </w:p>
    <w:p w:rsidR="00CB1E62" w:rsidRPr="00532862" w:rsidRDefault="00CB1E62" w:rsidP="00532862">
      <w:pPr>
        <w:numPr>
          <w:ilvl w:val="0"/>
          <w:numId w:val="1"/>
        </w:numPr>
        <w:shd w:val="clear" w:color="auto" w:fill="FFFFFF"/>
        <w:spacing w:after="0" w:line="240" w:lineRule="auto"/>
        <w:ind w:left="450"/>
        <w:rPr>
          <w:rFonts w:ascii="Cambria" w:eastAsia="Times New Roman" w:hAnsi="Cambria" w:cs="Segoe UI"/>
          <w:sz w:val="24"/>
          <w:szCs w:val="24"/>
        </w:rPr>
      </w:pPr>
      <w:r w:rsidRPr="00532862">
        <w:rPr>
          <w:rFonts w:ascii="Cambria" w:eastAsia="Times New Roman" w:hAnsi="Cambria" w:cs="Segoe UI"/>
          <w:sz w:val="24"/>
          <w:szCs w:val="24"/>
        </w:rPr>
        <w:t>Prescriptive Analysis: What Should We Do?</w:t>
      </w:r>
    </w:p>
    <w:p w:rsidR="00CB1E62" w:rsidRPr="00532862" w:rsidRDefault="00CB1E62" w:rsidP="00532862">
      <w:pPr>
        <w:numPr>
          <w:ilvl w:val="0"/>
          <w:numId w:val="1"/>
        </w:numPr>
        <w:shd w:val="clear" w:color="auto" w:fill="FFFFFF"/>
        <w:spacing w:after="0" w:line="240" w:lineRule="auto"/>
        <w:ind w:left="450"/>
        <w:rPr>
          <w:rFonts w:ascii="Cambria" w:eastAsia="Times New Roman" w:hAnsi="Cambria" w:cs="Segoe UI"/>
          <w:sz w:val="24"/>
          <w:szCs w:val="24"/>
        </w:rPr>
      </w:pPr>
      <w:r w:rsidRPr="00532862">
        <w:rPr>
          <w:rFonts w:ascii="Cambria" w:eastAsia="Times New Roman" w:hAnsi="Cambria" w:cs="Segoe UI"/>
          <w:sz w:val="24"/>
          <w:szCs w:val="24"/>
        </w:rPr>
        <w:t>Classification Analysis: Which Category?</w:t>
      </w:r>
    </w:p>
    <w:p w:rsidR="00E633AD" w:rsidRDefault="00CB1E62" w:rsidP="00532862">
      <w:pPr>
        <w:numPr>
          <w:ilvl w:val="0"/>
          <w:numId w:val="1"/>
        </w:numPr>
        <w:shd w:val="clear" w:color="auto" w:fill="FFFFFF"/>
        <w:spacing w:after="0" w:line="240" w:lineRule="auto"/>
        <w:ind w:left="450"/>
        <w:rPr>
          <w:rFonts w:ascii="Cambria" w:eastAsia="Times New Roman" w:hAnsi="Cambria" w:cs="Segoe UI"/>
          <w:sz w:val="24"/>
          <w:szCs w:val="24"/>
        </w:rPr>
      </w:pPr>
      <w:r w:rsidRPr="00532862">
        <w:rPr>
          <w:rFonts w:ascii="Cambria" w:eastAsia="Times New Roman" w:hAnsi="Cambria" w:cs="Segoe UI"/>
          <w:sz w:val="24"/>
          <w:szCs w:val="24"/>
        </w:rPr>
        <w:t>Key Takeaways &amp; Recommendations</w:t>
      </w:r>
    </w:p>
    <w:p w:rsidR="00532862" w:rsidRPr="00532862" w:rsidRDefault="00532862" w:rsidP="00532862">
      <w:pPr>
        <w:shd w:val="clear" w:color="auto" w:fill="FFFFFF"/>
        <w:spacing w:after="0" w:line="240" w:lineRule="auto"/>
        <w:ind w:left="450"/>
        <w:rPr>
          <w:rFonts w:ascii="Cambria" w:eastAsia="Times New Roman" w:hAnsi="Cambria" w:cs="Segoe UI"/>
          <w:sz w:val="24"/>
          <w:szCs w:val="24"/>
        </w:rPr>
      </w:pPr>
    </w:p>
    <w:p w:rsidR="00CB1E62" w:rsidRDefault="00CB1E62" w:rsidP="00532862">
      <w:pPr>
        <w:shd w:val="clear" w:color="auto" w:fill="FFFFFF"/>
        <w:spacing w:after="0" w:line="240" w:lineRule="auto"/>
        <w:outlineLvl w:val="1"/>
        <w:rPr>
          <w:rFonts w:ascii="Cambria" w:eastAsia="Times New Roman" w:hAnsi="Cambria" w:cs="Segoe UI"/>
          <w:b/>
          <w:bCs/>
          <w:sz w:val="36"/>
          <w:szCs w:val="36"/>
        </w:rPr>
      </w:pPr>
      <w:r w:rsidRPr="00532862">
        <w:rPr>
          <w:rFonts w:ascii="Cambria" w:eastAsia="Times New Roman" w:hAnsi="Cambria" w:cs="Segoe UI"/>
          <w:b/>
          <w:bCs/>
          <w:sz w:val="36"/>
          <w:szCs w:val="36"/>
        </w:rPr>
        <w:t>Project Overview</w:t>
      </w:r>
    </w:p>
    <w:p w:rsidR="00532862" w:rsidRPr="00532862" w:rsidRDefault="00532862" w:rsidP="00532862">
      <w:pPr>
        <w:shd w:val="clear" w:color="auto" w:fill="FFFFFF"/>
        <w:spacing w:after="0" w:line="240" w:lineRule="auto"/>
        <w:outlineLvl w:val="1"/>
        <w:rPr>
          <w:rFonts w:ascii="Cambria" w:eastAsia="Times New Roman" w:hAnsi="Cambria" w:cs="Segoe UI"/>
          <w:b/>
          <w:bCs/>
          <w:sz w:val="36"/>
          <w:szCs w:val="36"/>
        </w:rPr>
      </w:pPr>
    </w:p>
    <w:p w:rsidR="00CB1E62" w:rsidRPr="00532862" w:rsidRDefault="00CB1E62" w:rsidP="00532862">
      <w:pPr>
        <w:shd w:val="clear" w:color="auto" w:fill="FFFFFF"/>
        <w:spacing w:after="0" w:line="240" w:lineRule="auto"/>
        <w:outlineLvl w:val="2"/>
        <w:rPr>
          <w:rFonts w:ascii="Cambria" w:eastAsia="Times New Roman" w:hAnsi="Cambria" w:cs="Segoe UI"/>
          <w:b/>
          <w:bCs/>
          <w:sz w:val="27"/>
          <w:szCs w:val="27"/>
        </w:rPr>
      </w:pPr>
      <w:r w:rsidRPr="00532862">
        <w:rPr>
          <w:rFonts w:ascii="Cambria" w:eastAsia="Times New Roman" w:hAnsi="Cambria" w:cs="Segoe UI"/>
          <w:b/>
          <w:bCs/>
          <w:sz w:val="27"/>
          <w:szCs w:val="27"/>
        </w:rPr>
        <w:t>Objective</w:t>
      </w:r>
    </w:p>
    <w:p w:rsidR="00CB1E62" w:rsidRDefault="00CB1E62" w:rsidP="00527ADC">
      <w:pPr>
        <w:shd w:val="clear" w:color="auto" w:fill="FFFFFF"/>
        <w:spacing w:after="0" w:line="240" w:lineRule="auto"/>
        <w:jc w:val="both"/>
        <w:rPr>
          <w:rFonts w:ascii="Cambria" w:eastAsia="Times New Roman" w:hAnsi="Cambria" w:cs="Segoe UI"/>
          <w:color w:val="0F1115"/>
          <w:sz w:val="24"/>
          <w:szCs w:val="24"/>
        </w:rPr>
      </w:pPr>
      <w:r w:rsidRPr="00E633AD">
        <w:rPr>
          <w:rFonts w:ascii="Cambria" w:eastAsia="Times New Roman" w:hAnsi="Cambria" w:cs="Segoe UI"/>
          <w:color w:val="0F1115"/>
          <w:sz w:val="24"/>
          <w:szCs w:val="24"/>
        </w:rPr>
        <w:t>To analyze global economic patterns, identify growth drivers, forecast future outcomes, prescribe policy actions, and classify countries by risk and performance categories.</w:t>
      </w:r>
    </w:p>
    <w:p w:rsidR="00532862" w:rsidRPr="00E633AD" w:rsidRDefault="00532862" w:rsidP="00532862">
      <w:pPr>
        <w:shd w:val="clear" w:color="auto" w:fill="FFFFFF"/>
        <w:spacing w:after="0" w:line="240" w:lineRule="auto"/>
        <w:rPr>
          <w:rFonts w:ascii="Cambria" w:eastAsia="Times New Roman" w:hAnsi="Cambria" w:cs="Segoe UI"/>
          <w:color w:val="0F1115"/>
          <w:sz w:val="24"/>
          <w:szCs w:val="24"/>
        </w:rPr>
      </w:pPr>
    </w:p>
    <w:p w:rsidR="00CB1E62" w:rsidRPr="00E633AD" w:rsidRDefault="00CB1E62" w:rsidP="00532862">
      <w:pPr>
        <w:shd w:val="clear" w:color="auto" w:fill="FFFFFF"/>
        <w:spacing w:after="0" w:line="240" w:lineRule="auto"/>
        <w:outlineLvl w:val="2"/>
        <w:rPr>
          <w:rFonts w:ascii="Cambria" w:eastAsia="Times New Roman" w:hAnsi="Cambria" w:cs="Segoe UI"/>
          <w:b/>
          <w:bCs/>
          <w:color w:val="0F1115"/>
          <w:sz w:val="27"/>
          <w:szCs w:val="27"/>
        </w:rPr>
      </w:pPr>
      <w:r w:rsidRPr="00E633AD">
        <w:rPr>
          <w:rFonts w:ascii="Cambria" w:eastAsia="Times New Roman" w:hAnsi="Cambria" w:cs="Segoe UI"/>
          <w:b/>
          <w:bCs/>
          <w:color w:val="0F1115"/>
          <w:sz w:val="27"/>
          <w:szCs w:val="27"/>
        </w:rPr>
        <w:t>Dataset</w:t>
      </w:r>
    </w:p>
    <w:p w:rsidR="00CB1E62" w:rsidRPr="00527ADC" w:rsidRDefault="00CB1E62" w:rsidP="00532862">
      <w:pPr>
        <w:numPr>
          <w:ilvl w:val="0"/>
          <w:numId w:val="2"/>
        </w:numPr>
        <w:shd w:val="clear" w:color="auto" w:fill="FFFFFF"/>
        <w:spacing w:after="0" w:line="240" w:lineRule="auto"/>
        <w:ind w:left="360"/>
        <w:rPr>
          <w:rFonts w:ascii="Cambria" w:eastAsia="Times New Roman" w:hAnsi="Cambria" w:cs="Segoe UI"/>
          <w:color w:val="0F1115"/>
          <w:sz w:val="24"/>
          <w:szCs w:val="24"/>
        </w:rPr>
      </w:pPr>
      <w:r w:rsidRPr="00527ADC">
        <w:rPr>
          <w:rFonts w:ascii="Cambria" w:eastAsia="Times New Roman" w:hAnsi="Cambria" w:cs="Segoe UI"/>
          <w:color w:val="0F1115"/>
          <w:sz w:val="24"/>
          <w:szCs w:val="24"/>
        </w:rPr>
        <w:t>Source: IMF World Economic Outlook (April 2026)</w:t>
      </w:r>
    </w:p>
    <w:p w:rsidR="00CB1E62" w:rsidRPr="00527ADC" w:rsidRDefault="00CB1E62" w:rsidP="00532862">
      <w:pPr>
        <w:numPr>
          <w:ilvl w:val="0"/>
          <w:numId w:val="2"/>
        </w:numPr>
        <w:shd w:val="clear" w:color="auto" w:fill="FFFFFF"/>
        <w:spacing w:after="0" w:line="240" w:lineRule="auto"/>
        <w:ind w:left="360"/>
        <w:rPr>
          <w:rFonts w:ascii="Cambria" w:eastAsia="Times New Roman" w:hAnsi="Cambria" w:cs="Segoe UI"/>
          <w:color w:val="0F1115"/>
          <w:sz w:val="24"/>
          <w:szCs w:val="24"/>
        </w:rPr>
      </w:pPr>
      <w:r w:rsidRPr="00527ADC">
        <w:rPr>
          <w:rFonts w:ascii="Cambria" w:eastAsia="Times New Roman" w:hAnsi="Cambria" w:cs="Segoe UI"/>
          <w:color w:val="0F1115"/>
          <w:sz w:val="24"/>
          <w:szCs w:val="24"/>
        </w:rPr>
        <w:t>Time Period: 2016-2025 (historical), 2026-2030 (forecast)</w:t>
      </w:r>
    </w:p>
    <w:p w:rsidR="00CB1E62" w:rsidRPr="00527ADC" w:rsidRDefault="00CB1E62" w:rsidP="00532862">
      <w:pPr>
        <w:numPr>
          <w:ilvl w:val="0"/>
          <w:numId w:val="2"/>
        </w:numPr>
        <w:shd w:val="clear" w:color="auto" w:fill="FFFFFF"/>
        <w:spacing w:after="0" w:line="240" w:lineRule="auto"/>
        <w:ind w:left="360"/>
        <w:rPr>
          <w:rFonts w:ascii="Cambria" w:eastAsia="Times New Roman" w:hAnsi="Cambria" w:cs="Segoe UI"/>
          <w:color w:val="0F1115"/>
          <w:sz w:val="24"/>
          <w:szCs w:val="24"/>
        </w:rPr>
      </w:pPr>
      <w:r w:rsidRPr="00527ADC">
        <w:rPr>
          <w:rFonts w:ascii="Cambria" w:eastAsia="Times New Roman" w:hAnsi="Cambria" w:cs="Segoe UI"/>
          <w:color w:val="0F1115"/>
          <w:sz w:val="24"/>
          <w:szCs w:val="24"/>
        </w:rPr>
        <w:t>Coverage: 199 countries/territories</w:t>
      </w:r>
    </w:p>
    <w:p w:rsidR="00CB1E62" w:rsidRDefault="00CB1E62" w:rsidP="00532862">
      <w:pPr>
        <w:numPr>
          <w:ilvl w:val="0"/>
          <w:numId w:val="2"/>
        </w:numPr>
        <w:shd w:val="clear" w:color="auto" w:fill="FFFFFF"/>
        <w:spacing w:after="0" w:line="240" w:lineRule="auto"/>
        <w:ind w:left="360"/>
        <w:rPr>
          <w:rFonts w:ascii="Cambria" w:eastAsia="Times New Roman" w:hAnsi="Cambria" w:cs="Segoe UI"/>
          <w:color w:val="0F1115"/>
          <w:sz w:val="24"/>
          <w:szCs w:val="24"/>
        </w:rPr>
      </w:pPr>
      <w:r w:rsidRPr="00527ADC">
        <w:rPr>
          <w:rFonts w:ascii="Cambria" w:eastAsia="Times New Roman" w:hAnsi="Cambria" w:cs="Segoe UI"/>
          <w:color w:val="0F1115"/>
          <w:sz w:val="24"/>
          <w:szCs w:val="24"/>
        </w:rPr>
        <w:t>Key Indicators:</w:t>
      </w:r>
      <w:r w:rsidRPr="00E633AD">
        <w:rPr>
          <w:rFonts w:ascii="Cambria" w:eastAsia="Times New Roman" w:hAnsi="Cambria" w:cs="Segoe UI"/>
          <w:color w:val="0F1115"/>
          <w:sz w:val="24"/>
          <w:szCs w:val="24"/>
        </w:rPr>
        <w:t> GDP, growth, inflation, unemployment, debt, current account, economic resilience</w:t>
      </w:r>
    </w:p>
    <w:p w:rsidR="00532862" w:rsidRPr="00E633AD" w:rsidRDefault="00532862" w:rsidP="00527ADC">
      <w:pPr>
        <w:shd w:val="clear" w:color="auto" w:fill="FFFFFF"/>
        <w:spacing w:after="0" w:line="240" w:lineRule="auto"/>
        <w:ind w:left="360"/>
        <w:rPr>
          <w:rFonts w:ascii="Cambria" w:eastAsia="Times New Roman" w:hAnsi="Cambria" w:cs="Segoe UI"/>
          <w:color w:val="0F1115"/>
          <w:sz w:val="24"/>
          <w:szCs w:val="24"/>
        </w:rPr>
      </w:pPr>
    </w:p>
    <w:p w:rsidR="00CB1E62" w:rsidRPr="00E633AD" w:rsidRDefault="00CB1E62" w:rsidP="00532862">
      <w:pPr>
        <w:shd w:val="clear" w:color="auto" w:fill="FFFFFF"/>
        <w:spacing w:after="0" w:line="240" w:lineRule="auto"/>
        <w:outlineLvl w:val="2"/>
        <w:rPr>
          <w:rFonts w:ascii="Cambria" w:eastAsia="Times New Roman" w:hAnsi="Cambria" w:cs="Segoe UI"/>
          <w:b/>
          <w:bCs/>
          <w:color w:val="0F1115"/>
          <w:sz w:val="27"/>
          <w:szCs w:val="27"/>
        </w:rPr>
      </w:pPr>
      <w:r w:rsidRPr="00E633AD">
        <w:rPr>
          <w:rFonts w:ascii="Cambria" w:eastAsia="Times New Roman" w:hAnsi="Cambria" w:cs="Segoe UI"/>
          <w:b/>
          <w:bCs/>
          <w:color w:val="0F1115"/>
          <w:sz w:val="27"/>
          <w:szCs w:val="27"/>
        </w:rPr>
        <w:t>Analytical Framework</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1"/>
        <w:gridCol w:w="3487"/>
        <w:gridCol w:w="3677"/>
      </w:tblGrid>
      <w:tr w:rsidR="00CB1E62" w:rsidRPr="00E633AD" w:rsidTr="008C3415">
        <w:trPr>
          <w:tblHeader/>
        </w:trPr>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Approach</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Question</w:t>
            </w:r>
          </w:p>
        </w:tc>
        <w:tc>
          <w:tcPr>
            <w:tcW w:w="3677"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Key Output</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Descriptive</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What happened?</w:t>
            </w:r>
          </w:p>
        </w:tc>
        <w:tc>
          <w:tcPr>
            <w:tcW w:w="3677"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Trends, distributions, rankings</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Diagnostic</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Why did it happen?</w:t>
            </w:r>
          </w:p>
        </w:tc>
        <w:tc>
          <w:tcPr>
            <w:tcW w:w="3677"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Drivers, correlations, causality</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lastRenderedPageBreak/>
              <w:t>Predictive</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What will happen?</w:t>
            </w:r>
          </w:p>
        </w:tc>
        <w:tc>
          <w:tcPr>
            <w:tcW w:w="3677"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2026 forecasts, recession risk</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Prescriptive</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What should we do?</w:t>
            </w:r>
          </w:p>
        </w:tc>
        <w:tc>
          <w:tcPr>
            <w:tcW w:w="3677"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Policy recommendations, optimization</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Classification</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Which category?</w:t>
            </w:r>
          </w:p>
        </w:tc>
        <w:tc>
          <w:tcPr>
            <w:tcW w:w="3677"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Risk tiers, investment grades, clusters</w:t>
            </w:r>
          </w:p>
        </w:tc>
      </w:tr>
    </w:tbl>
    <w:p w:rsidR="00CB1E62" w:rsidRDefault="00CB1E62" w:rsidP="00532862">
      <w:pPr>
        <w:spacing w:after="0" w:line="240" w:lineRule="auto"/>
        <w:rPr>
          <w:rFonts w:ascii="Cambria" w:eastAsia="Times New Roman" w:hAnsi="Cambria" w:cs="Times New Roman"/>
          <w:sz w:val="24"/>
          <w:szCs w:val="24"/>
        </w:rPr>
      </w:pPr>
    </w:p>
    <w:p w:rsidR="00527ADC" w:rsidRPr="00E633AD" w:rsidRDefault="00527ADC" w:rsidP="00532862">
      <w:pPr>
        <w:spacing w:after="0" w:line="240" w:lineRule="auto"/>
        <w:rPr>
          <w:rFonts w:ascii="Cambria" w:eastAsia="Times New Roman" w:hAnsi="Cambria" w:cs="Times New Roman"/>
          <w:sz w:val="24"/>
          <w:szCs w:val="24"/>
        </w:rPr>
      </w:pPr>
    </w:p>
    <w:p w:rsidR="00CB1E62" w:rsidRDefault="00CB1E62" w:rsidP="00532862">
      <w:pPr>
        <w:shd w:val="clear" w:color="auto" w:fill="FFFFFF"/>
        <w:spacing w:after="0" w:line="240" w:lineRule="auto"/>
        <w:outlineLvl w:val="1"/>
        <w:rPr>
          <w:rFonts w:ascii="Cambria" w:eastAsia="Times New Roman" w:hAnsi="Cambria" w:cs="Segoe UI"/>
          <w:b/>
          <w:bCs/>
          <w:color w:val="0F1115"/>
          <w:sz w:val="36"/>
          <w:szCs w:val="36"/>
        </w:rPr>
      </w:pPr>
      <w:r w:rsidRPr="00E633AD">
        <w:rPr>
          <w:rFonts w:ascii="Cambria" w:eastAsia="Times New Roman" w:hAnsi="Cambria" w:cs="Segoe UI"/>
          <w:b/>
          <w:bCs/>
          <w:color w:val="0F1115"/>
          <w:sz w:val="36"/>
          <w:szCs w:val="36"/>
        </w:rPr>
        <w:t>Descriptive Analysis: What Happened?</w:t>
      </w:r>
    </w:p>
    <w:p w:rsidR="00527ADC" w:rsidRPr="00527ADC" w:rsidRDefault="00527ADC" w:rsidP="00532862">
      <w:pPr>
        <w:shd w:val="clear" w:color="auto" w:fill="FFFFFF"/>
        <w:spacing w:after="0" w:line="240" w:lineRule="auto"/>
        <w:outlineLvl w:val="1"/>
        <w:rPr>
          <w:rFonts w:ascii="Cambria" w:eastAsia="Times New Roman" w:hAnsi="Cambria" w:cs="Segoe UI"/>
          <w:b/>
          <w:bCs/>
          <w:color w:val="0F1115"/>
        </w:rPr>
      </w:pPr>
    </w:p>
    <w:p w:rsidR="00CB1E62" w:rsidRPr="00E633AD" w:rsidRDefault="00CB1E62" w:rsidP="00532862">
      <w:pPr>
        <w:shd w:val="clear" w:color="auto" w:fill="FFFFFF"/>
        <w:spacing w:after="0" w:line="240" w:lineRule="auto"/>
        <w:outlineLvl w:val="2"/>
        <w:rPr>
          <w:rFonts w:ascii="Cambria" w:eastAsia="Times New Roman" w:hAnsi="Cambria" w:cs="Segoe UI"/>
          <w:b/>
          <w:bCs/>
          <w:color w:val="0F1115"/>
          <w:sz w:val="27"/>
          <w:szCs w:val="27"/>
        </w:rPr>
      </w:pPr>
      <w:r w:rsidRPr="00E633AD">
        <w:rPr>
          <w:rFonts w:ascii="Cambria" w:eastAsia="Times New Roman" w:hAnsi="Cambria" w:cs="Segoe UI"/>
          <w:b/>
          <w:bCs/>
          <w:color w:val="0F1115"/>
          <w:sz w:val="27"/>
          <w:szCs w:val="27"/>
        </w:rPr>
        <w:t>Key Findings</w:t>
      </w:r>
    </w:p>
    <w:p w:rsidR="00CB1E62" w:rsidRPr="00E633AD" w:rsidRDefault="00CB1E62" w:rsidP="00532862">
      <w:pPr>
        <w:shd w:val="clear" w:color="auto" w:fill="FFFFFF"/>
        <w:spacing w:after="0" w:line="240" w:lineRule="auto"/>
        <w:rPr>
          <w:rFonts w:ascii="Cambria" w:eastAsia="Times New Roman" w:hAnsi="Cambria" w:cs="Segoe UI"/>
          <w:color w:val="0F1115"/>
          <w:sz w:val="24"/>
          <w:szCs w:val="24"/>
        </w:rPr>
      </w:pPr>
      <w:r w:rsidRPr="00E633AD">
        <w:rPr>
          <w:rFonts w:ascii="Cambria" w:eastAsia="Times New Roman" w:hAnsi="Cambria" w:cs="Segoe UI"/>
          <w:b/>
          <w:bCs/>
          <w:color w:val="0F1115"/>
          <w:sz w:val="24"/>
          <w:szCs w:val="24"/>
        </w:rPr>
        <w:t>Global Economic Growth (2016-2025)</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06"/>
        <w:gridCol w:w="4349"/>
      </w:tblGrid>
      <w:tr w:rsidR="00CB1E62" w:rsidRPr="00E633AD" w:rsidTr="008C3415">
        <w:trPr>
          <w:tblHeader/>
        </w:trPr>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Metric</w:t>
            </w:r>
          </w:p>
        </w:tc>
        <w:tc>
          <w:tcPr>
            <w:tcW w:w="4349"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Value</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Global GDP (2016)</w:t>
            </w:r>
          </w:p>
        </w:tc>
        <w:tc>
          <w:tcPr>
            <w:tcW w:w="4349"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$77 trillion</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Global GDP (2025)</w:t>
            </w:r>
          </w:p>
        </w:tc>
        <w:tc>
          <w:tcPr>
            <w:tcW w:w="4349"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$118 trillion</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Total Growth</w:t>
            </w:r>
          </w:p>
        </w:tc>
        <w:tc>
          <w:tcPr>
            <w:tcW w:w="4349"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53% over decade</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Average GDP Growth</w:t>
            </w:r>
          </w:p>
        </w:tc>
        <w:tc>
          <w:tcPr>
            <w:tcW w:w="4349"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2.7% (mean), 3.2% (median)</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Average Inflation</w:t>
            </w:r>
          </w:p>
        </w:tc>
        <w:tc>
          <w:tcPr>
            <w:tcW w:w="4349"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8.0% (mean), 3.2% (median)</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Average Unemployment</w:t>
            </w:r>
          </w:p>
        </w:tc>
        <w:tc>
          <w:tcPr>
            <w:tcW w:w="4349"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7.8% (mean), 6.0% (median)</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Average Debt-to-GDP</w:t>
            </w:r>
          </w:p>
        </w:tc>
        <w:tc>
          <w:tcPr>
            <w:tcW w:w="4349"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59.1% (mean), 51.8% (median)</w:t>
            </w:r>
          </w:p>
        </w:tc>
      </w:tr>
    </w:tbl>
    <w:p w:rsidR="00527ADC" w:rsidRDefault="00527ADC" w:rsidP="00532862">
      <w:pPr>
        <w:shd w:val="clear" w:color="auto" w:fill="FFFFFF"/>
        <w:spacing w:after="0" w:line="240" w:lineRule="auto"/>
        <w:rPr>
          <w:rFonts w:ascii="Cambria" w:eastAsia="Times New Roman" w:hAnsi="Cambria" w:cs="Segoe UI"/>
          <w:b/>
          <w:bCs/>
          <w:color w:val="0F1115"/>
          <w:sz w:val="24"/>
          <w:szCs w:val="24"/>
        </w:rPr>
      </w:pPr>
    </w:p>
    <w:p w:rsidR="00527ADC" w:rsidRDefault="00527ADC" w:rsidP="00532862">
      <w:pPr>
        <w:shd w:val="clear" w:color="auto" w:fill="FFFFFF"/>
        <w:spacing w:after="0" w:line="240" w:lineRule="auto"/>
        <w:rPr>
          <w:rFonts w:ascii="Cambria" w:eastAsia="Times New Roman" w:hAnsi="Cambria" w:cs="Segoe UI"/>
          <w:b/>
          <w:bCs/>
          <w:color w:val="0F1115"/>
          <w:sz w:val="24"/>
          <w:szCs w:val="24"/>
        </w:rPr>
      </w:pPr>
    </w:p>
    <w:p w:rsidR="00CB1E62" w:rsidRPr="00E633AD" w:rsidRDefault="00CB1E62" w:rsidP="00532862">
      <w:pPr>
        <w:shd w:val="clear" w:color="auto" w:fill="FFFFFF"/>
        <w:spacing w:after="0" w:line="240" w:lineRule="auto"/>
        <w:rPr>
          <w:rFonts w:ascii="Cambria" w:eastAsia="Times New Roman" w:hAnsi="Cambria" w:cs="Segoe UI"/>
          <w:color w:val="0F1115"/>
          <w:sz w:val="24"/>
          <w:szCs w:val="24"/>
        </w:rPr>
      </w:pPr>
      <w:r w:rsidRPr="00E633AD">
        <w:rPr>
          <w:rFonts w:ascii="Cambria" w:eastAsia="Times New Roman" w:hAnsi="Cambria" w:cs="Segoe UI"/>
          <w:b/>
          <w:bCs/>
          <w:color w:val="0F1115"/>
          <w:sz w:val="24"/>
          <w:szCs w:val="24"/>
        </w:rPr>
        <w:t>COVID-19 Impact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3"/>
        <w:gridCol w:w="3114"/>
        <w:gridCol w:w="5078"/>
      </w:tblGrid>
      <w:tr w:rsidR="00CB1E62" w:rsidRPr="00E633AD" w:rsidTr="008C3415">
        <w:trPr>
          <w:tblHeader/>
        </w:trPr>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Year</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Global Growth</w:t>
            </w:r>
          </w:p>
        </w:tc>
        <w:tc>
          <w:tcPr>
            <w:tcW w:w="5078"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Event</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2019</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2.76%</w:t>
            </w:r>
          </w:p>
        </w:tc>
        <w:tc>
          <w:tcPr>
            <w:tcW w:w="5078"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Pre-pandemic baseline</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2020</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-4.82%</w:t>
            </w:r>
          </w:p>
        </w:tc>
        <w:tc>
          <w:tcPr>
            <w:tcW w:w="5078"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Sharp contraction (-7.58 point drop)</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2021</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5.92%</w:t>
            </w:r>
          </w:p>
        </w:tc>
        <w:tc>
          <w:tcPr>
            <w:tcW w:w="5078"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V-shaped recovery (record +14.2% nominal)</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lastRenderedPageBreak/>
              <w:t>2022</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4.01%</w:t>
            </w:r>
          </w:p>
        </w:tc>
        <w:tc>
          <w:tcPr>
            <w:tcW w:w="5078"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Inflation spike (13.6% peak)</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2025</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3.71%</w:t>
            </w:r>
          </w:p>
        </w:tc>
        <w:tc>
          <w:tcPr>
            <w:tcW w:w="5078"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Normalization</w:t>
            </w:r>
          </w:p>
        </w:tc>
      </w:tr>
    </w:tbl>
    <w:p w:rsidR="00527ADC" w:rsidRDefault="00527ADC" w:rsidP="00532862">
      <w:pPr>
        <w:shd w:val="clear" w:color="auto" w:fill="FFFFFF"/>
        <w:spacing w:after="0" w:line="240" w:lineRule="auto"/>
        <w:rPr>
          <w:rFonts w:ascii="Cambria" w:eastAsia="Times New Roman" w:hAnsi="Cambria" w:cs="Segoe UI"/>
          <w:b/>
          <w:bCs/>
          <w:color w:val="0F1115"/>
          <w:sz w:val="24"/>
          <w:szCs w:val="24"/>
        </w:rPr>
      </w:pPr>
    </w:p>
    <w:p w:rsidR="00527ADC" w:rsidRDefault="00527ADC" w:rsidP="00532862">
      <w:pPr>
        <w:shd w:val="clear" w:color="auto" w:fill="FFFFFF"/>
        <w:spacing w:after="0" w:line="240" w:lineRule="auto"/>
        <w:rPr>
          <w:rFonts w:ascii="Cambria" w:eastAsia="Times New Roman" w:hAnsi="Cambria" w:cs="Segoe UI"/>
          <w:b/>
          <w:bCs/>
          <w:color w:val="0F1115"/>
          <w:sz w:val="24"/>
          <w:szCs w:val="24"/>
        </w:rPr>
      </w:pPr>
    </w:p>
    <w:p w:rsidR="00CB1E62" w:rsidRPr="00E633AD" w:rsidRDefault="00CB1E62" w:rsidP="00532862">
      <w:pPr>
        <w:shd w:val="clear" w:color="auto" w:fill="FFFFFF"/>
        <w:spacing w:after="0" w:line="240" w:lineRule="auto"/>
        <w:rPr>
          <w:rFonts w:ascii="Cambria" w:eastAsia="Times New Roman" w:hAnsi="Cambria" w:cs="Segoe UI"/>
          <w:color w:val="0F1115"/>
          <w:sz w:val="24"/>
          <w:szCs w:val="24"/>
        </w:rPr>
      </w:pPr>
      <w:r w:rsidRPr="00E633AD">
        <w:rPr>
          <w:rFonts w:ascii="Cambria" w:eastAsia="Times New Roman" w:hAnsi="Cambria" w:cs="Segoe UI"/>
          <w:b/>
          <w:bCs/>
          <w:color w:val="0F1115"/>
          <w:sz w:val="24"/>
          <w:szCs w:val="24"/>
        </w:rPr>
        <w:t>2025 World Leaders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13"/>
        <w:gridCol w:w="3443"/>
        <w:gridCol w:w="2199"/>
      </w:tblGrid>
      <w:tr w:rsidR="00CB1E62" w:rsidRPr="00E633AD" w:rsidTr="00527ADC">
        <w:trPr>
          <w:tblHeader/>
        </w:trPr>
        <w:tc>
          <w:tcPr>
            <w:tcW w:w="3713" w:type="dxa"/>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Category</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Country</w:t>
            </w:r>
          </w:p>
        </w:tc>
        <w:tc>
          <w:tcPr>
            <w:tcW w:w="2199"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Value</w:t>
            </w:r>
          </w:p>
        </w:tc>
      </w:tr>
      <w:tr w:rsidR="00CB1E62" w:rsidRPr="00E633AD" w:rsidTr="00527ADC">
        <w:tc>
          <w:tcPr>
            <w:tcW w:w="3713" w:type="dxa"/>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Largest Economy</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United States</w:t>
            </w:r>
          </w:p>
        </w:tc>
        <w:tc>
          <w:tcPr>
            <w:tcW w:w="2199"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$30,767 Billion</w:t>
            </w:r>
          </w:p>
        </w:tc>
      </w:tr>
      <w:tr w:rsidR="00CB1E62" w:rsidRPr="00E633AD" w:rsidTr="00527ADC">
        <w:tc>
          <w:tcPr>
            <w:tcW w:w="3713" w:type="dxa"/>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Fastest Growing</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South Sudan</w:t>
            </w:r>
          </w:p>
        </w:tc>
        <w:tc>
          <w:tcPr>
            <w:tcW w:w="2199"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46.1%</w:t>
            </w:r>
          </w:p>
        </w:tc>
      </w:tr>
      <w:tr w:rsidR="00CB1E62" w:rsidRPr="00E633AD" w:rsidTr="00527ADC">
        <w:tc>
          <w:tcPr>
            <w:tcW w:w="3713" w:type="dxa"/>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Richest Country</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Liechtenstein</w:t>
            </w:r>
          </w:p>
        </w:tc>
        <w:tc>
          <w:tcPr>
            <w:tcW w:w="2199"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$217,928 per capita</w:t>
            </w:r>
          </w:p>
        </w:tc>
      </w:tr>
      <w:tr w:rsidR="00CB1E62" w:rsidRPr="00E633AD" w:rsidTr="00527ADC">
        <w:tc>
          <w:tcPr>
            <w:tcW w:w="3713" w:type="dxa"/>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Most Indebted</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Venezuela</w:t>
            </w:r>
          </w:p>
        </w:tc>
        <w:tc>
          <w:tcPr>
            <w:tcW w:w="2199"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308.7% of GDP</w:t>
            </w:r>
          </w:p>
        </w:tc>
      </w:tr>
    </w:tbl>
    <w:p w:rsidR="008C3415" w:rsidRPr="00E633AD" w:rsidRDefault="008C3415" w:rsidP="00532862">
      <w:pPr>
        <w:shd w:val="clear" w:color="auto" w:fill="FFFFFF"/>
        <w:spacing w:after="0" w:line="240" w:lineRule="auto"/>
        <w:rPr>
          <w:rFonts w:ascii="Cambria" w:eastAsia="Times New Roman" w:hAnsi="Cambria" w:cs="Segoe UI"/>
          <w:b/>
          <w:bCs/>
          <w:color w:val="0F1115"/>
          <w:sz w:val="24"/>
          <w:szCs w:val="24"/>
        </w:rPr>
      </w:pPr>
    </w:p>
    <w:p w:rsidR="008C3415" w:rsidRPr="00E633AD" w:rsidRDefault="008C3415" w:rsidP="00532862">
      <w:pPr>
        <w:shd w:val="clear" w:color="auto" w:fill="FFFFFF"/>
        <w:spacing w:after="0" w:line="240" w:lineRule="auto"/>
        <w:rPr>
          <w:rFonts w:ascii="Cambria" w:eastAsia="Times New Roman" w:hAnsi="Cambria" w:cs="Segoe UI"/>
          <w:b/>
          <w:bCs/>
          <w:color w:val="0F1115"/>
          <w:sz w:val="24"/>
          <w:szCs w:val="24"/>
        </w:rPr>
      </w:pPr>
    </w:p>
    <w:p w:rsidR="00CB1E62" w:rsidRPr="00E633AD" w:rsidRDefault="00CB1E62" w:rsidP="00532862">
      <w:pPr>
        <w:shd w:val="clear" w:color="auto" w:fill="FFFFFF"/>
        <w:spacing w:after="0" w:line="240" w:lineRule="auto"/>
        <w:rPr>
          <w:rFonts w:ascii="Cambria" w:eastAsia="Times New Roman" w:hAnsi="Cambria" w:cs="Segoe UI"/>
          <w:color w:val="0F1115"/>
          <w:sz w:val="24"/>
          <w:szCs w:val="24"/>
        </w:rPr>
      </w:pPr>
      <w:r w:rsidRPr="00E633AD">
        <w:rPr>
          <w:rFonts w:ascii="Cambria" w:eastAsia="Times New Roman" w:hAnsi="Cambria" w:cs="Segoe UI"/>
          <w:b/>
          <w:bCs/>
          <w:color w:val="0F1115"/>
          <w:sz w:val="24"/>
          <w:szCs w:val="24"/>
        </w:rPr>
        <w:t>Global GDP Concentration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88"/>
        <w:gridCol w:w="3667"/>
      </w:tblGrid>
      <w:tr w:rsidR="00CB1E62" w:rsidRPr="00E633AD" w:rsidTr="008C3415">
        <w:trPr>
          <w:tblHeader/>
        </w:trPr>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Group</w:t>
            </w:r>
          </w:p>
        </w:tc>
        <w:tc>
          <w:tcPr>
            <w:tcW w:w="3667"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Share of Global GDP</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Top 5 Economies</w:t>
            </w:r>
          </w:p>
        </w:tc>
        <w:tc>
          <w:tcPr>
            <w:tcW w:w="3667"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54.1%</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Top 10 Economies</w:t>
            </w:r>
          </w:p>
        </w:tc>
        <w:tc>
          <w:tcPr>
            <w:tcW w:w="3667"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66.6%</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Remaining 184 Countries</w:t>
            </w:r>
          </w:p>
        </w:tc>
        <w:tc>
          <w:tcPr>
            <w:tcW w:w="3667"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33.4%</w:t>
            </w:r>
          </w:p>
        </w:tc>
      </w:tr>
    </w:tbl>
    <w:p w:rsidR="00527ADC" w:rsidRDefault="00527ADC" w:rsidP="00532862">
      <w:pPr>
        <w:shd w:val="clear" w:color="auto" w:fill="FFFFFF"/>
        <w:spacing w:after="0" w:line="240" w:lineRule="auto"/>
        <w:rPr>
          <w:rFonts w:ascii="Cambria" w:eastAsia="Times New Roman" w:hAnsi="Cambria" w:cs="Segoe UI"/>
          <w:b/>
          <w:bCs/>
          <w:color w:val="0F1115"/>
          <w:sz w:val="24"/>
          <w:szCs w:val="24"/>
        </w:rPr>
      </w:pPr>
    </w:p>
    <w:p w:rsidR="00CB1E62" w:rsidRPr="00E633AD" w:rsidRDefault="00CB1E62" w:rsidP="00527ADC">
      <w:pPr>
        <w:shd w:val="clear" w:color="auto" w:fill="FFFFFF"/>
        <w:spacing w:after="0" w:line="240" w:lineRule="auto"/>
        <w:jc w:val="both"/>
        <w:rPr>
          <w:rFonts w:ascii="Cambria" w:eastAsia="Times New Roman" w:hAnsi="Cambria" w:cs="Segoe UI"/>
          <w:color w:val="0F1115"/>
          <w:sz w:val="24"/>
          <w:szCs w:val="24"/>
        </w:rPr>
      </w:pPr>
      <w:r w:rsidRPr="00E633AD">
        <w:rPr>
          <w:rFonts w:ascii="Cambria" w:eastAsia="Times New Roman" w:hAnsi="Cambria" w:cs="Segoe UI"/>
          <w:b/>
          <w:bCs/>
          <w:color w:val="0F1115"/>
          <w:sz w:val="24"/>
          <w:szCs w:val="24"/>
        </w:rPr>
        <w:t>Critical Insight:</w:t>
      </w:r>
      <w:r w:rsidRPr="00E633AD">
        <w:rPr>
          <w:rFonts w:ascii="Cambria" w:eastAsia="Times New Roman" w:hAnsi="Cambria" w:cs="Segoe UI"/>
          <w:color w:val="0F1115"/>
          <w:sz w:val="24"/>
          <w:szCs w:val="24"/>
        </w:rPr>
        <w:t> Just 10 countries control two-thirds of global economic output, while the remaining 184 countries share one-third.</w:t>
      </w:r>
    </w:p>
    <w:p w:rsidR="00CB1E62" w:rsidRPr="00E633AD" w:rsidRDefault="00CB1E62" w:rsidP="00532862">
      <w:pPr>
        <w:spacing w:after="0" w:line="240" w:lineRule="auto"/>
        <w:rPr>
          <w:rFonts w:ascii="Cambria" w:eastAsia="Times New Roman" w:hAnsi="Cambria" w:cs="Times New Roman"/>
          <w:sz w:val="24"/>
          <w:szCs w:val="24"/>
        </w:rPr>
      </w:pPr>
    </w:p>
    <w:p w:rsidR="00CB1E62" w:rsidRPr="00E633AD" w:rsidRDefault="00CB1E62" w:rsidP="00532862">
      <w:pPr>
        <w:shd w:val="clear" w:color="auto" w:fill="FFFFFF"/>
        <w:spacing w:after="0" w:line="240" w:lineRule="auto"/>
        <w:outlineLvl w:val="1"/>
        <w:rPr>
          <w:rFonts w:ascii="Cambria" w:eastAsia="Times New Roman" w:hAnsi="Cambria" w:cs="Segoe UI"/>
          <w:b/>
          <w:bCs/>
          <w:color w:val="0F1115"/>
          <w:sz w:val="36"/>
          <w:szCs w:val="36"/>
        </w:rPr>
      </w:pPr>
      <w:r w:rsidRPr="00E633AD">
        <w:rPr>
          <w:rFonts w:ascii="Cambria" w:eastAsia="Times New Roman" w:hAnsi="Cambria" w:cs="Segoe UI"/>
          <w:b/>
          <w:bCs/>
          <w:color w:val="0F1115"/>
          <w:sz w:val="36"/>
          <w:szCs w:val="36"/>
        </w:rPr>
        <w:t>Diagnostic Analysis: Why Did It Happen?</w:t>
      </w:r>
    </w:p>
    <w:p w:rsidR="007A11D5" w:rsidRDefault="007A11D5" w:rsidP="00532862">
      <w:pPr>
        <w:shd w:val="clear" w:color="auto" w:fill="FFFFFF"/>
        <w:spacing w:after="0" w:line="240" w:lineRule="auto"/>
        <w:outlineLvl w:val="2"/>
        <w:rPr>
          <w:rFonts w:ascii="Cambria" w:eastAsia="Times New Roman" w:hAnsi="Cambria" w:cs="Segoe UI"/>
          <w:b/>
          <w:bCs/>
          <w:color w:val="0F1115"/>
          <w:sz w:val="27"/>
          <w:szCs w:val="27"/>
        </w:rPr>
      </w:pPr>
    </w:p>
    <w:p w:rsidR="00CB1E62" w:rsidRPr="00E633AD" w:rsidRDefault="00CB1E62" w:rsidP="00532862">
      <w:pPr>
        <w:shd w:val="clear" w:color="auto" w:fill="FFFFFF"/>
        <w:spacing w:after="0" w:line="240" w:lineRule="auto"/>
        <w:outlineLvl w:val="2"/>
        <w:rPr>
          <w:rFonts w:ascii="Cambria" w:eastAsia="Times New Roman" w:hAnsi="Cambria" w:cs="Segoe UI"/>
          <w:b/>
          <w:bCs/>
          <w:color w:val="0F1115"/>
          <w:sz w:val="27"/>
          <w:szCs w:val="27"/>
        </w:rPr>
      </w:pPr>
      <w:r w:rsidRPr="00E633AD">
        <w:rPr>
          <w:rFonts w:ascii="Cambria" w:eastAsia="Times New Roman" w:hAnsi="Cambria" w:cs="Segoe UI"/>
          <w:b/>
          <w:bCs/>
          <w:color w:val="0F1115"/>
          <w:sz w:val="27"/>
          <w:szCs w:val="27"/>
        </w:rPr>
        <w:t>Key Questions Answered</w:t>
      </w:r>
    </w:p>
    <w:p w:rsidR="00CB1E62" w:rsidRPr="00E633AD" w:rsidRDefault="00CB1E62" w:rsidP="00532862">
      <w:pPr>
        <w:shd w:val="clear" w:color="auto" w:fill="FFFFFF"/>
        <w:spacing w:after="0" w:line="240" w:lineRule="auto"/>
        <w:rPr>
          <w:rFonts w:ascii="Cambria" w:eastAsia="Times New Roman" w:hAnsi="Cambria" w:cs="Segoe UI"/>
          <w:color w:val="0F1115"/>
          <w:sz w:val="24"/>
          <w:szCs w:val="24"/>
        </w:rPr>
      </w:pPr>
      <w:r w:rsidRPr="00E633AD">
        <w:rPr>
          <w:rFonts w:ascii="Cambria" w:eastAsia="Times New Roman" w:hAnsi="Cambria" w:cs="Segoe UI"/>
          <w:b/>
          <w:bCs/>
          <w:color w:val="0F1115"/>
          <w:sz w:val="24"/>
          <w:szCs w:val="24"/>
        </w:rPr>
        <w:t>Q1: Why did GDP growth drop in 2020?</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43"/>
        <w:gridCol w:w="5612"/>
      </w:tblGrid>
      <w:tr w:rsidR="00CB1E62" w:rsidRPr="00E633AD" w:rsidTr="008C3415">
        <w:trPr>
          <w:tblHeader/>
        </w:trPr>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Metric</w:t>
            </w:r>
          </w:p>
        </w:tc>
        <w:tc>
          <w:tcPr>
            <w:tcW w:w="5612"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Value</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2019 Global Growth</w:t>
            </w:r>
          </w:p>
        </w:tc>
        <w:tc>
          <w:tcPr>
            <w:tcW w:w="5612"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2.76%</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lastRenderedPageBreak/>
              <w:t>2020 Global Growth</w:t>
            </w:r>
          </w:p>
        </w:tc>
        <w:tc>
          <w:tcPr>
            <w:tcW w:w="5612"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-4.82%</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Drop</w:t>
            </w:r>
          </w:p>
        </w:tc>
        <w:tc>
          <w:tcPr>
            <w:tcW w:w="5612"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-7.58 percentage points</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2021 Recovery</w:t>
            </w:r>
          </w:p>
        </w:tc>
        <w:tc>
          <w:tcPr>
            <w:tcW w:w="5612"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5.92%</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T-Test Result</w:t>
            </w:r>
          </w:p>
        </w:tc>
        <w:tc>
          <w:tcPr>
            <w:tcW w:w="5612"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t=-19.60, p=0.0000 (statistically significant)</w:t>
            </w:r>
          </w:p>
        </w:tc>
      </w:tr>
    </w:tbl>
    <w:p w:rsidR="00CB1E62" w:rsidRPr="00E633AD" w:rsidRDefault="00CB1E62" w:rsidP="00532862">
      <w:pPr>
        <w:shd w:val="clear" w:color="auto" w:fill="FFFFFF"/>
        <w:spacing w:after="0" w:line="240" w:lineRule="auto"/>
        <w:rPr>
          <w:rFonts w:ascii="Cambria" w:eastAsia="Times New Roman" w:hAnsi="Cambria" w:cs="Segoe UI"/>
          <w:color w:val="0F1115"/>
          <w:sz w:val="24"/>
          <w:szCs w:val="24"/>
        </w:rPr>
      </w:pPr>
      <w:r w:rsidRPr="00E633AD">
        <w:rPr>
          <w:rFonts w:ascii="Cambria" w:eastAsia="Times New Roman" w:hAnsi="Cambria" w:cs="Segoe UI"/>
          <w:b/>
          <w:bCs/>
          <w:color w:val="0F1115"/>
          <w:sz w:val="24"/>
          <w:szCs w:val="24"/>
        </w:rPr>
        <w:t>Hardest Hit Countries (2020):</w:t>
      </w:r>
    </w:p>
    <w:p w:rsidR="00CB1E62" w:rsidRPr="00E633AD" w:rsidRDefault="00CB1E62" w:rsidP="00D415BD">
      <w:pPr>
        <w:shd w:val="clear" w:color="auto" w:fill="FFFFFF"/>
        <w:spacing w:after="0" w:line="240" w:lineRule="auto"/>
        <w:rPr>
          <w:rFonts w:ascii="Cambria" w:eastAsia="Times New Roman" w:hAnsi="Cambria" w:cs="Segoe UI"/>
          <w:color w:val="0F1115"/>
          <w:sz w:val="24"/>
          <w:szCs w:val="24"/>
        </w:rPr>
      </w:pPr>
      <w:r w:rsidRPr="00E633AD">
        <w:rPr>
          <w:rFonts w:ascii="Cambria" w:eastAsia="Times New Roman" w:hAnsi="Cambria" w:cs="Segoe UI"/>
          <w:color w:val="0F1115"/>
          <w:sz w:val="24"/>
          <w:szCs w:val="24"/>
        </w:rPr>
        <w:t>Maldives (-32.9%), Venezuela (-30.0%), Libya (-29.5%), Lebanon (-26.8%)</w:t>
      </w:r>
    </w:p>
    <w:p w:rsidR="00D415BD" w:rsidRDefault="00D415BD" w:rsidP="00532862">
      <w:pPr>
        <w:shd w:val="clear" w:color="auto" w:fill="FFFFFF"/>
        <w:spacing w:after="0" w:line="240" w:lineRule="auto"/>
        <w:rPr>
          <w:rFonts w:ascii="Cambria" w:eastAsia="Times New Roman" w:hAnsi="Cambria" w:cs="Segoe UI"/>
          <w:b/>
          <w:bCs/>
          <w:color w:val="0F1115"/>
          <w:sz w:val="24"/>
          <w:szCs w:val="24"/>
        </w:rPr>
      </w:pPr>
    </w:p>
    <w:p w:rsidR="00CB1E62" w:rsidRPr="00E633AD" w:rsidRDefault="00CB1E62" w:rsidP="00532862">
      <w:pPr>
        <w:shd w:val="clear" w:color="auto" w:fill="FFFFFF"/>
        <w:spacing w:after="0" w:line="240" w:lineRule="auto"/>
        <w:rPr>
          <w:rFonts w:ascii="Cambria" w:eastAsia="Times New Roman" w:hAnsi="Cambria" w:cs="Segoe UI"/>
          <w:color w:val="0F1115"/>
          <w:sz w:val="24"/>
          <w:szCs w:val="24"/>
        </w:rPr>
      </w:pPr>
      <w:r w:rsidRPr="00E633AD">
        <w:rPr>
          <w:rFonts w:ascii="Cambria" w:eastAsia="Times New Roman" w:hAnsi="Cambria" w:cs="Segoe UI"/>
          <w:b/>
          <w:bCs/>
          <w:color w:val="0F1115"/>
          <w:sz w:val="24"/>
          <w:szCs w:val="24"/>
        </w:rPr>
        <w:t>Q2: What factors drive economic growth?</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5"/>
        <w:gridCol w:w="2822"/>
        <w:gridCol w:w="1751"/>
        <w:gridCol w:w="3967"/>
      </w:tblGrid>
      <w:tr w:rsidR="00CB1E62" w:rsidRPr="00E633AD" w:rsidTr="008C3415">
        <w:trPr>
          <w:tblHeader/>
        </w:trPr>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Rank</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Driver</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Correlation</w:t>
            </w:r>
          </w:p>
        </w:tc>
        <w:tc>
          <w:tcPr>
            <w:tcW w:w="3967"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Type</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D415BD">
            <w:pPr>
              <w:spacing w:after="0" w:line="240" w:lineRule="auto"/>
              <w:jc w:val="center"/>
              <w:rPr>
                <w:rFonts w:ascii="Cambria" w:eastAsia="Times New Roman" w:hAnsi="Cambria" w:cs="Times New Roman"/>
                <w:sz w:val="24"/>
                <w:szCs w:val="24"/>
              </w:rPr>
            </w:pPr>
            <w:r w:rsidRPr="00E633AD">
              <w:rPr>
                <w:rFonts w:ascii="Cambria" w:eastAsia="Times New Roman" w:hAnsi="Cambria" w:cs="Times New Roman"/>
                <w:sz w:val="24"/>
                <w:szCs w:val="24"/>
              </w:rPr>
              <w:t>1</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Economic Resilience</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+0.654</w:t>
            </w:r>
          </w:p>
        </w:tc>
        <w:tc>
          <w:tcPr>
            <w:tcW w:w="3967"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Strong Positive</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D415BD">
            <w:pPr>
              <w:spacing w:after="0" w:line="240" w:lineRule="auto"/>
              <w:jc w:val="center"/>
              <w:rPr>
                <w:rFonts w:ascii="Cambria" w:eastAsia="Times New Roman" w:hAnsi="Cambria" w:cs="Times New Roman"/>
                <w:sz w:val="24"/>
                <w:szCs w:val="24"/>
              </w:rPr>
            </w:pPr>
            <w:r w:rsidRPr="00E633AD">
              <w:rPr>
                <w:rFonts w:ascii="Cambria" w:eastAsia="Times New Roman" w:hAnsi="Cambria" w:cs="Times New Roman"/>
                <w:sz w:val="24"/>
                <w:szCs w:val="24"/>
              </w:rPr>
              <w:t>2</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Growth Momentum (3Y)</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+0.612</w:t>
            </w:r>
          </w:p>
        </w:tc>
        <w:tc>
          <w:tcPr>
            <w:tcW w:w="3967"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Strong Positive</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D415BD">
            <w:pPr>
              <w:spacing w:after="0" w:line="240" w:lineRule="auto"/>
              <w:jc w:val="center"/>
              <w:rPr>
                <w:rFonts w:ascii="Cambria" w:eastAsia="Times New Roman" w:hAnsi="Cambria" w:cs="Times New Roman"/>
                <w:sz w:val="24"/>
                <w:szCs w:val="24"/>
              </w:rPr>
            </w:pPr>
            <w:r w:rsidRPr="00E633AD">
              <w:rPr>
                <w:rFonts w:ascii="Cambria" w:eastAsia="Times New Roman" w:hAnsi="Cambria" w:cs="Times New Roman"/>
                <w:sz w:val="24"/>
                <w:szCs w:val="24"/>
              </w:rPr>
              <w:t>3</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Current Account</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+0.016</w:t>
            </w:r>
          </w:p>
        </w:tc>
        <w:tc>
          <w:tcPr>
            <w:tcW w:w="3967"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Weak Positive</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D415BD">
            <w:pPr>
              <w:spacing w:after="0" w:line="240" w:lineRule="auto"/>
              <w:jc w:val="center"/>
              <w:rPr>
                <w:rFonts w:ascii="Cambria" w:eastAsia="Times New Roman" w:hAnsi="Cambria" w:cs="Times New Roman"/>
                <w:sz w:val="24"/>
                <w:szCs w:val="24"/>
              </w:rPr>
            </w:pPr>
            <w:r w:rsidRPr="00E633AD">
              <w:rPr>
                <w:rFonts w:ascii="Cambria" w:eastAsia="Times New Roman" w:hAnsi="Cambria" w:cs="Times New Roman"/>
                <w:sz w:val="24"/>
                <w:szCs w:val="24"/>
              </w:rPr>
              <w:t>4</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Inflation</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-0.130</w:t>
            </w:r>
          </w:p>
        </w:tc>
        <w:tc>
          <w:tcPr>
            <w:tcW w:w="3967"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Weak Negative</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D415BD">
            <w:pPr>
              <w:spacing w:after="0" w:line="240" w:lineRule="auto"/>
              <w:jc w:val="center"/>
              <w:rPr>
                <w:rFonts w:ascii="Cambria" w:eastAsia="Times New Roman" w:hAnsi="Cambria" w:cs="Times New Roman"/>
                <w:sz w:val="24"/>
                <w:szCs w:val="24"/>
              </w:rPr>
            </w:pPr>
            <w:r w:rsidRPr="00E633AD">
              <w:rPr>
                <w:rFonts w:ascii="Cambria" w:eastAsia="Times New Roman" w:hAnsi="Cambria" w:cs="Times New Roman"/>
                <w:sz w:val="24"/>
                <w:szCs w:val="24"/>
              </w:rPr>
              <w:t>5</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Debt-to-GDP</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-0.170</w:t>
            </w:r>
          </w:p>
        </w:tc>
        <w:tc>
          <w:tcPr>
            <w:tcW w:w="3967"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Weak Negative</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D415BD">
            <w:pPr>
              <w:spacing w:after="0" w:line="240" w:lineRule="auto"/>
              <w:jc w:val="center"/>
              <w:rPr>
                <w:rFonts w:ascii="Cambria" w:eastAsia="Times New Roman" w:hAnsi="Cambria" w:cs="Times New Roman"/>
                <w:sz w:val="24"/>
                <w:szCs w:val="24"/>
              </w:rPr>
            </w:pPr>
            <w:r w:rsidRPr="00E633AD">
              <w:rPr>
                <w:rFonts w:ascii="Cambria" w:eastAsia="Times New Roman" w:hAnsi="Cambria" w:cs="Times New Roman"/>
                <w:sz w:val="24"/>
                <w:szCs w:val="24"/>
              </w:rPr>
              <w:t>6</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Unemployment</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-0.208</w:t>
            </w:r>
          </w:p>
        </w:tc>
        <w:tc>
          <w:tcPr>
            <w:tcW w:w="3967"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Weak Negative</w:t>
            </w:r>
          </w:p>
        </w:tc>
      </w:tr>
    </w:tbl>
    <w:p w:rsidR="00D415BD" w:rsidRDefault="00D415BD" w:rsidP="00532862">
      <w:pPr>
        <w:shd w:val="clear" w:color="auto" w:fill="FFFFFF"/>
        <w:spacing w:after="0" w:line="240" w:lineRule="auto"/>
        <w:rPr>
          <w:rFonts w:ascii="Cambria" w:eastAsia="Times New Roman" w:hAnsi="Cambria" w:cs="Segoe UI"/>
          <w:b/>
          <w:bCs/>
          <w:color w:val="0F1115"/>
          <w:sz w:val="24"/>
          <w:szCs w:val="24"/>
        </w:rPr>
      </w:pPr>
    </w:p>
    <w:p w:rsidR="00D415BD" w:rsidRDefault="00D415BD" w:rsidP="00532862">
      <w:pPr>
        <w:shd w:val="clear" w:color="auto" w:fill="FFFFFF"/>
        <w:spacing w:after="0" w:line="240" w:lineRule="auto"/>
        <w:rPr>
          <w:rFonts w:ascii="Cambria" w:eastAsia="Times New Roman" w:hAnsi="Cambria" w:cs="Segoe UI"/>
          <w:b/>
          <w:bCs/>
          <w:color w:val="0F1115"/>
          <w:sz w:val="24"/>
          <w:szCs w:val="24"/>
        </w:rPr>
      </w:pPr>
    </w:p>
    <w:p w:rsidR="00CB1E62" w:rsidRPr="00E633AD" w:rsidRDefault="00CB1E62" w:rsidP="00532862">
      <w:pPr>
        <w:shd w:val="clear" w:color="auto" w:fill="FFFFFF"/>
        <w:spacing w:after="0" w:line="240" w:lineRule="auto"/>
        <w:rPr>
          <w:rFonts w:ascii="Cambria" w:eastAsia="Times New Roman" w:hAnsi="Cambria" w:cs="Segoe UI"/>
          <w:color w:val="0F1115"/>
          <w:sz w:val="24"/>
          <w:szCs w:val="24"/>
        </w:rPr>
      </w:pPr>
      <w:r w:rsidRPr="00E633AD">
        <w:rPr>
          <w:rFonts w:ascii="Cambria" w:eastAsia="Times New Roman" w:hAnsi="Cambria" w:cs="Segoe UI"/>
          <w:b/>
          <w:bCs/>
          <w:color w:val="0F1115"/>
          <w:sz w:val="24"/>
          <w:szCs w:val="24"/>
        </w:rPr>
        <w:t>Q3: What are the strongest causal relationships?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78"/>
        <w:gridCol w:w="2580"/>
        <w:gridCol w:w="2397"/>
      </w:tblGrid>
      <w:tr w:rsidR="00CB1E62" w:rsidRPr="00E633AD" w:rsidTr="008C3415">
        <w:trPr>
          <w:tblHeader/>
        </w:trPr>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Variable</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Causal Impact</w:t>
            </w:r>
          </w:p>
        </w:tc>
        <w:tc>
          <w:tcPr>
            <w:tcW w:w="2397"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Effect</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Economic Resilience (+1 point)</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+0.349</w:t>
            </w:r>
          </w:p>
        </w:tc>
        <w:tc>
          <w:tcPr>
            <w:tcW w:w="2397"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+0.35 percentage points growth</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Debt-to-GDP (-1% change)</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+0.056</w:t>
            </w:r>
          </w:p>
        </w:tc>
        <w:tc>
          <w:tcPr>
            <w:tcW w:w="2397"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+0.06 percentage points</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Inflation (-1% change)</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+0.041</w:t>
            </w:r>
          </w:p>
        </w:tc>
        <w:tc>
          <w:tcPr>
            <w:tcW w:w="2397"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+0.04 percentage points</w:t>
            </w:r>
          </w:p>
        </w:tc>
      </w:tr>
    </w:tbl>
    <w:p w:rsidR="00CB1E62" w:rsidRPr="00E633AD" w:rsidRDefault="00CB1E62" w:rsidP="00532862">
      <w:pPr>
        <w:shd w:val="clear" w:color="auto" w:fill="FFFFFF"/>
        <w:spacing w:after="0" w:line="240" w:lineRule="auto"/>
        <w:rPr>
          <w:rFonts w:ascii="Cambria" w:eastAsia="Times New Roman" w:hAnsi="Cambria" w:cs="Segoe UI"/>
          <w:color w:val="0F1115"/>
          <w:sz w:val="24"/>
          <w:szCs w:val="24"/>
        </w:rPr>
      </w:pPr>
      <w:r w:rsidRPr="00E633AD">
        <w:rPr>
          <w:rFonts w:ascii="Cambria" w:eastAsia="Times New Roman" w:hAnsi="Cambria" w:cs="Segoe UI"/>
          <w:b/>
          <w:bCs/>
          <w:color w:val="0F1115"/>
          <w:sz w:val="24"/>
          <w:szCs w:val="24"/>
        </w:rPr>
        <w:t>Model Performance:</w:t>
      </w:r>
      <w:r w:rsidRPr="00E633AD">
        <w:rPr>
          <w:rFonts w:ascii="Cambria" w:eastAsia="Times New Roman" w:hAnsi="Cambria" w:cs="Segoe UI"/>
          <w:color w:val="0F1115"/>
          <w:sz w:val="24"/>
          <w:szCs w:val="24"/>
        </w:rPr>
        <w:t> R² = 0.583 (explains 58% of growth variation)</w:t>
      </w:r>
    </w:p>
    <w:p w:rsidR="00D415BD" w:rsidRDefault="00D415BD" w:rsidP="00532862">
      <w:pPr>
        <w:shd w:val="clear" w:color="auto" w:fill="FFFFFF"/>
        <w:spacing w:after="0" w:line="240" w:lineRule="auto"/>
        <w:rPr>
          <w:rFonts w:ascii="Cambria" w:eastAsia="Times New Roman" w:hAnsi="Cambria" w:cs="Segoe UI"/>
          <w:b/>
          <w:bCs/>
          <w:color w:val="0F1115"/>
          <w:sz w:val="24"/>
          <w:szCs w:val="24"/>
        </w:rPr>
      </w:pPr>
    </w:p>
    <w:p w:rsidR="00CB1E62" w:rsidRPr="00E633AD" w:rsidRDefault="00CB1E62" w:rsidP="00532862">
      <w:pPr>
        <w:shd w:val="clear" w:color="auto" w:fill="FFFFFF"/>
        <w:spacing w:after="0" w:line="240" w:lineRule="auto"/>
        <w:rPr>
          <w:rFonts w:ascii="Cambria" w:eastAsia="Times New Roman" w:hAnsi="Cambria" w:cs="Segoe UI"/>
          <w:color w:val="0F1115"/>
          <w:sz w:val="24"/>
          <w:szCs w:val="24"/>
        </w:rPr>
      </w:pPr>
      <w:r w:rsidRPr="00E633AD">
        <w:rPr>
          <w:rFonts w:ascii="Cambria" w:eastAsia="Times New Roman" w:hAnsi="Cambria" w:cs="Segoe UI"/>
          <w:b/>
          <w:bCs/>
          <w:color w:val="0F1115"/>
          <w:sz w:val="24"/>
          <w:szCs w:val="24"/>
        </w:rPr>
        <w:lastRenderedPageBreak/>
        <w:t>Q4: Why are some countries growing faster?</w:t>
      </w:r>
    </w:p>
    <w:p w:rsidR="00CB1E62" w:rsidRPr="00E633AD" w:rsidRDefault="00CB1E62" w:rsidP="00532862">
      <w:pPr>
        <w:shd w:val="clear" w:color="auto" w:fill="FFFFFF"/>
        <w:spacing w:after="0" w:line="240" w:lineRule="auto"/>
        <w:rPr>
          <w:rFonts w:ascii="Cambria" w:eastAsia="Times New Roman" w:hAnsi="Cambria" w:cs="Segoe UI"/>
          <w:color w:val="0F1115"/>
          <w:sz w:val="24"/>
          <w:szCs w:val="24"/>
        </w:rPr>
      </w:pPr>
      <w:r w:rsidRPr="00E633AD">
        <w:rPr>
          <w:rFonts w:ascii="Cambria" w:eastAsia="Times New Roman" w:hAnsi="Cambria" w:cs="Segoe UI"/>
          <w:color w:val="0F1115"/>
          <w:sz w:val="24"/>
          <w:szCs w:val="24"/>
        </w:rPr>
        <w:t>Top 25% growers vs Bottom 25% growers: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9"/>
        <w:gridCol w:w="1863"/>
        <w:gridCol w:w="2211"/>
        <w:gridCol w:w="3042"/>
      </w:tblGrid>
      <w:tr w:rsidR="00CB1E62" w:rsidRPr="00E633AD" w:rsidTr="008C3415">
        <w:trPr>
          <w:tblHeader/>
        </w:trPr>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Indicator</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Top Growers</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Bottom Growers</w:t>
            </w:r>
          </w:p>
        </w:tc>
        <w:tc>
          <w:tcPr>
            <w:tcW w:w="3042"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Difference</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Average Growth</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7.95%</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-3.37%</w:t>
            </w:r>
          </w:p>
        </w:tc>
        <w:tc>
          <w:tcPr>
            <w:tcW w:w="3042"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+11.32%</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Inflation</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7.14%</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13.16%</w:t>
            </w:r>
          </w:p>
        </w:tc>
        <w:tc>
          <w:tcPr>
            <w:tcW w:w="3042"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-6.03%</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Debt-to-GDP</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56.9%</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65.4%</w:t>
            </w:r>
          </w:p>
        </w:tc>
        <w:tc>
          <w:tcPr>
            <w:tcW w:w="3042"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-8.50%</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Economic Resilience</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73.8</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46.9</w:t>
            </w:r>
          </w:p>
        </w:tc>
        <w:tc>
          <w:tcPr>
            <w:tcW w:w="3042"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+26.9</w:t>
            </w:r>
          </w:p>
        </w:tc>
      </w:tr>
    </w:tbl>
    <w:p w:rsidR="00CB1E62" w:rsidRPr="00E633AD" w:rsidRDefault="00CB1E62" w:rsidP="00532862">
      <w:pPr>
        <w:shd w:val="clear" w:color="auto" w:fill="FFFFFF"/>
        <w:spacing w:after="0" w:line="240" w:lineRule="auto"/>
        <w:rPr>
          <w:rFonts w:ascii="Cambria" w:eastAsia="Times New Roman" w:hAnsi="Cambria" w:cs="Segoe UI"/>
          <w:color w:val="0F1115"/>
          <w:sz w:val="24"/>
          <w:szCs w:val="24"/>
        </w:rPr>
      </w:pPr>
      <w:r w:rsidRPr="00E633AD">
        <w:rPr>
          <w:rFonts w:ascii="Cambria" w:eastAsia="Times New Roman" w:hAnsi="Cambria" w:cs="Segoe UI"/>
          <w:b/>
          <w:bCs/>
          <w:color w:val="0F1115"/>
          <w:sz w:val="24"/>
          <w:szCs w:val="24"/>
        </w:rPr>
        <w:t>Critical Insight:</w:t>
      </w:r>
      <w:r w:rsidRPr="00E633AD">
        <w:rPr>
          <w:rFonts w:ascii="Cambria" w:eastAsia="Times New Roman" w:hAnsi="Cambria" w:cs="Segoe UI"/>
          <w:color w:val="0F1115"/>
          <w:sz w:val="24"/>
          <w:szCs w:val="24"/>
        </w:rPr>
        <w:t> Economic Resilience is the single most important factor separating high-growth from low-growth countries. A 27-point resilience gap explains most of the 11.32 percentage point growth difference.</w:t>
      </w:r>
    </w:p>
    <w:p w:rsidR="00CB1E62" w:rsidRDefault="00CB1E62" w:rsidP="00532862">
      <w:pPr>
        <w:spacing w:after="0" w:line="240" w:lineRule="auto"/>
        <w:rPr>
          <w:rFonts w:ascii="Cambria" w:eastAsia="Times New Roman" w:hAnsi="Cambria" w:cs="Times New Roman"/>
          <w:sz w:val="24"/>
          <w:szCs w:val="24"/>
        </w:rPr>
      </w:pPr>
    </w:p>
    <w:p w:rsidR="00D415BD" w:rsidRPr="00E633AD" w:rsidRDefault="00D415BD" w:rsidP="00532862">
      <w:pPr>
        <w:spacing w:after="0" w:line="240" w:lineRule="auto"/>
        <w:rPr>
          <w:rFonts w:ascii="Cambria" w:eastAsia="Times New Roman" w:hAnsi="Cambria" w:cs="Times New Roman"/>
          <w:sz w:val="24"/>
          <w:szCs w:val="24"/>
        </w:rPr>
      </w:pPr>
    </w:p>
    <w:p w:rsidR="00CB1E62" w:rsidRPr="00E633AD" w:rsidRDefault="00CB1E62" w:rsidP="00532862">
      <w:pPr>
        <w:shd w:val="clear" w:color="auto" w:fill="FFFFFF"/>
        <w:spacing w:after="0" w:line="240" w:lineRule="auto"/>
        <w:outlineLvl w:val="1"/>
        <w:rPr>
          <w:rFonts w:ascii="Cambria" w:eastAsia="Times New Roman" w:hAnsi="Cambria" w:cs="Segoe UI"/>
          <w:b/>
          <w:bCs/>
          <w:color w:val="0F1115"/>
          <w:sz w:val="36"/>
          <w:szCs w:val="36"/>
        </w:rPr>
      </w:pPr>
      <w:r w:rsidRPr="00E633AD">
        <w:rPr>
          <w:rFonts w:ascii="Cambria" w:eastAsia="Times New Roman" w:hAnsi="Cambria" w:cs="Segoe UI"/>
          <w:b/>
          <w:bCs/>
          <w:color w:val="0F1115"/>
          <w:sz w:val="36"/>
          <w:szCs w:val="36"/>
        </w:rPr>
        <w:t>Predictive Analysis: What Will Happen?</w:t>
      </w:r>
    </w:p>
    <w:p w:rsidR="00CB1E62" w:rsidRPr="00E633AD" w:rsidRDefault="00CB1E62" w:rsidP="00532862">
      <w:pPr>
        <w:shd w:val="clear" w:color="auto" w:fill="FFFFFF"/>
        <w:spacing w:after="0" w:line="240" w:lineRule="auto"/>
        <w:outlineLvl w:val="2"/>
        <w:rPr>
          <w:rFonts w:ascii="Cambria" w:eastAsia="Times New Roman" w:hAnsi="Cambria" w:cs="Segoe UI"/>
          <w:b/>
          <w:bCs/>
          <w:color w:val="0F1115"/>
          <w:sz w:val="27"/>
          <w:szCs w:val="27"/>
        </w:rPr>
      </w:pPr>
      <w:r w:rsidRPr="00E633AD">
        <w:rPr>
          <w:rFonts w:ascii="Cambria" w:eastAsia="Times New Roman" w:hAnsi="Cambria" w:cs="Segoe UI"/>
          <w:b/>
          <w:bCs/>
          <w:color w:val="0F1115"/>
          <w:sz w:val="27"/>
          <w:szCs w:val="27"/>
        </w:rPr>
        <w:t>Model Performance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5"/>
        <w:gridCol w:w="1800"/>
        <w:gridCol w:w="2430"/>
        <w:gridCol w:w="2340"/>
      </w:tblGrid>
      <w:tr w:rsidR="00CB1E62" w:rsidRPr="00E633AD" w:rsidTr="00D415BD">
        <w:trPr>
          <w:tblHeader/>
        </w:trPr>
        <w:tc>
          <w:tcPr>
            <w:tcW w:w="2785" w:type="dxa"/>
            <w:tcMar>
              <w:top w:w="150" w:type="dxa"/>
              <w:left w:w="0" w:type="dxa"/>
              <w:bottom w:w="150" w:type="dxa"/>
              <w:right w:w="240" w:type="dxa"/>
            </w:tcMar>
            <w:vAlign w:val="center"/>
            <w:hideMark/>
          </w:tcPr>
          <w:p w:rsidR="00CB1E62" w:rsidRPr="00E633AD" w:rsidRDefault="00CB1E62" w:rsidP="00D415BD">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Model</w:t>
            </w:r>
          </w:p>
        </w:tc>
        <w:tc>
          <w:tcPr>
            <w:tcW w:w="1800" w:type="dxa"/>
            <w:tcMar>
              <w:top w:w="150" w:type="dxa"/>
              <w:left w:w="240" w:type="dxa"/>
              <w:bottom w:w="150" w:type="dxa"/>
              <w:right w:w="240" w:type="dxa"/>
            </w:tcMar>
            <w:vAlign w:val="center"/>
            <w:hideMark/>
          </w:tcPr>
          <w:p w:rsidR="00CB1E62" w:rsidRPr="00E633AD" w:rsidRDefault="00CB1E62" w:rsidP="00D415BD">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R² Score</w:t>
            </w:r>
          </w:p>
        </w:tc>
        <w:tc>
          <w:tcPr>
            <w:tcW w:w="2430" w:type="dxa"/>
            <w:tcMar>
              <w:top w:w="150" w:type="dxa"/>
              <w:left w:w="240" w:type="dxa"/>
              <w:bottom w:w="150" w:type="dxa"/>
              <w:right w:w="240" w:type="dxa"/>
            </w:tcMar>
            <w:vAlign w:val="center"/>
            <w:hideMark/>
          </w:tcPr>
          <w:p w:rsidR="00CB1E62" w:rsidRPr="00E633AD" w:rsidRDefault="00CB1E62" w:rsidP="00D415BD">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MAE</w:t>
            </w:r>
          </w:p>
        </w:tc>
        <w:tc>
          <w:tcPr>
            <w:tcW w:w="2340" w:type="dxa"/>
            <w:tcMar>
              <w:top w:w="150" w:type="dxa"/>
              <w:left w:w="240" w:type="dxa"/>
              <w:bottom w:w="150" w:type="dxa"/>
              <w:right w:w="240" w:type="dxa"/>
            </w:tcMar>
            <w:vAlign w:val="center"/>
            <w:hideMark/>
          </w:tcPr>
          <w:p w:rsidR="00CB1E62" w:rsidRPr="00E633AD" w:rsidRDefault="00CB1E62" w:rsidP="00D415BD">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RMSE</w:t>
            </w:r>
          </w:p>
        </w:tc>
      </w:tr>
      <w:tr w:rsidR="00CB1E62" w:rsidRPr="00E633AD" w:rsidTr="00D415BD">
        <w:tc>
          <w:tcPr>
            <w:tcW w:w="2785" w:type="dxa"/>
            <w:tcMar>
              <w:top w:w="150" w:type="dxa"/>
              <w:left w:w="0" w:type="dxa"/>
              <w:bottom w:w="150" w:type="dxa"/>
              <w:right w:w="240" w:type="dxa"/>
            </w:tcMar>
            <w:vAlign w:val="center"/>
            <w:hideMark/>
          </w:tcPr>
          <w:p w:rsidR="00CB1E62" w:rsidRPr="00E633AD" w:rsidRDefault="00CB1E62" w:rsidP="00D415BD">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Gradient Boosting</w:t>
            </w:r>
          </w:p>
        </w:tc>
        <w:tc>
          <w:tcPr>
            <w:tcW w:w="1800" w:type="dxa"/>
            <w:tcMar>
              <w:top w:w="150" w:type="dxa"/>
              <w:left w:w="240" w:type="dxa"/>
              <w:bottom w:w="150" w:type="dxa"/>
              <w:right w:w="240" w:type="dxa"/>
            </w:tcMar>
            <w:vAlign w:val="center"/>
            <w:hideMark/>
          </w:tcPr>
          <w:p w:rsidR="00CB1E62" w:rsidRPr="00E633AD" w:rsidRDefault="00CB1E62" w:rsidP="00D415BD">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0.720</w:t>
            </w:r>
          </w:p>
        </w:tc>
        <w:tc>
          <w:tcPr>
            <w:tcW w:w="2430" w:type="dxa"/>
            <w:tcMar>
              <w:top w:w="150" w:type="dxa"/>
              <w:left w:w="240" w:type="dxa"/>
              <w:bottom w:w="150" w:type="dxa"/>
              <w:right w:w="240" w:type="dxa"/>
            </w:tcMar>
            <w:vAlign w:val="center"/>
            <w:hideMark/>
          </w:tcPr>
          <w:p w:rsidR="00CB1E62" w:rsidRPr="00E633AD" w:rsidRDefault="00CB1E62" w:rsidP="00D415BD">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1.04%</w:t>
            </w:r>
          </w:p>
        </w:tc>
        <w:tc>
          <w:tcPr>
            <w:tcW w:w="2340" w:type="dxa"/>
            <w:tcMar>
              <w:top w:w="150" w:type="dxa"/>
              <w:left w:w="240" w:type="dxa"/>
              <w:bottom w:w="150" w:type="dxa"/>
              <w:right w:w="0" w:type="dxa"/>
            </w:tcMar>
            <w:vAlign w:val="center"/>
            <w:hideMark/>
          </w:tcPr>
          <w:p w:rsidR="00CB1E62" w:rsidRPr="00E633AD" w:rsidRDefault="00CB1E62" w:rsidP="00D415BD">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2.49</w:t>
            </w:r>
          </w:p>
        </w:tc>
      </w:tr>
      <w:tr w:rsidR="00CB1E62" w:rsidRPr="00E633AD" w:rsidTr="00D415BD">
        <w:tc>
          <w:tcPr>
            <w:tcW w:w="2785" w:type="dxa"/>
            <w:tcMar>
              <w:top w:w="150" w:type="dxa"/>
              <w:left w:w="0" w:type="dxa"/>
              <w:bottom w:w="150" w:type="dxa"/>
              <w:right w:w="240" w:type="dxa"/>
            </w:tcMar>
            <w:vAlign w:val="center"/>
            <w:hideMark/>
          </w:tcPr>
          <w:p w:rsidR="00CB1E62" w:rsidRPr="00E633AD" w:rsidRDefault="00CB1E62" w:rsidP="00D415BD">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Ridge Regression</w:t>
            </w:r>
          </w:p>
        </w:tc>
        <w:tc>
          <w:tcPr>
            <w:tcW w:w="1800" w:type="dxa"/>
            <w:tcMar>
              <w:top w:w="150" w:type="dxa"/>
              <w:left w:w="240" w:type="dxa"/>
              <w:bottom w:w="150" w:type="dxa"/>
              <w:right w:w="240" w:type="dxa"/>
            </w:tcMar>
            <w:vAlign w:val="center"/>
            <w:hideMark/>
          </w:tcPr>
          <w:p w:rsidR="00CB1E62" w:rsidRPr="00E633AD" w:rsidRDefault="00CB1E62" w:rsidP="00D415BD">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0.697</w:t>
            </w:r>
          </w:p>
        </w:tc>
        <w:tc>
          <w:tcPr>
            <w:tcW w:w="2430" w:type="dxa"/>
            <w:tcMar>
              <w:top w:w="150" w:type="dxa"/>
              <w:left w:w="240" w:type="dxa"/>
              <w:bottom w:w="150" w:type="dxa"/>
              <w:right w:w="240" w:type="dxa"/>
            </w:tcMar>
            <w:vAlign w:val="center"/>
            <w:hideMark/>
          </w:tcPr>
          <w:p w:rsidR="00CB1E62" w:rsidRPr="00E633AD" w:rsidRDefault="00CB1E62" w:rsidP="00D415BD">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1.43%</w:t>
            </w:r>
          </w:p>
        </w:tc>
        <w:tc>
          <w:tcPr>
            <w:tcW w:w="2340" w:type="dxa"/>
            <w:tcMar>
              <w:top w:w="150" w:type="dxa"/>
              <w:left w:w="240" w:type="dxa"/>
              <w:bottom w:w="150" w:type="dxa"/>
              <w:right w:w="0" w:type="dxa"/>
            </w:tcMar>
            <w:vAlign w:val="center"/>
            <w:hideMark/>
          </w:tcPr>
          <w:p w:rsidR="00CB1E62" w:rsidRPr="00E633AD" w:rsidRDefault="00CB1E62" w:rsidP="00D415BD">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2.59</w:t>
            </w:r>
          </w:p>
        </w:tc>
      </w:tr>
      <w:tr w:rsidR="00CB1E62" w:rsidRPr="00E633AD" w:rsidTr="00D415BD">
        <w:tc>
          <w:tcPr>
            <w:tcW w:w="2785" w:type="dxa"/>
            <w:tcMar>
              <w:top w:w="150" w:type="dxa"/>
              <w:left w:w="0" w:type="dxa"/>
              <w:bottom w:w="150" w:type="dxa"/>
              <w:right w:w="240" w:type="dxa"/>
            </w:tcMar>
            <w:vAlign w:val="center"/>
            <w:hideMark/>
          </w:tcPr>
          <w:p w:rsidR="00CB1E62" w:rsidRPr="00E633AD" w:rsidRDefault="00CB1E62" w:rsidP="00D415BD">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Lasso Regression</w:t>
            </w:r>
          </w:p>
        </w:tc>
        <w:tc>
          <w:tcPr>
            <w:tcW w:w="1800" w:type="dxa"/>
            <w:tcMar>
              <w:top w:w="150" w:type="dxa"/>
              <w:left w:w="240" w:type="dxa"/>
              <w:bottom w:w="150" w:type="dxa"/>
              <w:right w:w="240" w:type="dxa"/>
            </w:tcMar>
            <w:vAlign w:val="center"/>
            <w:hideMark/>
          </w:tcPr>
          <w:p w:rsidR="00CB1E62" w:rsidRPr="00E633AD" w:rsidRDefault="00CB1E62" w:rsidP="00D415BD">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0.697</w:t>
            </w:r>
          </w:p>
        </w:tc>
        <w:tc>
          <w:tcPr>
            <w:tcW w:w="2430" w:type="dxa"/>
            <w:tcMar>
              <w:top w:w="150" w:type="dxa"/>
              <w:left w:w="240" w:type="dxa"/>
              <w:bottom w:w="150" w:type="dxa"/>
              <w:right w:w="240" w:type="dxa"/>
            </w:tcMar>
            <w:vAlign w:val="center"/>
            <w:hideMark/>
          </w:tcPr>
          <w:p w:rsidR="00CB1E62" w:rsidRPr="00E633AD" w:rsidRDefault="00CB1E62" w:rsidP="00D415BD">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1.42%</w:t>
            </w:r>
          </w:p>
        </w:tc>
        <w:tc>
          <w:tcPr>
            <w:tcW w:w="2340" w:type="dxa"/>
            <w:tcMar>
              <w:top w:w="150" w:type="dxa"/>
              <w:left w:w="240" w:type="dxa"/>
              <w:bottom w:w="150" w:type="dxa"/>
              <w:right w:w="0" w:type="dxa"/>
            </w:tcMar>
            <w:vAlign w:val="center"/>
            <w:hideMark/>
          </w:tcPr>
          <w:p w:rsidR="00CB1E62" w:rsidRPr="00E633AD" w:rsidRDefault="00CB1E62" w:rsidP="00D415BD">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2.59</w:t>
            </w:r>
          </w:p>
        </w:tc>
      </w:tr>
      <w:tr w:rsidR="00CB1E62" w:rsidRPr="00E633AD" w:rsidTr="00D415BD">
        <w:tc>
          <w:tcPr>
            <w:tcW w:w="2785" w:type="dxa"/>
            <w:tcMar>
              <w:top w:w="150" w:type="dxa"/>
              <w:left w:w="0" w:type="dxa"/>
              <w:bottom w:w="150" w:type="dxa"/>
              <w:right w:w="240" w:type="dxa"/>
            </w:tcMar>
            <w:vAlign w:val="center"/>
            <w:hideMark/>
          </w:tcPr>
          <w:p w:rsidR="00CB1E62" w:rsidRPr="00E633AD" w:rsidRDefault="00CB1E62" w:rsidP="00D415BD">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Linear Regression</w:t>
            </w:r>
          </w:p>
        </w:tc>
        <w:tc>
          <w:tcPr>
            <w:tcW w:w="1800" w:type="dxa"/>
            <w:tcMar>
              <w:top w:w="150" w:type="dxa"/>
              <w:left w:w="240" w:type="dxa"/>
              <w:bottom w:w="150" w:type="dxa"/>
              <w:right w:w="240" w:type="dxa"/>
            </w:tcMar>
            <w:vAlign w:val="center"/>
            <w:hideMark/>
          </w:tcPr>
          <w:p w:rsidR="00CB1E62" w:rsidRPr="00E633AD" w:rsidRDefault="00CB1E62" w:rsidP="00D415BD">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0.697</w:t>
            </w:r>
          </w:p>
        </w:tc>
        <w:tc>
          <w:tcPr>
            <w:tcW w:w="2430" w:type="dxa"/>
            <w:tcMar>
              <w:top w:w="150" w:type="dxa"/>
              <w:left w:w="240" w:type="dxa"/>
              <w:bottom w:w="150" w:type="dxa"/>
              <w:right w:w="240" w:type="dxa"/>
            </w:tcMar>
            <w:vAlign w:val="center"/>
            <w:hideMark/>
          </w:tcPr>
          <w:p w:rsidR="00CB1E62" w:rsidRPr="00E633AD" w:rsidRDefault="00CB1E62" w:rsidP="00D415BD">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1.43%</w:t>
            </w:r>
          </w:p>
        </w:tc>
        <w:tc>
          <w:tcPr>
            <w:tcW w:w="2340" w:type="dxa"/>
            <w:tcMar>
              <w:top w:w="150" w:type="dxa"/>
              <w:left w:w="240" w:type="dxa"/>
              <w:bottom w:w="150" w:type="dxa"/>
              <w:right w:w="0" w:type="dxa"/>
            </w:tcMar>
            <w:vAlign w:val="center"/>
            <w:hideMark/>
          </w:tcPr>
          <w:p w:rsidR="00CB1E62" w:rsidRPr="00E633AD" w:rsidRDefault="00CB1E62" w:rsidP="00D415BD">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2.59</w:t>
            </w:r>
          </w:p>
        </w:tc>
      </w:tr>
      <w:tr w:rsidR="00CB1E62" w:rsidRPr="00E633AD" w:rsidTr="00D415BD">
        <w:tc>
          <w:tcPr>
            <w:tcW w:w="2785" w:type="dxa"/>
            <w:tcMar>
              <w:top w:w="150" w:type="dxa"/>
              <w:left w:w="0" w:type="dxa"/>
              <w:bottom w:w="150" w:type="dxa"/>
              <w:right w:w="240" w:type="dxa"/>
            </w:tcMar>
            <w:vAlign w:val="center"/>
            <w:hideMark/>
          </w:tcPr>
          <w:p w:rsidR="00CB1E62" w:rsidRPr="00E633AD" w:rsidRDefault="00CB1E62" w:rsidP="00D415BD">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Random Forest</w:t>
            </w:r>
          </w:p>
        </w:tc>
        <w:tc>
          <w:tcPr>
            <w:tcW w:w="1800" w:type="dxa"/>
            <w:tcMar>
              <w:top w:w="150" w:type="dxa"/>
              <w:left w:w="240" w:type="dxa"/>
              <w:bottom w:w="150" w:type="dxa"/>
              <w:right w:w="240" w:type="dxa"/>
            </w:tcMar>
            <w:vAlign w:val="center"/>
            <w:hideMark/>
          </w:tcPr>
          <w:p w:rsidR="00CB1E62" w:rsidRPr="00E633AD" w:rsidRDefault="00CB1E62" w:rsidP="00D415BD">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0.602</w:t>
            </w:r>
          </w:p>
        </w:tc>
        <w:tc>
          <w:tcPr>
            <w:tcW w:w="2430" w:type="dxa"/>
            <w:tcMar>
              <w:top w:w="150" w:type="dxa"/>
              <w:left w:w="240" w:type="dxa"/>
              <w:bottom w:w="150" w:type="dxa"/>
              <w:right w:w="240" w:type="dxa"/>
            </w:tcMar>
            <w:vAlign w:val="center"/>
            <w:hideMark/>
          </w:tcPr>
          <w:p w:rsidR="00CB1E62" w:rsidRPr="00E633AD" w:rsidRDefault="00CB1E62" w:rsidP="00D415BD">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1.37%</w:t>
            </w:r>
          </w:p>
        </w:tc>
        <w:tc>
          <w:tcPr>
            <w:tcW w:w="2340" w:type="dxa"/>
            <w:tcMar>
              <w:top w:w="150" w:type="dxa"/>
              <w:left w:w="240" w:type="dxa"/>
              <w:bottom w:w="150" w:type="dxa"/>
              <w:right w:w="0" w:type="dxa"/>
            </w:tcMar>
            <w:vAlign w:val="center"/>
            <w:hideMark/>
          </w:tcPr>
          <w:p w:rsidR="00CB1E62" w:rsidRPr="00E633AD" w:rsidRDefault="00CB1E62" w:rsidP="00D415BD">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2.97</w:t>
            </w:r>
          </w:p>
        </w:tc>
      </w:tr>
    </w:tbl>
    <w:p w:rsidR="00CB1E62" w:rsidRDefault="00CB1E62" w:rsidP="00532862">
      <w:pPr>
        <w:shd w:val="clear" w:color="auto" w:fill="FFFFFF"/>
        <w:spacing w:after="0" w:line="240" w:lineRule="auto"/>
        <w:rPr>
          <w:rFonts w:ascii="Cambria" w:eastAsia="Times New Roman" w:hAnsi="Cambria" w:cs="Segoe UI"/>
          <w:color w:val="0F1115"/>
          <w:sz w:val="24"/>
          <w:szCs w:val="24"/>
        </w:rPr>
      </w:pPr>
      <w:r w:rsidRPr="00E633AD">
        <w:rPr>
          <w:rFonts w:ascii="Cambria" w:eastAsia="Times New Roman" w:hAnsi="Cambria" w:cs="Segoe UI"/>
          <w:b/>
          <w:bCs/>
          <w:color w:val="0F1115"/>
          <w:sz w:val="24"/>
          <w:szCs w:val="24"/>
        </w:rPr>
        <w:t>Best Model:</w:t>
      </w:r>
      <w:r w:rsidRPr="00E633AD">
        <w:rPr>
          <w:rFonts w:ascii="Cambria" w:eastAsia="Times New Roman" w:hAnsi="Cambria" w:cs="Segoe UI"/>
          <w:color w:val="0F1115"/>
          <w:sz w:val="24"/>
          <w:szCs w:val="24"/>
        </w:rPr>
        <w:t> Gradient Boosting (explains 72% of growth variation)</w:t>
      </w:r>
    </w:p>
    <w:p w:rsidR="00D415BD" w:rsidRPr="00E633AD" w:rsidRDefault="00D415BD" w:rsidP="00532862">
      <w:pPr>
        <w:shd w:val="clear" w:color="auto" w:fill="FFFFFF"/>
        <w:spacing w:after="0" w:line="240" w:lineRule="auto"/>
        <w:rPr>
          <w:rFonts w:ascii="Cambria" w:eastAsia="Times New Roman" w:hAnsi="Cambria" w:cs="Segoe UI"/>
          <w:color w:val="0F1115"/>
          <w:sz w:val="24"/>
          <w:szCs w:val="24"/>
        </w:rPr>
      </w:pPr>
    </w:p>
    <w:p w:rsidR="00CB1E62" w:rsidRPr="00E633AD" w:rsidRDefault="00CB1E62" w:rsidP="00532862">
      <w:pPr>
        <w:shd w:val="clear" w:color="auto" w:fill="FFFFFF"/>
        <w:spacing w:after="0" w:line="240" w:lineRule="auto"/>
        <w:outlineLvl w:val="2"/>
        <w:rPr>
          <w:rFonts w:ascii="Cambria" w:eastAsia="Times New Roman" w:hAnsi="Cambria" w:cs="Segoe UI"/>
          <w:b/>
          <w:bCs/>
          <w:color w:val="0F1115"/>
          <w:sz w:val="27"/>
          <w:szCs w:val="27"/>
        </w:rPr>
      </w:pPr>
      <w:r w:rsidRPr="00E633AD">
        <w:rPr>
          <w:rFonts w:ascii="Cambria" w:eastAsia="Times New Roman" w:hAnsi="Cambria" w:cs="Segoe UI"/>
          <w:b/>
          <w:bCs/>
          <w:color w:val="0F1115"/>
          <w:sz w:val="27"/>
          <w:szCs w:val="27"/>
        </w:rPr>
        <w:t>Feature Importance for Prediction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05"/>
        <w:gridCol w:w="3150"/>
      </w:tblGrid>
      <w:tr w:rsidR="00CB1E62" w:rsidRPr="00E633AD" w:rsidTr="001470DB">
        <w:trPr>
          <w:tblHeader/>
        </w:trPr>
        <w:tc>
          <w:tcPr>
            <w:tcW w:w="6205" w:type="dxa"/>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Feature</w:t>
            </w:r>
          </w:p>
        </w:tc>
        <w:tc>
          <w:tcPr>
            <w:tcW w:w="315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Importance</w:t>
            </w:r>
          </w:p>
        </w:tc>
      </w:tr>
      <w:tr w:rsidR="00CB1E62" w:rsidRPr="00E633AD" w:rsidTr="001470DB">
        <w:tc>
          <w:tcPr>
            <w:tcW w:w="6205" w:type="dxa"/>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Economic_Resilience_Score</w:t>
            </w:r>
          </w:p>
        </w:tc>
        <w:tc>
          <w:tcPr>
            <w:tcW w:w="315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51.5%</w:t>
            </w:r>
          </w:p>
        </w:tc>
      </w:tr>
      <w:tr w:rsidR="00CB1E62" w:rsidRPr="00E633AD" w:rsidTr="001470DB">
        <w:tc>
          <w:tcPr>
            <w:tcW w:w="6205" w:type="dxa"/>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growth_ma3 (3-year momentum)</w:t>
            </w:r>
          </w:p>
        </w:tc>
        <w:tc>
          <w:tcPr>
            <w:tcW w:w="315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25.7%</w:t>
            </w:r>
          </w:p>
        </w:tc>
      </w:tr>
      <w:tr w:rsidR="00CB1E62" w:rsidRPr="00E633AD" w:rsidTr="001470DB">
        <w:tc>
          <w:tcPr>
            <w:tcW w:w="6205" w:type="dxa"/>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lag1_resilience</w:t>
            </w:r>
          </w:p>
        </w:tc>
        <w:tc>
          <w:tcPr>
            <w:tcW w:w="315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7.8%</w:t>
            </w:r>
          </w:p>
        </w:tc>
      </w:tr>
      <w:tr w:rsidR="00CB1E62" w:rsidRPr="00E633AD" w:rsidTr="001470DB">
        <w:tc>
          <w:tcPr>
            <w:tcW w:w="6205" w:type="dxa"/>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lastRenderedPageBreak/>
              <w:t>lag1_debt</w:t>
            </w:r>
          </w:p>
        </w:tc>
        <w:tc>
          <w:tcPr>
            <w:tcW w:w="315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7.2%</w:t>
            </w:r>
          </w:p>
        </w:tc>
      </w:tr>
      <w:tr w:rsidR="00CB1E62" w:rsidRPr="00E633AD" w:rsidTr="001470DB">
        <w:tc>
          <w:tcPr>
            <w:tcW w:w="6205" w:type="dxa"/>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lag1_growth</w:t>
            </w:r>
          </w:p>
        </w:tc>
        <w:tc>
          <w:tcPr>
            <w:tcW w:w="315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5.7%</w:t>
            </w:r>
          </w:p>
        </w:tc>
      </w:tr>
    </w:tbl>
    <w:p w:rsidR="00CB1E62" w:rsidRDefault="00CB1E62" w:rsidP="00532862">
      <w:pPr>
        <w:shd w:val="clear" w:color="auto" w:fill="FFFFFF"/>
        <w:spacing w:after="0" w:line="240" w:lineRule="auto"/>
        <w:rPr>
          <w:rFonts w:ascii="Cambria" w:eastAsia="Times New Roman" w:hAnsi="Cambria" w:cs="Segoe UI"/>
          <w:color w:val="0F1115"/>
          <w:sz w:val="24"/>
          <w:szCs w:val="24"/>
        </w:rPr>
      </w:pPr>
      <w:r w:rsidRPr="00E633AD">
        <w:rPr>
          <w:rFonts w:ascii="Cambria" w:eastAsia="Times New Roman" w:hAnsi="Cambria" w:cs="Segoe UI"/>
          <w:b/>
          <w:bCs/>
          <w:color w:val="0F1115"/>
          <w:sz w:val="24"/>
          <w:szCs w:val="24"/>
        </w:rPr>
        <w:t>Critical Insight:</w:t>
      </w:r>
      <w:r w:rsidRPr="00E633AD">
        <w:rPr>
          <w:rFonts w:ascii="Cambria" w:eastAsia="Times New Roman" w:hAnsi="Cambria" w:cs="Segoe UI"/>
          <w:color w:val="0F1115"/>
          <w:sz w:val="24"/>
          <w:szCs w:val="24"/>
        </w:rPr>
        <w:t> Economic Resilience alone provides 51.5% of predictive power - more than all other features combined.</w:t>
      </w:r>
    </w:p>
    <w:p w:rsidR="00313C72" w:rsidRPr="00E633AD" w:rsidRDefault="00313C72" w:rsidP="00532862">
      <w:pPr>
        <w:shd w:val="clear" w:color="auto" w:fill="FFFFFF"/>
        <w:spacing w:after="0" w:line="240" w:lineRule="auto"/>
        <w:rPr>
          <w:rFonts w:ascii="Cambria" w:eastAsia="Times New Roman" w:hAnsi="Cambria" w:cs="Segoe UI"/>
          <w:color w:val="0F1115"/>
          <w:sz w:val="24"/>
          <w:szCs w:val="24"/>
        </w:rPr>
      </w:pPr>
    </w:p>
    <w:p w:rsidR="00CB1E62" w:rsidRPr="00E633AD" w:rsidRDefault="00CB1E62" w:rsidP="00532862">
      <w:pPr>
        <w:shd w:val="clear" w:color="auto" w:fill="FFFFFF"/>
        <w:spacing w:after="0" w:line="240" w:lineRule="auto"/>
        <w:outlineLvl w:val="2"/>
        <w:rPr>
          <w:rFonts w:ascii="Cambria" w:eastAsia="Times New Roman" w:hAnsi="Cambria" w:cs="Segoe UI"/>
          <w:b/>
          <w:bCs/>
          <w:color w:val="0F1115"/>
          <w:sz w:val="27"/>
          <w:szCs w:val="27"/>
        </w:rPr>
      </w:pPr>
      <w:r w:rsidRPr="00E633AD">
        <w:rPr>
          <w:rFonts w:ascii="Cambria" w:eastAsia="Times New Roman" w:hAnsi="Cambria" w:cs="Segoe UI"/>
          <w:b/>
          <w:bCs/>
          <w:color w:val="0F1115"/>
          <w:sz w:val="27"/>
          <w:szCs w:val="27"/>
        </w:rPr>
        <w:t>2026 GDP Growth Forecasts</w:t>
      </w:r>
    </w:p>
    <w:p w:rsidR="00CB1E62" w:rsidRPr="00E633AD" w:rsidRDefault="00CB1E62" w:rsidP="00532862">
      <w:pPr>
        <w:shd w:val="clear" w:color="auto" w:fill="FFFFFF"/>
        <w:spacing w:after="0" w:line="240" w:lineRule="auto"/>
        <w:rPr>
          <w:rFonts w:ascii="Cambria" w:eastAsia="Times New Roman" w:hAnsi="Cambria" w:cs="Segoe UI"/>
          <w:color w:val="0F1115"/>
          <w:sz w:val="24"/>
          <w:szCs w:val="24"/>
        </w:rPr>
      </w:pPr>
      <w:r w:rsidRPr="00E633AD">
        <w:rPr>
          <w:rFonts w:ascii="Cambria" w:eastAsia="Times New Roman" w:hAnsi="Cambria" w:cs="Segoe UI"/>
          <w:b/>
          <w:bCs/>
          <w:color w:val="0F1115"/>
          <w:sz w:val="24"/>
          <w:szCs w:val="24"/>
        </w:rPr>
        <w:t>Top 10 Fastest Growing Countries in 2026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5"/>
        <w:gridCol w:w="2106"/>
        <w:gridCol w:w="2131"/>
        <w:gridCol w:w="1758"/>
        <w:gridCol w:w="2540"/>
      </w:tblGrid>
      <w:tr w:rsidR="00CB1E62" w:rsidRPr="00E633AD" w:rsidTr="008C3415">
        <w:trPr>
          <w:tblHeader/>
        </w:trPr>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Rank</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Country</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Predicted 2026</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2025 Actual</w:t>
            </w:r>
          </w:p>
        </w:tc>
        <w:tc>
          <w:tcPr>
            <w:tcW w:w="254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Driver</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313C72">
            <w:pPr>
              <w:spacing w:after="0" w:line="240" w:lineRule="auto"/>
              <w:jc w:val="center"/>
              <w:rPr>
                <w:rFonts w:ascii="Cambria" w:eastAsia="Times New Roman" w:hAnsi="Cambria" w:cs="Times New Roman"/>
                <w:sz w:val="24"/>
                <w:szCs w:val="24"/>
              </w:rPr>
            </w:pPr>
            <w:r w:rsidRPr="00E633AD">
              <w:rPr>
                <w:rFonts w:ascii="Cambria" w:eastAsia="Times New Roman" w:hAnsi="Cambria" w:cs="Times New Roman"/>
                <w:sz w:val="24"/>
                <w:szCs w:val="24"/>
              </w:rPr>
              <w:t>1</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Guyana</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26.5%</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19.3%</w:t>
            </w:r>
          </w:p>
        </w:tc>
        <w:tc>
          <w:tcPr>
            <w:tcW w:w="254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Oil production</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313C72">
            <w:pPr>
              <w:spacing w:after="0" w:line="240" w:lineRule="auto"/>
              <w:jc w:val="center"/>
              <w:rPr>
                <w:rFonts w:ascii="Cambria" w:eastAsia="Times New Roman" w:hAnsi="Cambria" w:cs="Times New Roman"/>
                <w:sz w:val="24"/>
                <w:szCs w:val="24"/>
              </w:rPr>
            </w:pPr>
            <w:r w:rsidRPr="00E633AD">
              <w:rPr>
                <w:rFonts w:ascii="Cambria" w:eastAsia="Times New Roman" w:hAnsi="Cambria" w:cs="Times New Roman"/>
                <w:sz w:val="24"/>
                <w:szCs w:val="24"/>
              </w:rPr>
              <w:t>2</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South Sudan</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13.1%</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46.1%</w:t>
            </w:r>
          </w:p>
        </w:tc>
        <w:tc>
          <w:tcPr>
            <w:tcW w:w="254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Post-conflict</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313C72">
            <w:pPr>
              <w:spacing w:after="0" w:line="240" w:lineRule="auto"/>
              <w:jc w:val="center"/>
              <w:rPr>
                <w:rFonts w:ascii="Cambria" w:eastAsia="Times New Roman" w:hAnsi="Cambria" w:cs="Times New Roman"/>
                <w:sz w:val="24"/>
                <w:szCs w:val="24"/>
              </w:rPr>
            </w:pPr>
            <w:r w:rsidRPr="00E633AD">
              <w:rPr>
                <w:rFonts w:ascii="Cambria" w:eastAsia="Times New Roman" w:hAnsi="Cambria" w:cs="Times New Roman"/>
                <w:sz w:val="24"/>
                <w:szCs w:val="24"/>
              </w:rPr>
              <w:t>3</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Libya</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11.2%</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15.9%</w:t>
            </w:r>
          </w:p>
        </w:tc>
        <w:tc>
          <w:tcPr>
            <w:tcW w:w="254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Oil recovery</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313C72">
            <w:pPr>
              <w:spacing w:after="0" w:line="240" w:lineRule="auto"/>
              <w:jc w:val="center"/>
              <w:rPr>
                <w:rFonts w:ascii="Cambria" w:eastAsia="Times New Roman" w:hAnsi="Cambria" w:cs="Times New Roman"/>
                <w:sz w:val="24"/>
                <w:szCs w:val="24"/>
              </w:rPr>
            </w:pPr>
            <w:r w:rsidRPr="00E633AD">
              <w:rPr>
                <w:rFonts w:ascii="Cambria" w:eastAsia="Times New Roman" w:hAnsi="Cambria" w:cs="Times New Roman"/>
                <w:sz w:val="24"/>
                <w:szCs w:val="24"/>
              </w:rPr>
              <w:t>4</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Kyrgyz Republic</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10.6%</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11.1%</w:t>
            </w:r>
          </w:p>
        </w:tc>
        <w:tc>
          <w:tcPr>
            <w:tcW w:w="254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Stable</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313C72">
            <w:pPr>
              <w:spacing w:after="0" w:line="240" w:lineRule="auto"/>
              <w:jc w:val="center"/>
              <w:rPr>
                <w:rFonts w:ascii="Cambria" w:eastAsia="Times New Roman" w:hAnsi="Cambria" w:cs="Times New Roman"/>
                <w:sz w:val="24"/>
                <w:szCs w:val="24"/>
              </w:rPr>
            </w:pPr>
            <w:r w:rsidRPr="00E633AD">
              <w:rPr>
                <w:rFonts w:ascii="Cambria" w:eastAsia="Times New Roman" w:hAnsi="Cambria" w:cs="Times New Roman"/>
                <w:sz w:val="24"/>
                <w:szCs w:val="24"/>
              </w:rPr>
              <w:t>5</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Ireland</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9.7%</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12.3%</w:t>
            </w:r>
          </w:p>
        </w:tc>
        <w:tc>
          <w:tcPr>
            <w:tcW w:w="254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Strong fundamentals</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313C72">
            <w:pPr>
              <w:spacing w:after="0" w:line="240" w:lineRule="auto"/>
              <w:jc w:val="center"/>
              <w:rPr>
                <w:rFonts w:ascii="Cambria" w:eastAsia="Times New Roman" w:hAnsi="Cambria" w:cs="Times New Roman"/>
                <w:sz w:val="24"/>
                <w:szCs w:val="24"/>
              </w:rPr>
            </w:pPr>
            <w:r w:rsidRPr="00E633AD">
              <w:rPr>
                <w:rFonts w:ascii="Cambria" w:eastAsia="Times New Roman" w:hAnsi="Cambria" w:cs="Times New Roman"/>
                <w:sz w:val="24"/>
                <w:szCs w:val="24"/>
              </w:rPr>
              <w:t>6</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Vietnam</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8.8%</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8.0%</w:t>
            </w:r>
          </w:p>
        </w:tc>
        <w:tc>
          <w:tcPr>
            <w:tcW w:w="254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Manufacturing hub</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313C72">
            <w:pPr>
              <w:spacing w:after="0" w:line="240" w:lineRule="auto"/>
              <w:jc w:val="center"/>
              <w:rPr>
                <w:rFonts w:ascii="Cambria" w:eastAsia="Times New Roman" w:hAnsi="Cambria" w:cs="Times New Roman"/>
                <w:sz w:val="24"/>
                <w:szCs w:val="24"/>
              </w:rPr>
            </w:pPr>
            <w:r w:rsidRPr="00E633AD">
              <w:rPr>
                <w:rFonts w:ascii="Cambria" w:eastAsia="Times New Roman" w:hAnsi="Cambria" w:cs="Times New Roman"/>
                <w:sz w:val="24"/>
                <w:szCs w:val="24"/>
              </w:rPr>
              <w:t>7</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India</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8.7%</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7.6%</w:t>
            </w:r>
          </w:p>
        </w:tc>
        <w:tc>
          <w:tcPr>
            <w:tcW w:w="254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Emerging powerhouse</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313C72">
            <w:pPr>
              <w:spacing w:after="0" w:line="240" w:lineRule="auto"/>
              <w:jc w:val="center"/>
              <w:rPr>
                <w:rFonts w:ascii="Cambria" w:eastAsia="Times New Roman" w:hAnsi="Cambria" w:cs="Times New Roman"/>
                <w:sz w:val="24"/>
                <w:szCs w:val="24"/>
              </w:rPr>
            </w:pPr>
            <w:r w:rsidRPr="00E633AD">
              <w:rPr>
                <w:rFonts w:ascii="Cambria" w:eastAsia="Times New Roman" w:hAnsi="Cambria" w:cs="Times New Roman"/>
                <w:sz w:val="24"/>
                <w:szCs w:val="24"/>
              </w:rPr>
              <w:t>8</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Taiwan</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8.5%</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8.7%</w:t>
            </w:r>
          </w:p>
        </w:tc>
        <w:tc>
          <w:tcPr>
            <w:tcW w:w="254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Tech-driven</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313C72">
            <w:pPr>
              <w:spacing w:after="0" w:line="240" w:lineRule="auto"/>
              <w:jc w:val="center"/>
              <w:rPr>
                <w:rFonts w:ascii="Cambria" w:eastAsia="Times New Roman" w:hAnsi="Cambria" w:cs="Times New Roman"/>
                <w:sz w:val="24"/>
                <w:szCs w:val="24"/>
              </w:rPr>
            </w:pPr>
            <w:r w:rsidRPr="00E633AD">
              <w:rPr>
                <w:rFonts w:ascii="Cambria" w:eastAsia="Times New Roman" w:hAnsi="Cambria" w:cs="Times New Roman"/>
                <w:sz w:val="24"/>
                <w:szCs w:val="24"/>
              </w:rPr>
              <w:t>9</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Tajikistan</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8.3%</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8.4%</w:t>
            </w:r>
          </w:p>
        </w:tc>
        <w:tc>
          <w:tcPr>
            <w:tcW w:w="254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Stable</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313C72">
            <w:pPr>
              <w:spacing w:after="0" w:line="240" w:lineRule="auto"/>
              <w:jc w:val="center"/>
              <w:rPr>
                <w:rFonts w:ascii="Cambria" w:eastAsia="Times New Roman" w:hAnsi="Cambria" w:cs="Times New Roman"/>
                <w:sz w:val="24"/>
                <w:szCs w:val="24"/>
              </w:rPr>
            </w:pPr>
            <w:r w:rsidRPr="00E633AD">
              <w:rPr>
                <w:rFonts w:ascii="Cambria" w:eastAsia="Times New Roman" w:hAnsi="Cambria" w:cs="Times New Roman"/>
                <w:sz w:val="24"/>
                <w:szCs w:val="24"/>
              </w:rPr>
              <w:t>10</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Senegal</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8.1%</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7.9%</w:t>
            </w:r>
          </w:p>
        </w:tc>
        <w:tc>
          <w:tcPr>
            <w:tcW w:w="254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Growing economy</w:t>
            </w:r>
          </w:p>
        </w:tc>
      </w:tr>
    </w:tbl>
    <w:p w:rsidR="00313C72" w:rsidRDefault="00313C72" w:rsidP="00532862">
      <w:pPr>
        <w:shd w:val="clear" w:color="auto" w:fill="FFFFFF"/>
        <w:spacing w:after="0" w:line="240" w:lineRule="auto"/>
        <w:rPr>
          <w:rFonts w:ascii="Cambria" w:eastAsia="Times New Roman" w:hAnsi="Cambria" w:cs="Segoe UI"/>
          <w:b/>
          <w:bCs/>
          <w:color w:val="0F1115"/>
          <w:sz w:val="24"/>
          <w:szCs w:val="24"/>
        </w:rPr>
      </w:pPr>
    </w:p>
    <w:p w:rsidR="00CB1E62" w:rsidRPr="00E633AD" w:rsidRDefault="00CB1E62" w:rsidP="00532862">
      <w:pPr>
        <w:shd w:val="clear" w:color="auto" w:fill="FFFFFF"/>
        <w:spacing w:after="0" w:line="240" w:lineRule="auto"/>
        <w:rPr>
          <w:rFonts w:ascii="Cambria" w:eastAsia="Times New Roman" w:hAnsi="Cambria" w:cs="Segoe UI"/>
          <w:color w:val="0F1115"/>
          <w:sz w:val="24"/>
          <w:szCs w:val="24"/>
        </w:rPr>
      </w:pPr>
      <w:r w:rsidRPr="00E633AD">
        <w:rPr>
          <w:rFonts w:ascii="Cambria" w:eastAsia="Times New Roman" w:hAnsi="Cambria" w:cs="Segoe UI"/>
          <w:b/>
          <w:bCs/>
          <w:color w:val="0F1115"/>
          <w:sz w:val="24"/>
          <w:szCs w:val="24"/>
        </w:rPr>
        <w:t>Major Economies 2026 Forecast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5"/>
        <w:gridCol w:w="2820"/>
        <w:gridCol w:w="2160"/>
        <w:gridCol w:w="2515"/>
      </w:tblGrid>
      <w:tr w:rsidR="00CB1E62" w:rsidRPr="00E633AD" w:rsidTr="00313C72">
        <w:trPr>
          <w:tblHeader/>
        </w:trPr>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Country</w:t>
            </w:r>
          </w:p>
        </w:tc>
        <w:tc>
          <w:tcPr>
            <w:tcW w:w="282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Predicted 2026</w:t>
            </w:r>
          </w:p>
        </w:tc>
        <w:tc>
          <w:tcPr>
            <w:tcW w:w="216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2025 Actual</w:t>
            </w:r>
          </w:p>
        </w:tc>
        <w:tc>
          <w:tcPr>
            <w:tcW w:w="2515"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Change</w:t>
            </w:r>
          </w:p>
        </w:tc>
      </w:tr>
      <w:tr w:rsidR="00CB1E62" w:rsidRPr="00E633AD" w:rsidTr="00313C72">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India</w:t>
            </w:r>
          </w:p>
        </w:tc>
        <w:tc>
          <w:tcPr>
            <w:tcW w:w="282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8.7%</w:t>
            </w:r>
          </w:p>
        </w:tc>
        <w:tc>
          <w:tcPr>
            <w:tcW w:w="216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7.6%</w:t>
            </w:r>
          </w:p>
        </w:tc>
        <w:tc>
          <w:tcPr>
            <w:tcW w:w="2515"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+1.1%</w:t>
            </w:r>
          </w:p>
        </w:tc>
      </w:tr>
      <w:tr w:rsidR="00CB1E62" w:rsidRPr="00E633AD" w:rsidTr="00313C72">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China</w:t>
            </w:r>
          </w:p>
        </w:tc>
        <w:tc>
          <w:tcPr>
            <w:tcW w:w="282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3.5%</w:t>
            </w:r>
          </w:p>
        </w:tc>
        <w:tc>
          <w:tcPr>
            <w:tcW w:w="216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5.0%</w:t>
            </w:r>
          </w:p>
        </w:tc>
        <w:tc>
          <w:tcPr>
            <w:tcW w:w="2515"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-1.5%</w:t>
            </w:r>
          </w:p>
        </w:tc>
      </w:tr>
      <w:tr w:rsidR="00CB1E62" w:rsidRPr="00E633AD" w:rsidTr="00313C72">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lastRenderedPageBreak/>
              <w:t>United States</w:t>
            </w:r>
          </w:p>
        </w:tc>
        <w:tc>
          <w:tcPr>
            <w:tcW w:w="282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2.2%</w:t>
            </w:r>
          </w:p>
        </w:tc>
        <w:tc>
          <w:tcPr>
            <w:tcW w:w="216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2.1%</w:t>
            </w:r>
          </w:p>
        </w:tc>
        <w:tc>
          <w:tcPr>
            <w:tcW w:w="2515"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+0.1%</w:t>
            </w:r>
          </w:p>
        </w:tc>
      </w:tr>
      <w:tr w:rsidR="00CB1E62" w:rsidRPr="00E633AD" w:rsidTr="00313C72">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United Kingdom</w:t>
            </w:r>
          </w:p>
        </w:tc>
        <w:tc>
          <w:tcPr>
            <w:tcW w:w="282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2.0%</w:t>
            </w:r>
          </w:p>
        </w:tc>
        <w:tc>
          <w:tcPr>
            <w:tcW w:w="216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1.3%</w:t>
            </w:r>
          </w:p>
        </w:tc>
        <w:tc>
          <w:tcPr>
            <w:tcW w:w="2515"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+0.7%</w:t>
            </w:r>
          </w:p>
        </w:tc>
      </w:tr>
      <w:tr w:rsidR="00CB1E62" w:rsidRPr="00E633AD" w:rsidTr="00313C72">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Germany</w:t>
            </w:r>
          </w:p>
        </w:tc>
        <w:tc>
          <w:tcPr>
            <w:tcW w:w="282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1.5%</w:t>
            </w:r>
          </w:p>
        </w:tc>
        <w:tc>
          <w:tcPr>
            <w:tcW w:w="216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0.2%</w:t>
            </w:r>
          </w:p>
        </w:tc>
        <w:tc>
          <w:tcPr>
            <w:tcW w:w="2515"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+1.3%</w:t>
            </w:r>
          </w:p>
        </w:tc>
      </w:tr>
      <w:tr w:rsidR="00CB1E62" w:rsidRPr="00E633AD" w:rsidTr="00313C72">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Japan</w:t>
            </w:r>
          </w:p>
        </w:tc>
        <w:tc>
          <w:tcPr>
            <w:tcW w:w="282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0.7%</w:t>
            </w:r>
          </w:p>
        </w:tc>
        <w:tc>
          <w:tcPr>
            <w:tcW w:w="216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1.2%</w:t>
            </w:r>
          </w:p>
        </w:tc>
        <w:tc>
          <w:tcPr>
            <w:tcW w:w="2515"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-0.5%</w:t>
            </w:r>
          </w:p>
        </w:tc>
      </w:tr>
    </w:tbl>
    <w:p w:rsidR="00313C72" w:rsidRDefault="00313C72" w:rsidP="00532862">
      <w:pPr>
        <w:shd w:val="clear" w:color="auto" w:fill="FFFFFF"/>
        <w:spacing w:after="0" w:line="240" w:lineRule="auto"/>
        <w:outlineLvl w:val="2"/>
        <w:rPr>
          <w:rFonts w:ascii="Cambria" w:eastAsia="Times New Roman" w:hAnsi="Cambria" w:cs="Segoe UI"/>
          <w:b/>
          <w:bCs/>
          <w:color w:val="0F1115"/>
          <w:sz w:val="27"/>
          <w:szCs w:val="27"/>
        </w:rPr>
      </w:pPr>
    </w:p>
    <w:p w:rsidR="00CB1E62" w:rsidRPr="00E633AD" w:rsidRDefault="00CB1E62" w:rsidP="00532862">
      <w:pPr>
        <w:shd w:val="clear" w:color="auto" w:fill="FFFFFF"/>
        <w:spacing w:after="0" w:line="240" w:lineRule="auto"/>
        <w:outlineLvl w:val="2"/>
        <w:rPr>
          <w:rFonts w:ascii="Cambria" w:eastAsia="Times New Roman" w:hAnsi="Cambria" w:cs="Segoe UI"/>
          <w:b/>
          <w:bCs/>
          <w:color w:val="0F1115"/>
          <w:sz w:val="27"/>
          <w:szCs w:val="27"/>
        </w:rPr>
      </w:pPr>
      <w:r w:rsidRPr="00E633AD">
        <w:rPr>
          <w:rFonts w:ascii="Cambria" w:eastAsia="Times New Roman" w:hAnsi="Cambria" w:cs="Segoe UI"/>
          <w:b/>
          <w:bCs/>
          <w:color w:val="0F1115"/>
          <w:sz w:val="27"/>
          <w:szCs w:val="27"/>
        </w:rPr>
        <w:t>Recession Risk (2026)</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91"/>
        <w:gridCol w:w="3564"/>
      </w:tblGrid>
      <w:tr w:rsidR="00CB1E62" w:rsidRPr="00E633AD" w:rsidTr="00C77380">
        <w:trPr>
          <w:tblHeader/>
        </w:trPr>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Metric</w:t>
            </w:r>
          </w:p>
        </w:tc>
        <w:tc>
          <w:tcPr>
            <w:tcW w:w="3564"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Value</w:t>
            </w:r>
          </w:p>
        </w:tc>
      </w:tr>
      <w:tr w:rsidR="00CB1E62" w:rsidRPr="00E633AD" w:rsidTr="00C77380">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Countries at Risk</w:t>
            </w:r>
          </w:p>
        </w:tc>
        <w:tc>
          <w:tcPr>
            <w:tcW w:w="3564"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30</w:t>
            </w:r>
          </w:p>
        </w:tc>
      </w:tr>
      <w:tr w:rsidR="00CB1E62" w:rsidRPr="00E633AD" w:rsidTr="00C77380">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Highest Risk Country</w:t>
            </w:r>
          </w:p>
        </w:tc>
        <w:tc>
          <w:tcPr>
            <w:tcW w:w="3564"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Equatorial Guinea (-5.5%)</w:t>
            </w:r>
          </w:p>
        </w:tc>
      </w:tr>
      <w:tr w:rsidR="00CB1E62" w:rsidRPr="00E633AD" w:rsidTr="00C77380">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Japan Recession Probability</w:t>
            </w:r>
          </w:p>
        </w:tc>
        <w:tc>
          <w:tcPr>
            <w:tcW w:w="3564"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22.6%</w:t>
            </w:r>
          </w:p>
        </w:tc>
      </w:tr>
    </w:tbl>
    <w:p w:rsidR="00CB1E62" w:rsidRPr="00E633AD" w:rsidRDefault="00CB1E62" w:rsidP="00532862">
      <w:pPr>
        <w:shd w:val="clear" w:color="auto" w:fill="FFFFFF"/>
        <w:spacing w:after="0" w:line="240" w:lineRule="auto"/>
        <w:rPr>
          <w:rFonts w:ascii="Cambria" w:eastAsia="Times New Roman" w:hAnsi="Cambria" w:cs="Segoe UI"/>
          <w:color w:val="0F1115"/>
          <w:sz w:val="24"/>
          <w:szCs w:val="24"/>
        </w:rPr>
      </w:pPr>
      <w:r w:rsidRPr="00313C72">
        <w:rPr>
          <w:rFonts w:ascii="Cambria" w:eastAsia="Times New Roman" w:hAnsi="Cambria" w:cs="Segoe UI"/>
          <w:color w:val="0F1115"/>
          <w:sz w:val="24"/>
          <w:szCs w:val="24"/>
        </w:rPr>
        <w:t>Probability of Global Growth Above 3% in 2026</w:t>
      </w:r>
      <w:r w:rsidRPr="00E633AD">
        <w:rPr>
          <w:rFonts w:ascii="Cambria" w:eastAsia="Times New Roman" w:hAnsi="Cambria" w:cs="Segoe UI"/>
          <w:b/>
          <w:bCs/>
          <w:color w:val="0F1115"/>
          <w:sz w:val="24"/>
          <w:szCs w:val="24"/>
        </w:rPr>
        <w:t>:</w:t>
      </w:r>
      <w:r w:rsidRPr="00E633AD">
        <w:rPr>
          <w:rFonts w:ascii="Cambria" w:eastAsia="Times New Roman" w:hAnsi="Cambria" w:cs="Segoe UI"/>
          <w:color w:val="0F1115"/>
          <w:sz w:val="24"/>
          <w:szCs w:val="24"/>
        </w:rPr>
        <w:t> 57.7% (112 out of 194 countries)</w:t>
      </w:r>
    </w:p>
    <w:p w:rsidR="00313C72" w:rsidRDefault="00313C72" w:rsidP="00532862">
      <w:pPr>
        <w:shd w:val="clear" w:color="auto" w:fill="FFFFFF"/>
        <w:spacing w:after="0" w:line="240" w:lineRule="auto"/>
        <w:outlineLvl w:val="2"/>
        <w:rPr>
          <w:rFonts w:ascii="Cambria" w:eastAsia="Times New Roman" w:hAnsi="Cambria" w:cs="Segoe UI"/>
          <w:b/>
          <w:bCs/>
          <w:color w:val="0F1115"/>
          <w:sz w:val="27"/>
          <w:szCs w:val="27"/>
        </w:rPr>
      </w:pPr>
    </w:p>
    <w:p w:rsidR="00CB1E62" w:rsidRPr="00E633AD" w:rsidRDefault="00CB1E62" w:rsidP="00532862">
      <w:pPr>
        <w:shd w:val="clear" w:color="auto" w:fill="FFFFFF"/>
        <w:spacing w:after="0" w:line="240" w:lineRule="auto"/>
        <w:outlineLvl w:val="2"/>
        <w:rPr>
          <w:rFonts w:ascii="Cambria" w:eastAsia="Times New Roman" w:hAnsi="Cambria" w:cs="Segoe UI"/>
          <w:b/>
          <w:bCs/>
          <w:color w:val="0F1115"/>
          <w:sz w:val="27"/>
          <w:szCs w:val="27"/>
        </w:rPr>
      </w:pPr>
      <w:r w:rsidRPr="00E633AD">
        <w:rPr>
          <w:rFonts w:ascii="Cambria" w:eastAsia="Times New Roman" w:hAnsi="Cambria" w:cs="Segoe UI"/>
          <w:b/>
          <w:bCs/>
          <w:color w:val="0F1115"/>
          <w:sz w:val="27"/>
          <w:szCs w:val="27"/>
        </w:rPr>
        <w:t>2030 Top 10 Economies (IMF Projections)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5"/>
        <w:gridCol w:w="2780"/>
        <w:gridCol w:w="2520"/>
        <w:gridCol w:w="3240"/>
      </w:tblGrid>
      <w:tr w:rsidR="00CB1E62" w:rsidRPr="00E633AD" w:rsidTr="00576C51">
        <w:trPr>
          <w:tblHeader/>
        </w:trPr>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Rank</w:t>
            </w:r>
          </w:p>
        </w:tc>
        <w:tc>
          <w:tcPr>
            <w:tcW w:w="278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Country</w:t>
            </w:r>
          </w:p>
        </w:tc>
        <w:tc>
          <w:tcPr>
            <w:tcW w:w="252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2030 GDP</w:t>
            </w:r>
          </w:p>
        </w:tc>
        <w:tc>
          <w:tcPr>
            <w:tcW w:w="324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Rank Change</w:t>
            </w:r>
          </w:p>
        </w:tc>
      </w:tr>
      <w:tr w:rsidR="00CB1E62" w:rsidRPr="00E633AD" w:rsidTr="00576C51">
        <w:tc>
          <w:tcPr>
            <w:tcW w:w="0" w:type="auto"/>
            <w:tcMar>
              <w:top w:w="150" w:type="dxa"/>
              <w:left w:w="0" w:type="dxa"/>
              <w:bottom w:w="150" w:type="dxa"/>
              <w:right w:w="240" w:type="dxa"/>
            </w:tcMar>
            <w:vAlign w:val="center"/>
            <w:hideMark/>
          </w:tcPr>
          <w:p w:rsidR="00CB1E62" w:rsidRPr="00E633AD" w:rsidRDefault="00CB1E62" w:rsidP="009D6EA7">
            <w:pPr>
              <w:spacing w:after="0" w:line="240" w:lineRule="auto"/>
              <w:jc w:val="center"/>
              <w:rPr>
                <w:rFonts w:ascii="Cambria" w:eastAsia="Times New Roman" w:hAnsi="Cambria" w:cs="Times New Roman"/>
                <w:sz w:val="24"/>
                <w:szCs w:val="24"/>
              </w:rPr>
            </w:pPr>
            <w:r w:rsidRPr="00E633AD">
              <w:rPr>
                <w:rFonts w:ascii="Cambria" w:eastAsia="Times New Roman" w:hAnsi="Cambria" w:cs="Times New Roman"/>
                <w:sz w:val="24"/>
                <w:szCs w:val="24"/>
              </w:rPr>
              <w:t>1</w:t>
            </w:r>
          </w:p>
        </w:tc>
        <w:tc>
          <w:tcPr>
            <w:tcW w:w="278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United States</w:t>
            </w:r>
          </w:p>
        </w:tc>
        <w:tc>
          <w:tcPr>
            <w:tcW w:w="252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$37,678 B</w:t>
            </w:r>
          </w:p>
        </w:tc>
        <w:tc>
          <w:tcPr>
            <w:tcW w:w="324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No change</w:t>
            </w:r>
          </w:p>
        </w:tc>
      </w:tr>
      <w:tr w:rsidR="00CB1E62" w:rsidRPr="00E633AD" w:rsidTr="00576C51">
        <w:tc>
          <w:tcPr>
            <w:tcW w:w="0" w:type="auto"/>
            <w:tcMar>
              <w:top w:w="150" w:type="dxa"/>
              <w:left w:w="0" w:type="dxa"/>
              <w:bottom w:w="150" w:type="dxa"/>
              <w:right w:w="240" w:type="dxa"/>
            </w:tcMar>
            <w:vAlign w:val="center"/>
            <w:hideMark/>
          </w:tcPr>
          <w:p w:rsidR="00CB1E62" w:rsidRPr="00E633AD" w:rsidRDefault="00CB1E62" w:rsidP="009D6EA7">
            <w:pPr>
              <w:spacing w:after="0" w:line="240" w:lineRule="auto"/>
              <w:jc w:val="center"/>
              <w:rPr>
                <w:rFonts w:ascii="Cambria" w:eastAsia="Times New Roman" w:hAnsi="Cambria" w:cs="Times New Roman"/>
                <w:sz w:val="24"/>
                <w:szCs w:val="24"/>
              </w:rPr>
            </w:pPr>
            <w:r w:rsidRPr="00E633AD">
              <w:rPr>
                <w:rFonts w:ascii="Cambria" w:eastAsia="Times New Roman" w:hAnsi="Cambria" w:cs="Times New Roman"/>
                <w:sz w:val="24"/>
                <w:szCs w:val="24"/>
              </w:rPr>
              <w:t>2</w:t>
            </w:r>
          </w:p>
        </w:tc>
        <w:tc>
          <w:tcPr>
            <w:tcW w:w="278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China</w:t>
            </w:r>
          </w:p>
        </w:tc>
        <w:tc>
          <w:tcPr>
            <w:tcW w:w="252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$26,047 B</w:t>
            </w:r>
          </w:p>
        </w:tc>
        <w:tc>
          <w:tcPr>
            <w:tcW w:w="324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No change</w:t>
            </w:r>
          </w:p>
        </w:tc>
      </w:tr>
      <w:tr w:rsidR="00CB1E62" w:rsidRPr="00E633AD" w:rsidTr="00576C51">
        <w:tc>
          <w:tcPr>
            <w:tcW w:w="0" w:type="auto"/>
            <w:tcMar>
              <w:top w:w="150" w:type="dxa"/>
              <w:left w:w="0" w:type="dxa"/>
              <w:bottom w:w="150" w:type="dxa"/>
              <w:right w:w="240" w:type="dxa"/>
            </w:tcMar>
            <w:vAlign w:val="center"/>
            <w:hideMark/>
          </w:tcPr>
          <w:p w:rsidR="00CB1E62" w:rsidRPr="00E633AD" w:rsidRDefault="00CB1E62" w:rsidP="009D6EA7">
            <w:pPr>
              <w:spacing w:after="0" w:line="240" w:lineRule="auto"/>
              <w:jc w:val="center"/>
              <w:rPr>
                <w:rFonts w:ascii="Cambria" w:eastAsia="Times New Roman" w:hAnsi="Cambria" w:cs="Times New Roman"/>
                <w:sz w:val="24"/>
                <w:szCs w:val="24"/>
              </w:rPr>
            </w:pPr>
            <w:r w:rsidRPr="00E633AD">
              <w:rPr>
                <w:rFonts w:ascii="Cambria" w:eastAsia="Times New Roman" w:hAnsi="Cambria" w:cs="Times New Roman"/>
                <w:sz w:val="24"/>
                <w:szCs w:val="24"/>
              </w:rPr>
              <w:t>3</w:t>
            </w:r>
          </w:p>
        </w:tc>
        <w:tc>
          <w:tcPr>
            <w:tcW w:w="278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Germany</w:t>
            </w:r>
          </w:p>
        </w:tc>
        <w:tc>
          <w:tcPr>
            <w:tcW w:w="252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$6,178 B</w:t>
            </w:r>
          </w:p>
        </w:tc>
        <w:tc>
          <w:tcPr>
            <w:tcW w:w="324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No change</w:t>
            </w:r>
          </w:p>
        </w:tc>
      </w:tr>
      <w:tr w:rsidR="00CB1E62" w:rsidRPr="00E633AD" w:rsidTr="00576C51">
        <w:tc>
          <w:tcPr>
            <w:tcW w:w="0" w:type="auto"/>
            <w:tcMar>
              <w:top w:w="150" w:type="dxa"/>
              <w:left w:w="0" w:type="dxa"/>
              <w:bottom w:w="150" w:type="dxa"/>
              <w:right w:w="240" w:type="dxa"/>
            </w:tcMar>
            <w:vAlign w:val="center"/>
            <w:hideMark/>
          </w:tcPr>
          <w:p w:rsidR="00CB1E62" w:rsidRPr="00E633AD" w:rsidRDefault="00CB1E62" w:rsidP="009D6EA7">
            <w:pPr>
              <w:spacing w:after="0" w:line="240" w:lineRule="auto"/>
              <w:jc w:val="center"/>
              <w:rPr>
                <w:rFonts w:ascii="Cambria" w:eastAsia="Times New Roman" w:hAnsi="Cambria" w:cs="Times New Roman"/>
                <w:sz w:val="24"/>
                <w:szCs w:val="24"/>
              </w:rPr>
            </w:pPr>
            <w:r w:rsidRPr="00E633AD">
              <w:rPr>
                <w:rFonts w:ascii="Cambria" w:eastAsia="Times New Roman" w:hAnsi="Cambria" w:cs="Times New Roman"/>
                <w:sz w:val="24"/>
                <w:szCs w:val="24"/>
              </w:rPr>
              <w:t>4</w:t>
            </w:r>
          </w:p>
        </w:tc>
        <w:tc>
          <w:tcPr>
            <w:tcW w:w="278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India</w:t>
            </w:r>
          </w:p>
        </w:tc>
        <w:tc>
          <w:tcPr>
            <w:tcW w:w="252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$6,173 B</w:t>
            </w:r>
          </w:p>
        </w:tc>
        <w:tc>
          <w:tcPr>
            <w:tcW w:w="324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 spots</w:t>
            </w:r>
          </w:p>
        </w:tc>
      </w:tr>
      <w:tr w:rsidR="00CB1E62" w:rsidRPr="00E633AD" w:rsidTr="00576C51">
        <w:tc>
          <w:tcPr>
            <w:tcW w:w="0" w:type="auto"/>
            <w:tcMar>
              <w:top w:w="150" w:type="dxa"/>
              <w:left w:w="0" w:type="dxa"/>
              <w:bottom w:w="150" w:type="dxa"/>
              <w:right w:w="240" w:type="dxa"/>
            </w:tcMar>
            <w:vAlign w:val="center"/>
            <w:hideMark/>
          </w:tcPr>
          <w:p w:rsidR="00CB1E62" w:rsidRPr="00E633AD" w:rsidRDefault="00CB1E62" w:rsidP="009D6EA7">
            <w:pPr>
              <w:spacing w:after="0" w:line="240" w:lineRule="auto"/>
              <w:jc w:val="center"/>
              <w:rPr>
                <w:rFonts w:ascii="Cambria" w:eastAsia="Times New Roman" w:hAnsi="Cambria" w:cs="Times New Roman"/>
                <w:sz w:val="24"/>
                <w:szCs w:val="24"/>
              </w:rPr>
            </w:pPr>
            <w:r w:rsidRPr="00E633AD">
              <w:rPr>
                <w:rFonts w:ascii="Cambria" w:eastAsia="Times New Roman" w:hAnsi="Cambria" w:cs="Times New Roman"/>
                <w:sz w:val="24"/>
                <w:szCs w:val="24"/>
              </w:rPr>
              <w:t>5</w:t>
            </w:r>
          </w:p>
        </w:tc>
        <w:tc>
          <w:tcPr>
            <w:tcW w:w="278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United Kingdom</w:t>
            </w:r>
          </w:p>
        </w:tc>
        <w:tc>
          <w:tcPr>
            <w:tcW w:w="252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$5,148 B</w:t>
            </w:r>
          </w:p>
        </w:tc>
        <w:tc>
          <w:tcPr>
            <w:tcW w:w="324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No change</w:t>
            </w:r>
          </w:p>
        </w:tc>
      </w:tr>
      <w:tr w:rsidR="00CB1E62" w:rsidRPr="00E633AD" w:rsidTr="00576C51">
        <w:tc>
          <w:tcPr>
            <w:tcW w:w="0" w:type="auto"/>
            <w:tcMar>
              <w:top w:w="150" w:type="dxa"/>
              <w:left w:w="0" w:type="dxa"/>
              <w:bottom w:w="150" w:type="dxa"/>
              <w:right w:w="240" w:type="dxa"/>
            </w:tcMar>
            <w:vAlign w:val="center"/>
            <w:hideMark/>
          </w:tcPr>
          <w:p w:rsidR="00CB1E62" w:rsidRPr="00E633AD" w:rsidRDefault="00CB1E62" w:rsidP="009D6EA7">
            <w:pPr>
              <w:spacing w:after="0" w:line="240" w:lineRule="auto"/>
              <w:jc w:val="center"/>
              <w:rPr>
                <w:rFonts w:ascii="Cambria" w:eastAsia="Times New Roman" w:hAnsi="Cambria" w:cs="Times New Roman"/>
                <w:sz w:val="24"/>
                <w:szCs w:val="24"/>
              </w:rPr>
            </w:pPr>
            <w:r w:rsidRPr="00E633AD">
              <w:rPr>
                <w:rFonts w:ascii="Cambria" w:eastAsia="Times New Roman" w:hAnsi="Cambria" w:cs="Times New Roman"/>
                <w:sz w:val="24"/>
                <w:szCs w:val="24"/>
              </w:rPr>
              <w:t>6</w:t>
            </w:r>
          </w:p>
        </w:tc>
        <w:tc>
          <w:tcPr>
            <w:tcW w:w="278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Japan</w:t>
            </w:r>
          </w:p>
        </w:tc>
        <w:tc>
          <w:tcPr>
            <w:tcW w:w="252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$5,002 B</w:t>
            </w:r>
          </w:p>
        </w:tc>
        <w:tc>
          <w:tcPr>
            <w:tcW w:w="324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 spots</w:t>
            </w:r>
          </w:p>
        </w:tc>
      </w:tr>
      <w:tr w:rsidR="00CB1E62" w:rsidRPr="00E633AD" w:rsidTr="00576C51">
        <w:tc>
          <w:tcPr>
            <w:tcW w:w="0" w:type="auto"/>
            <w:tcMar>
              <w:top w:w="150" w:type="dxa"/>
              <w:left w:w="0" w:type="dxa"/>
              <w:bottom w:w="150" w:type="dxa"/>
              <w:right w:w="240" w:type="dxa"/>
            </w:tcMar>
            <w:vAlign w:val="center"/>
            <w:hideMark/>
          </w:tcPr>
          <w:p w:rsidR="00CB1E62" w:rsidRPr="00E633AD" w:rsidRDefault="00CB1E62" w:rsidP="009D6EA7">
            <w:pPr>
              <w:spacing w:after="0" w:line="240" w:lineRule="auto"/>
              <w:jc w:val="center"/>
              <w:rPr>
                <w:rFonts w:ascii="Cambria" w:eastAsia="Times New Roman" w:hAnsi="Cambria" w:cs="Times New Roman"/>
                <w:sz w:val="24"/>
                <w:szCs w:val="24"/>
              </w:rPr>
            </w:pPr>
            <w:r w:rsidRPr="00E633AD">
              <w:rPr>
                <w:rFonts w:ascii="Cambria" w:eastAsia="Times New Roman" w:hAnsi="Cambria" w:cs="Times New Roman"/>
                <w:sz w:val="24"/>
                <w:szCs w:val="24"/>
              </w:rPr>
              <w:t>7</w:t>
            </w:r>
          </w:p>
        </w:tc>
        <w:tc>
          <w:tcPr>
            <w:tcW w:w="278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France</w:t>
            </w:r>
          </w:p>
        </w:tc>
        <w:tc>
          <w:tcPr>
            <w:tcW w:w="252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$4,004 B</w:t>
            </w:r>
          </w:p>
        </w:tc>
        <w:tc>
          <w:tcPr>
            <w:tcW w:w="324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No change</w:t>
            </w:r>
          </w:p>
        </w:tc>
      </w:tr>
      <w:tr w:rsidR="00CB1E62" w:rsidRPr="00E633AD" w:rsidTr="00576C51">
        <w:tc>
          <w:tcPr>
            <w:tcW w:w="0" w:type="auto"/>
            <w:tcMar>
              <w:top w:w="150" w:type="dxa"/>
              <w:left w:w="0" w:type="dxa"/>
              <w:bottom w:w="150" w:type="dxa"/>
              <w:right w:w="240" w:type="dxa"/>
            </w:tcMar>
            <w:vAlign w:val="center"/>
            <w:hideMark/>
          </w:tcPr>
          <w:p w:rsidR="00CB1E62" w:rsidRPr="00E633AD" w:rsidRDefault="00CB1E62" w:rsidP="009D6EA7">
            <w:pPr>
              <w:spacing w:after="0" w:line="240" w:lineRule="auto"/>
              <w:jc w:val="center"/>
              <w:rPr>
                <w:rFonts w:ascii="Cambria" w:eastAsia="Times New Roman" w:hAnsi="Cambria" w:cs="Times New Roman"/>
                <w:sz w:val="24"/>
                <w:szCs w:val="24"/>
              </w:rPr>
            </w:pPr>
            <w:r w:rsidRPr="00E633AD">
              <w:rPr>
                <w:rFonts w:ascii="Cambria" w:eastAsia="Times New Roman" w:hAnsi="Cambria" w:cs="Times New Roman"/>
                <w:sz w:val="24"/>
                <w:szCs w:val="24"/>
              </w:rPr>
              <w:t>8</w:t>
            </w:r>
          </w:p>
        </w:tc>
        <w:tc>
          <w:tcPr>
            <w:tcW w:w="278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Brazil</w:t>
            </w:r>
          </w:p>
        </w:tc>
        <w:tc>
          <w:tcPr>
            <w:tcW w:w="252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$3,204 B</w:t>
            </w:r>
          </w:p>
        </w:tc>
        <w:tc>
          <w:tcPr>
            <w:tcW w:w="324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New entry</w:t>
            </w:r>
          </w:p>
        </w:tc>
      </w:tr>
      <w:tr w:rsidR="00CB1E62" w:rsidRPr="00E633AD" w:rsidTr="00576C51">
        <w:tc>
          <w:tcPr>
            <w:tcW w:w="0" w:type="auto"/>
            <w:tcMar>
              <w:top w:w="150" w:type="dxa"/>
              <w:left w:w="0" w:type="dxa"/>
              <w:bottom w:w="150" w:type="dxa"/>
              <w:right w:w="240" w:type="dxa"/>
            </w:tcMar>
            <w:vAlign w:val="center"/>
            <w:hideMark/>
          </w:tcPr>
          <w:p w:rsidR="00CB1E62" w:rsidRPr="00E633AD" w:rsidRDefault="00CB1E62" w:rsidP="009D6EA7">
            <w:pPr>
              <w:spacing w:after="0" w:line="240" w:lineRule="auto"/>
              <w:jc w:val="center"/>
              <w:rPr>
                <w:rFonts w:ascii="Cambria" w:eastAsia="Times New Roman" w:hAnsi="Cambria" w:cs="Times New Roman"/>
                <w:sz w:val="24"/>
                <w:szCs w:val="24"/>
              </w:rPr>
            </w:pPr>
            <w:r w:rsidRPr="00E633AD">
              <w:rPr>
                <w:rFonts w:ascii="Cambria" w:eastAsia="Times New Roman" w:hAnsi="Cambria" w:cs="Times New Roman"/>
                <w:sz w:val="24"/>
                <w:szCs w:val="24"/>
              </w:rPr>
              <w:t>9</w:t>
            </w:r>
          </w:p>
        </w:tc>
        <w:tc>
          <w:tcPr>
            <w:tcW w:w="278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Italy</w:t>
            </w:r>
          </w:p>
        </w:tc>
        <w:tc>
          <w:tcPr>
            <w:tcW w:w="252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$3,046 B</w:t>
            </w:r>
          </w:p>
        </w:tc>
        <w:tc>
          <w:tcPr>
            <w:tcW w:w="324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No change</w:t>
            </w:r>
          </w:p>
        </w:tc>
      </w:tr>
      <w:tr w:rsidR="00CB1E62" w:rsidRPr="00E633AD" w:rsidTr="00576C51">
        <w:tc>
          <w:tcPr>
            <w:tcW w:w="0" w:type="auto"/>
            <w:tcMar>
              <w:top w:w="150" w:type="dxa"/>
              <w:left w:w="0" w:type="dxa"/>
              <w:bottom w:w="150" w:type="dxa"/>
              <w:right w:w="240" w:type="dxa"/>
            </w:tcMar>
            <w:vAlign w:val="center"/>
            <w:hideMark/>
          </w:tcPr>
          <w:p w:rsidR="00CB1E62" w:rsidRPr="00E633AD" w:rsidRDefault="00CB1E62" w:rsidP="009D6EA7">
            <w:pPr>
              <w:spacing w:after="0" w:line="240" w:lineRule="auto"/>
              <w:jc w:val="center"/>
              <w:rPr>
                <w:rFonts w:ascii="Cambria" w:eastAsia="Times New Roman" w:hAnsi="Cambria" w:cs="Times New Roman"/>
                <w:sz w:val="24"/>
                <w:szCs w:val="24"/>
              </w:rPr>
            </w:pPr>
            <w:r w:rsidRPr="00E633AD">
              <w:rPr>
                <w:rFonts w:ascii="Cambria" w:eastAsia="Times New Roman" w:hAnsi="Cambria" w:cs="Times New Roman"/>
                <w:sz w:val="24"/>
                <w:szCs w:val="24"/>
              </w:rPr>
              <w:lastRenderedPageBreak/>
              <w:t>10</w:t>
            </w:r>
          </w:p>
        </w:tc>
        <w:tc>
          <w:tcPr>
            <w:tcW w:w="278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Canada</w:t>
            </w:r>
          </w:p>
        </w:tc>
        <w:tc>
          <w:tcPr>
            <w:tcW w:w="252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$3,008 B</w:t>
            </w:r>
          </w:p>
        </w:tc>
        <w:tc>
          <w:tcPr>
            <w:tcW w:w="324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No change</w:t>
            </w:r>
          </w:p>
        </w:tc>
      </w:tr>
    </w:tbl>
    <w:p w:rsidR="00CB1E62" w:rsidRPr="00E633AD" w:rsidRDefault="00CB1E62" w:rsidP="00532862">
      <w:pPr>
        <w:shd w:val="clear" w:color="auto" w:fill="FFFFFF"/>
        <w:spacing w:after="0" w:line="240" w:lineRule="auto"/>
        <w:rPr>
          <w:rFonts w:ascii="Cambria" w:eastAsia="Times New Roman" w:hAnsi="Cambria" w:cs="Segoe UI"/>
          <w:color w:val="0F1115"/>
          <w:sz w:val="24"/>
          <w:szCs w:val="24"/>
        </w:rPr>
      </w:pPr>
      <w:r w:rsidRPr="00576C51">
        <w:rPr>
          <w:rFonts w:ascii="Cambria" w:eastAsia="Times New Roman" w:hAnsi="Cambria" w:cs="Segoe UI"/>
          <w:color w:val="0F1115"/>
          <w:sz w:val="24"/>
          <w:szCs w:val="24"/>
        </w:rPr>
        <w:t>Critical Insight:</w:t>
      </w:r>
      <w:r w:rsidRPr="00E633AD">
        <w:rPr>
          <w:rFonts w:ascii="Cambria" w:eastAsia="Times New Roman" w:hAnsi="Cambria" w:cs="Segoe UI"/>
          <w:color w:val="0F1115"/>
          <w:sz w:val="24"/>
          <w:szCs w:val="24"/>
        </w:rPr>
        <w:t> India rises from 6th to 4th largest economy, overtaking Japan and the UK. Brazil enters the top 10 for the first time while Russia falls out.</w:t>
      </w:r>
    </w:p>
    <w:p w:rsidR="00CB1E62" w:rsidRPr="00E633AD" w:rsidRDefault="00CB1E62" w:rsidP="00532862">
      <w:pPr>
        <w:spacing w:after="0" w:line="240" w:lineRule="auto"/>
        <w:rPr>
          <w:rFonts w:ascii="Cambria" w:eastAsia="Times New Roman" w:hAnsi="Cambria" w:cs="Times New Roman"/>
          <w:sz w:val="24"/>
          <w:szCs w:val="24"/>
        </w:rPr>
      </w:pPr>
    </w:p>
    <w:p w:rsidR="00CB1E62" w:rsidRPr="00E633AD" w:rsidRDefault="00CB1E62" w:rsidP="00532862">
      <w:pPr>
        <w:shd w:val="clear" w:color="auto" w:fill="FFFFFF"/>
        <w:spacing w:after="0" w:line="240" w:lineRule="auto"/>
        <w:outlineLvl w:val="1"/>
        <w:rPr>
          <w:rFonts w:ascii="Cambria" w:eastAsia="Times New Roman" w:hAnsi="Cambria" w:cs="Segoe UI"/>
          <w:b/>
          <w:bCs/>
          <w:color w:val="0F1115"/>
          <w:sz w:val="36"/>
          <w:szCs w:val="36"/>
        </w:rPr>
      </w:pPr>
      <w:r w:rsidRPr="00E633AD">
        <w:rPr>
          <w:rFonts w:ascii="Cambria" w:eastAsia="Times New Roman" w:hAnsi="Cambria" w:cs="Segoe UI"/>
          <w:b/>
          <w:bCs/>
          <w:color w:val="0F1115"/>
          <w:sz w:val="36"/>
          <w:szCs w:val="36"/>
        </w:rPr>
        <w:t>Prescriptive Analysis: What Should We Do?</w:t>
      </w:r>
    </w:p>
    <w:p w:rsidR="00CB1E62" w:rsidRPr="00E633AD" w:rsidRDefault="00CB1E62" w:rsidP="00532862">
      <w:pPr>
        <w:shd w:val="clear" w:color="auto" w:fill="FFFFFF"/>
        <w:spacing w:after="0" w:line="240" w:lineRule="auto"/>
        <w:outlineLvl w:val="2"/>
        <w:rPr>
          <w:rFonts w:ascii="Cambria" w:eastAsia="Times New Roman" w:hAnsi="Cambria" w:cs="Segoe UI"/>
          <w:b/>
          <w:bCs/>
          <w:color w:val="0F1115"/>
          <w:sz w:val="27"/>
          <w:szCs w:val="27"/>
        </w:rPr>
      </w:pPr>
      <w:r w:rsidRPr="00E633AD">
        <w:rPr>
          <w:rFonts w:ascii="Cambria" w:eastAsia="Times New Roman" w:hAnsi="Cambria" w:cs="Segoe UI"/>
          <w:b/>
          <w:bCs/>
          <w:color w:val="0F1115"/>
          <w:sz w:val="27"/>
          <w:szCs w:val="27"/>
        </w:rPr>
        <w:t>Optimal Policy Mix to Maximize GDP Growth</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01"/>
        <w:gridCol w:w="2905"/>
        <w:gridCol w:w="2717"/>
        <w:gridCol w:w="1632"/>
      </w:tblGrid>
      <w:tr w:rsidR="00CB1E62" w:rsidRPr="00E633AD" w:rsidTr="00F6658E">
        <w:trPr>
          <w:tblHeader/>
        </w:trPr>
        <w:tc>
          <w:tcPr>
            <w:tcW w:w="2101" w:type="dxa"/>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Policy Area</w:t>
            </w:r>
          </w:p>
        </w:tc>
        <w:tc>
          <w:tcPr>
            <w:tcW w:w="2905"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Recommended Action</w:t>
            </w:r>
          </w:p>
        </w:tc>
        <w:tc>
          <w:tcPr>
            <w:tcW w:w="2717"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Expected Growth Impact</w:t>
            </w:r>
          </w:p>
        </w:tc>
        <w:tc>
          <w:tcPr>
            <w:tcW w:w="1632"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Timeframe</w:t>
            </w:r>
          </w:p>
        </w:tc>
      </w:tr>
      <w:tr w:rsidR="00CB1E62" w:rsidRPr="00E633AD" w:rsidTr="00F6658E">
        <w:tc>
          <w:tcPr>
            <w:tcW w:w="2101" w:type="dxa"/>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Economic Resilience</w:t>
            </w:r>
          </w:p>
        </w:tc>
        <w:tc>
          <w:tcPr>
            <w:tcW w:w="2905"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Increase 15-20 points</w:t>
            </w:r>
          </w:p>
        </w:tc>
        <w:tc>
          <w:tcPr>
            <w:tcW w:w="2717"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+2.5% to +3.5%</w:t>
            </w:r>
          </w:p>
        </w:tc>
        <w:tc>
          <w:tcPr>
            <w:tcW w:w="1632"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3-5 years</w:t>
            </w:r>
          </w:p>
        </w:tc>
      </w:tr>
      <w:tr w:rsidR="00CB1E62" w:rsidRPr="00E633AD" w:rsidTr="00F6658E">
        <w:tc>
          <w:tcPr>
            <w:tcW w:w="2101" w:type="dxa"/>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Inflation Control</w:t>
            </w:r>
          </w:p>
        </w:tc>
        <w:tc>
          <w:tcPr>
            <w:tcW w:w="2905"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Target 2-4% range</w:t>
            </w:r>
          </w:p>
        </w:tc>
        <w:tc>
          <w:tcPr>
            <w:tcW w:w="2717"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+0.5% to +1.0%</w:t>
            </w:r>
          </w:p>
        </w:tc>
        <w:tc>
          <w:tcPr>
            <w:tcW w:w="1632"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1-2 years</w:t>
            </w:r>
          </w:p>
        </w:tc>
      </w:tr>
      <w:tr w:rsidR="00CB1E62" w:rsidRPr="00E633AD" w:rsidTr="00F6658E">
        <w:tc>
          <w:tcPr>
            <w:tcW w:w="2101" w:type="dxa"/>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Debt Management</w:t>
            </w:r>
          </w:p>
        </w:tc>
        <w:tc>
          <w:tcPr>
            <w:tcW w:w="2905"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Keep below 60% of GDP</w:t>
            </w:r>
          </w:p>
        </w:tc>
        <w:tc>
          <w:tcPr>
            <w:tcW w:w="2717"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+0.3% to +0.8%</w:t>
            </w:r>
          </w:p>
        </w:tc>
        <w:tc>
          <w:tcPr>
            <w:tcW w:w="1632"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2-4 years</w:t>
            </w:r>
          </w:p>
        </w:tc>
      </w:tr>
      <w:tr w:rsidR="00CB1E62" w:rsidRPr="00E633AD" w:rsidTr="00F6658E">
        <w:tc>
          <w:tcPr>
            <w:tcW w:w="2101" w:type="dxa"/>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Growth Momentum</w:t>
            </w:r>
          </w:p>
        </w:tc>
        <w:tc>
          <w:tcPr>
            <w:tcW w:w="2905"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Sustain positive momentum</w:t>
            </w:r>
          </w:p>
        </w:tc>
        <w:tc>
          <w:tcPr>
            <w:tcW w:w="2717"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+0.5% to +1.0%</w:t>
            </w:r>
          </w:p>
        </w:tc>
        <w:tc>
          <w:tcPr>
            <w:tcW w:w="1632"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Immediate</w:t>
            </w:r>
          </w:p>
        </w:tc>
      </w:tr>
    </w:tbl>
    <w:p w:rsidR="00DB32EC" w:rsidRDefault="00DB32EC" w:rsidP="00532862">
      <w:pPr>
        <w:shd w:val="clear" w:color="auto" w:fill="FFFFFF"/>
        <w:spacing w:after="0" w:line="240" w:lineRule="auto"/>
        <w:outlineLvl w:val="2"/>
        <w:rPr>
          <w:rFonts w:ascii="Cambria" w:eastAsia="Times New Roman" w:hAnsi="Cambria" w:cs="Segoe UI"/>
          <w:b/>
          <w:bCs/>
          <w:color w:val="0F1115"/>
          <w:sz w:val="27"/>
          <w:szCs w:val="27"/>
        </w:rPr>
      </w:pPr>
    </w:p>
    <w:p w:rsidR="00CB1E62" w:rsidRPr="00E633AD" w:rsidRDefault="00CB1E62" w:rsidP="00532862">
      <w:pPr>
        <w:shd w:val="clear" w:color="auto" w:fill="FFFFFF"/>
        <w:spacing w:after="0" w:line="240" w:lineRule="auto"/>
        <w:outlineLvl w:val="2"/>
        <w:rPr>
          <w:rFonts w:ascii="Cambria" w:eastAsia="Times New Roman" w:hAnsi="Cambria" w:cs="Segoe UI"/>
          <w:b/>
          <w:bCs/>
          <w:color w:val="0F1115"/>
          <w:sz w:val="27"/>
          <w:szCs w:val="27"/>
        </w:rPr>
      </w:pPr>
      <w:r w:rsidRPr="00E633AD">
        <w:rPr>
          <w:rFonts w:ascii="Cambria" w:eastAsia="Times New Roman" w:hAnsi="Cambria" w:cs="Segoe UI"/>
          <w:b/>
          <w:bCs/>
          <w:color w:val="0F1115"/>
          <w:sz w:val="27"/>
          <w:szCs w:val="27"/>
        </w:rPr>
        <w:t>Resource Allocation for Maximum Impact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1"/>
        <w:gridCol w:w="2335"/>
        <w:gridCol w:w="3619"/>
      </w:tblGrid>
      <w:tr w:rsidR="00CB1E62" w:rsidRPr="00E633AD" w:rsidTr="00F6658E">
        <w:trPr>
          <w:tblHeader/>
        </w:trPr>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Investment Area</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Allocation</w:t>
            </w:r>
          </w:p>
        </w:tc>
        <w:tc>
          <w:tcPr>
            <w:tcW w:w="3619"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Rationale</w:t>
            </w:r>
          </w:p>
        </w:tc>
      </w:tr>
      <w:tr w:rsidR="00CB1E62" w:rsidRPr="00E633AD" w:rsidTr="00F6658E">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Economic Resilience</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65%</w:t>
            </w:r>
          </w:p>
        </w:tc>
        <w:tc>
          <w:tcPr>
            <w:tcW w:w="3619"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Highest ROI (0.65 impact per unit)</w:t>
            </w:r>
          </w:p>
        </w:tc>
      </w:tr>
      <w:tr w:rsidR="00CB1E62" w:rsidRPr="00E633AD" w:rsidTr="00F6658E">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Debt Reduction</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20%</w:t>
            </w:r>
          </w:p>
        </w:tc>
        <w:tc>
          <w:tcPr>
            <w:tcW w:w="3619"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Important for stability</w:t>
            </w:r>
          </w:p>
        </w:tc>
      </w:tr>
      <w:tr w:rsidR="00CB1E62" w:rsidRPr="00E633AD" w:rsidTr="00F6658E">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Inflation Reduction</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15%</w:t>
            </w:r>
          </w:p>
        </w:tc>
        <w:tc>
          <w:tcPr>
            <w:tcW w:w="3619"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Medium ROI (0.15 impact per unit)</w:t>
            </w:r>
          </w:p>
        </w:tc>
      </w:tr>
    </w:tbl>
    <w:p w:rsidR="00DB32EC" w:rsidRDefault="00DB32EC" w:rsidP="00532862">
      <w:pPr>
        <w:shd w:val="clear" w:color="auto" w:fill="FFFFFF"/>
        <w:spacing w:after="0" w:line="240" w:lineRule="auto"/>
        <w:outlineLvl w:val="2"/>
        <w:rPr>
          <w:rFonts w:ascii="Cambria" w:eastAsia="Times New Roman" w:hAnsi="Cambria" w:cs="Segoe UI"/>
          <w:b/>
          <w:bCs/>
          <w:color w:val="0F1115"/>
          <w:sz w:val="27"/>
          <w:szCs w:val="27"/>
        </w:rPr>
      </w:pPr>
    </w:p>
    <w:p w:rsidR="00CB1E62" w:rsidRPr="00E633AD" w:rsidRDefault="00CB1E62" w:rsidP="00532862">
      <w:pPr>
        <w:shd w:val="clear" w:color="auto" w:fill="FFFFFF"/>
        <w:spacing w:after="0" w:line="240" w:lineRule="auto"/>
        <w:outlineLvl w:val="2"/>
        <w:rPr>
          <w:rFonts w:ascii="Cambria" w:eastAsia="Times New Roman" w:hAnsi="Cambria" w:cs="Segoe UI"/>
          <w:b/>
          <w:bCs/>
          <w:color w:val="0F1115"/>
          <w:sz w:val="27"/>
          <w:szCs w:val="27"/>
        </w:rPr>
      </w:pPr>
      <w:r w:rsidRPr="00E633AD">
        <w:rPr>
          <w:rFonts w:ascii="Cambria" w:eastAsia="Times New Roman" w:hAnsi="Cambria" w:cs="Segoe UI"/>
          <w:b/>
          <w:bCs/>
          <w:color w:val="0F1115"/>
          <w:sz w:val="27"/>
          <w:szCs w:val="27"/>
        </w:rPr>
        <w:t>Trade-off Analysis Results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2"/>
        <w:gridCol w:w="1973"/>
        <w:gridCol w:w="1846"/>
        <w:gridCol w:w="3324"/>
      </w:tblGrid>
      <w:tr w:rsidR="00CB1E62" w:rsidRPr="00E633AD" w:rsidTr="00F6658E">
        <w:trPr>
          <w:tblHeader/>
        </w:trPr>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Zone</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Threshold</w:t>
            </w:r>
          </w:p>
        </w:tc>
        <w:tc>
          <w:tcPr>
            <w:tcW w:w="1846"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Average Growth</w:t>
            </w:r>
          </w:p>
        </w:tc>
        <w:tc>
          <w:tcPr>
            <w:tcW w:w="3324"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Recommendation</w:t>
            </w:r>
          </w:p>
        </w:tc>
      </w:tr>
      <w:tr w:rsidR="00CB1E62" w:rsidRPr="00E633AD" w:rsidTr="00F6658E">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Low Debt Zone</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&lt;60% of GDP</w:t>
            </w:r>
          </w:p>
        </w:tc>
        <w:tc>
          <w:tcPr>
            <w:tcW w:w="1846"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3.14%</w:t>
            </w:r>
          </w:p>
        </w:tc>
        <w:tc>
          <w:tcPr>
            <w:tcW w:w="3324"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Sustainable - room for stimulus</w:t>
            </w:r>
          </w:p>
        </w:tc>
      </w:tr>
      <w:tr w:rsidR="00CB1E62" w:rsidRPr="00E633AD" w:rsidTr="00F6658E">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lastRenderedPageBreak/>
              <w:t>High Debt Zone</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&gt;100% of GDP</w:t>
            </w:r>
          </w:p>
        </w:tc>
        <w:tc>
          <w:tcPr>
            <w:tcW w:w="1846"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0.52%</w:t>
            </w:r>
          </w:p>
        </w:tc>
        <w:tc>
          <w:tcPr>
            <w:tcW w:w="3324"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Danger zone - urgent consolidation</w:t>
            </w:r>
          </w:p>
        </w:tc>
      </w:tr>
      <w:tr w:rsidR="00CB1E62" w:rsidRPr="00E633AD" w:rsidTr="00F6658E">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Low Inflation Zone</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&lt;3%</w:t>
            </w:r>
          </w:p>
        </w:tc>
        <w:tc>
          <w:tcPr>
            <w:tcW w:w="1846"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2.43%</w:t>
            </w:r>
          </w:p>
        </w:tc>
        <w:tc>
          <w:tcPr>
            <w:tcW w:w="3324"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Ideal - maintain policies</w:t>
            </w:r>
          </w:p>
        </w:tc>
      </w:tr>
      <w:tr w:rsidR="00CB1E62" w:rsidRPr="00E633AD" w:rsidTr="00F6658E">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High Inflation Zone</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&gt;10%</w:t>
            </w:r>
          </w:p>
        </w:tc>
        <w:tc>
          <w:tcPr>
            <w:tcW w:w="1846"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2.00%</w:t>
            </w:r>
          </w:p>
        </w:tc>
        <w:tc>
          <w:tcPr>
            <w:tcW w:w="3324"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Take immediate action</w:t>
            </w:r>
          </w:p>
        </w:tc>
      </w:tr>
    </w:tbl>
    <w:p w:rsidR="00DB32EC" w:rsidRDefault="00DB32EC" w:rsidP="00532862">
      <w:pPr>
        <w:shd w:val="clear" w:color="auto" w:fill="FFFFFF"/>
        <w:spacing w:after="0" w:line="240" w:lineRule="auto"/>
        <w:outlineLvl w:val="2"/>
        <w:rPr>
          <w:rFonts w:ascii="Cambria" w:eastAsia="Times New Roman" w:hAnsi="Cambria" w:cs="Segoe UI"/>
          <w:b/>
          <w:bCs/>
          <w:color w:val="0F1115"/>
          <w:sz w:val="27"/>
          <w:szCs w:val="27"/>
        </w:rPr>
      </w:pPr>
    </w:p>
    <w:p w:rsidR="00CB1E62" w:rsidRPr="00E633AD" w:rsidRDefault="00CB1E62" w:rsidP="00532862">
      <w:pPr>
        <w:shd w:val="clear" w:color="auto" w:fill="FFFFFF"/>
        <w:spacing w:after="0" w:line="240" w:lineRule="auto"/>
        <w:outlineLvl w:val="2"/>
        <w:rPr>
          <w:rFonts w:ascii="Cambria" w:eastAsia="Times New Roman" w:hAnsi="Cambria" w:cs="Segoe UI"/>
          <w:b/>
          <w:bCs/>
          <w:color w:val="0F1115"/>
          <w:sz w:val="27"/>
          <w:szCs w:val="27"/>
        </w:rPr>
      </w:pPr>
      <w:r w:rsidRPr="00E633AD">
        <w:rPr>
          <w:rFonts w:ascii="Cambria" w:eastAsia="Times New Roman" w:hAnsi="Cambria" w:cs="Segoe UI"/>
          <w:b/>
          <w:bCs/>
          <w:color w:val="0F1115"/>
          <w:sz w:val="27"/>
          <w:szCs w:val="27"/>
        </w:rPr>
        <w:t>Country-Specific Prescriptions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4"/>
        <w:gridCol w:w="4911"/>
        <w:gridCol w:w="2250"/>
      </w:tblGrid>
      <w:tr w:rsidR="00CB1E62" w:rsidRPr="00E633AD" w:rsidTr="00F6658E">
        <w:trPr>
          <w:tblHeader/>
        </w:trPr>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Country</w:t>
            </w:r>
          </w:p>
        </w:tc>
        <w:tc>
          <w:tcPr>
            <w:tcW w:w="4911"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Primary Recommendation</w:t>
            </w:r>
          </w:p>
        </w:tc>
        <w:tc>
          <w:tcPr>
            <w:tcW w:w="225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Expected Lift</w:t>
            </w:r>
          </w:p>
        </w:tc>
      </w:tr>
      <w:tr w:rsidR="00CB1E62" w:rsidRPr="00E633AD" w:rsidTr="00F6658E">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India</w:t>
            </w:r>
          </w:p>
        </w:tc>
        <w:tc>
          <w:tcPr>
            <w:tcW w:w="4911"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Boost economic resilience</w:t>
            </w:r>
          </w:p>
        </w:tc>
        <w:tc>
          <w:tcPr>
            <w:tcW w:w="225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+2.5%</w:t>
            </w:r>
          </w:p>
        </w:tc>
      </w:tr>
      <w:tr w:rsidR="00CB1E62" w:rsidRPr="00E633AD" w:rsidTr="00F6658E">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Brazil</w:t>
            </w:r>
          </w:p>
        </w:tc>
        <w:tc>
          <w:tcPr>
            <w:tcW w:w="4911"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Fiscal consolidation</w:t>
            </w:r>
          </w:p>
        </w:tc>
        <w:tc>
          <w:tcPr>
            <w:tcW w:w="225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+1.8%</w:t>
            </w:r>
          </w:p>
        </w:tc>
      </w:tr>
      <w:tr w:rsidR="00CB1E62" w:rsidRPr="00E633AD" w:rsidTr="00F6658E">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South Africa</w:t>
            </w:r>
          </w:p>
        </w:tc>
        <w:tc>
          <w:tcPr>
            <w:tcW w:w="4911"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Improve governance</w:t>
            </w:r>
          </w:p>
        </w:tc>
        <w:tc>
          <w:tcPr>
            <w:tcW w:w="225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+2.0%</w:t>
            </w:r>
          </w:p>
        </w:tc>
      </w:tr>
      <w:tr w:rsidR="00CB1E62" w:rsidRPr="00E633AD" w:rsidTr="00F6658E">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United States</w:t>
            </w:r>
          </w:p>
        </w:tc>
        <w:tc>
          <w:tcPr>
            <w:tcW w:w="4911"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Manage debt levels</w:t>
            </w:r>
          </w:p>
        </w:tc>
        <w:tc>
          <w:tcPr>
            <w:tcW w:w="225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+1.0%</w:t>
            </w:r>
          </w:p>
        </w:tc>
      </w:tr>
      <w:tr w:rsidR="00CB1E62" w:rsidRPr="00E633AD" w:rsidTr="00F6658E">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China</w:t>
            </w:r>
          </w:p>
        </w:tc>
        <w:tc>
          <w:tcPr>
            <w:tcW w:w="4911"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Transition to consumption-driven growth</w:t>
            </w:r>
          </w:p>
        </w:tc>
        <w:tc>
          <w:tcPr>
            <w:tcW w:w="225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+1.5%</w:t>
            </w:r>
          </w:p>
        </w:tc>
      </w:tr>
      <w:tr w:rsidR="00CB1E62" w:rsidRPr="00E633AD" w:rsidTr="00F6658E">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Germany</w:t>
            </w:r>
          </w:p>
        </w:tc>
        <w:tc>
          <w:tcPr>
            <w:tcW w:w="4911"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Digital transformation</w:t>
            </w:r>
          </w:p>
        </w:tc>
        <w:tc>
          <w:tcPr>
            <w:tcW w:w="225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+1.2%</w:t>
            </w:r>
          </w:p>
        </w:tc>
      </w:tr>
    </w:tbl>
    <w:p w:rsidR="00DB32EC" w:rsidRDefault="00DB32EC" w:rsidP="00532862">
      <w:pPr>
        <w:shd w:val="clear" w:color="auto" w:fill="FFFFFF"/>
        <w:spacing w:after="0" w:line="240" w:lineRule="auto"/>
        <w:outlineLvl w:val="2"/>
        <w:rPr>
          <w:rFonts w:ascii="Cambria" w:eastAsia="Times New Roman" w:hAnsi="Cambria" w:cs="Segoe UI"/>
          <w:b/>
          <w:bCs/>
          <w:color w:val="0F1115"/>
          <w:sz w:val="27"/>
          <w:szCs w:val="27"/>
        </w:rPr>
      </w:pPr>
    </w:p>
    <w:p w:rsidR="00CB1E62" w:rsidRPr="00E633AD" w:rsidRDefault="00CB1E62" w:rsidP="00532862">
      <w:pPr>
        <w:shd w:val="clear" w:color="auto" w:fill="FFFFFF"/>
        <w:spacing w:after="0" w:line="240" w:lineRule="auto"/>
        <w:outlineLvl w:val="2"/>
        <w:rPr>
          <w:rFonts w:ascii="Cambria" w:eastAsia="Times New Roman" w:hAnsi="Cambria" w:cs="Segoe UI"/>
          <w:b/>
          <w:bCs/>
          <w:color w:val="0F1115"/>
          <w:sz w:val="27"/>
          <w:szCs w:val="27"/>
        </w:rPr>
      </w:pPr>
      <w:r w:rsidRPr="00E633AD">
        <w:rPr>
          <w:rFonts w:ascii="Cambria" w:eastAsia="Times New Roman" w:hAnsi="Cambria" w:cs="Segoe UI"/>
          <w:b/>
          <w:bCs/>
          <w:color w:val="0F1115"/>
          <w:sz w:val="27"/>
          <w:szCs w:val="27"/>
        </w:rPr>
        <w:t>What-If Scenario Results (Brazil Example)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0"/>
        <w:gridCol w:w="4067"/>
        <w:gridCol w:w="1802"/>
        <w:gridCol w:w="2096"/>
      </w:tblGrid>
      <w:tr w:rsidR="00CB1E62" w:rsidRPr="00E633AD" w:rsidTr="00F6658E">
        <w:trPr>
          <w:tblHeader/>
        </w:trPr>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Scenario</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Changes</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New Growth</w:t>
            </w:r>
          </w:p>
        </w:tc>
        <w:tc>
          <w:tcPr>
            <w:tcW w:w="2096"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Change</w:t>
            </w:r>
          </w:p>
        </w:tc>
      </w:tr>
      <w:tr w:rsidR="00CB1E62" w:rsidRPr="00E633AD" w:rsidTr="00F6658E">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Baseline</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None</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2.7%</w:t>
            </w:r>
          </w:p>
        </w:tc>
        <w:tc>
          <w:tcPr>
            <w:tcW w:w="2096"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w:t>
            </w:r>
          </w:p>
        </w:tc>
      </w:tr>
      <w:tr w:rsidR="00CB1E62" w:rsidRPr="00E633AD" w:rsidTr="00F6658E">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Optimistic</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Resilience +15, Inflation -3, Debt -10</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5.4%</w:t>
            </w:r>
          </w:p>
        </w:tc>
        <w:tc>
          <w:tcPr>
            <w:tcW w:w="2096"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+2.7%</w:t>
            </w:r>
          </w:p>
        </w:tc>
      </w:tr>
      <w:tr w:rsidR="00CB1E62" w:rsidRPr="00E633AD" w:rsidTr="00F6658E">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Balanced</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Resilience +10, Inflation -2, Debt -5</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4.9%</w:t>
            </w:r>
          </w:p>
        </w:tc>
        <w:tc>
          <w:tcPr>
            <w:tcW w:w="2096"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+2.2%</w:t>
            </w:r>
          </w:p>
        </w:tc>
      </w:tr>
      <w:tr w:rsidR="00CB1E62" w:rsidRPr="00E633AD" w:rsidTr="00F6658E">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Pessimistic</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Resilience -10, Inflation +5, Debt +15</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1.7%</w:t>
            </w:r>
          </w:p>
        </w:tc>
        <w:tc>
          <w:tcPr>
            <w:tcW w:w="2096"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-1.0%</w:t>
            </w:r>
          </w:p>
        </w:tc>
      </w:tr>
    </w:tbl>
    <w:p w:rsidR="00CB1E62" w:rsidRPr="00E633AD" w:rsidRDefault="00CB1E62" w:rsidP="00532862">
      <w:pPr>
        <w:shd w:val="clear" w:color="auto" w:fill="FFFFFF"/>
        <w:spacing w:after="0" w:line="240" w:lineRule="auto"/>
        <w:rPr>
          <w:rFonts w:ascii="Cambria" w:eastAsia="Times New Roman" w:hAnsi="Cambria" w:cs="Segoe UI"/>
          <w:color w:val="0F1115"/>
          <w:sz w:val="24"/>
          <w:szCs w:val="24"/>
        </w:rPr>
      </w:pPr>
      <w:r w:rsidRPr="00DB32EC">
        <w:rPr>
          <w:rFonts w:ascii="Cambria" w:eastAsia="Times New Roman" w:hAnsi="Cambria" w:cs="Segoe UI"/>
          <w:color w:val="0F1115"/>
          <w:sz w:val="24"/>
          <w:szCs w:val="24"/>
        </w:rPr>
        <w:t>Critical Insight</w:t>
      </w:r>
      <w:r w:rsidRPr="00E633AD">
        <w:rPr>
          <w:rFonts w:ascii="Cambria" w:eastAsia="Times New Roman" w:hAnsi="Cambria" w:cs="Segoe UI"/>
          <w:b/>
          <w:bCs/>
          <w:color w:val="0F1115"/>
          <w:sz w:val="24"/>
          <w:szCs w:val="24"/>
        </w:rPr>
        <w:t>:</w:t>
      </w:r>
      <w:r w:rsidRPr="00E633AD">
        <w:rPr>
          <w:rFonts w:ascii="Cambria" w:eastAsia="Times New Roman" w:hAnsi="Cambria" w:cs="Segoe UI"/>
          <w:color w:val="0F1115"/>
          <w:sz w:val="24"/>
          <w:szCs w:val="24"/>
        </w:rPr>
        <w:t> Even modest reforms (+10 resilience, -2% inflation, -5% debt) could add 2.2 percentage points to Brazil's growth.</w:t>
      </w:r>
    </w:p>
    <w:p w:rsidR="00CB1E62" w:rsidRPr="00E633AD" w:rsidRDefault="00CB1E62" w:rsidP="00532862">
      <w:pPr>
        <w:spacing w:after="0" w:line="240" w:lineRule="auto"/>
        <w:rPr>
          <w:rFonts w:ascii="Cambria" w:eastAsia="Times New Roman" w:hAnsi="Cambria" w:cs="Times New Roman"/>
          <w:sz w:val="24"/>
          <w:szCs w:val="24"/>
        </w:rPr>
      </w:pPr>
    </w:p>
    <w:p w:rsidR="00CB1E62" w:rsidRPr="00E633AD" w:rsidRDefault="00CB1E62" w:rsidP="00532862">
      <w:pPr>
        <w:shd w:val="clear" w:color="auto" w:fill="FFFFFF"/>
        <w:spacing w:after="0" w:line="240" w:lineRule="auto"/>
        <w:outlineLvl w:val="1"/>
        <w:rPr>
          <w:rFonts w:ascii="Cambria" w:eastAsia="Times New Roman" w:hAnsi="Cambria" w:cs="Segoe UI"/>
          <w:b/>
          <w:bCs/>
          <w:color w:val="0F1115"/>
          <w:sz w:val="36"/>
          <w:szCs w:val="36"/>
        </w:rPr>
      </w:pPr>
      <w:r w:rsidRPr="00E633AD">
        <w:rPr>
          <w:rFonts w:ascii="Cambria" w:eastAsia="Times New Roman" w:hAnsi="Cambria" w:cs="Segoe UI"/>
          <w:b/>
          <w:bCs/>
          <w:color w:val="0F1115"/>
          <w:sz w:val="36"/>
          <w:szCs w:val="36"/>
        </w:rPr>
        <w:t>Classification Analysis: Which Category?</w:t>
      </w:r>
    </w:p>
    <w:p w:rsidR="00CB1E62" w:rsidRPr="00E633AD" w:rsidRDefault="00CB1E62" w:rsidP="00532862">
      <w:pPr>
        <w:shd w:val="clear" w:color="auto" w:fill="FFFFFF"/>
        <w:spacing w:after="0" w:line="240" w:lineRule="auto"/>
        <w:outlineLvl w:val="2"/>
        <w:rPr>
          <w:rFonts w:ascii="Cambria" w:eastAsia="Times New Roman" w:hAnsi="Cambria" w:cs="Segoe UI"/>
          <w:b/>
          <w:bCs/>
          <w:color w:val="0F1115"/>
          <w:sz w:val="27"/>
          <w:szCs w:val="27"/>
        </w:rPr>
      </w:pPr>
      <w:r w:rsidRPr="00E633AD">
        <w:rPr>
          <w:rFonts w:ascii="Cambria" w:eastAsia="Times New Roman" w:hAnsi="Cambria" w:cs="Segoe UI"/>
          <w:b/>
          <w:bCs/>
          <w:color w:val="0F1115"/>
          <w:sz w:val="27"/>
          <w:szCs w:val="27"/>
        </w:rPr>
        <w:t>Recession Risk Prediction (Binary Classification)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83"/>
        <w:gridCol w:w="1484"/>
        <w:gridCol w:w="1548"/>
        <w:gridCol w:w="1620"/>
        <w:gridCol w:w="2520"/>
      </w:tblGrid>
      <w:tr w:rsidR="00CB1E62" w:rsidRPr="00E633AD" w:rsidTr="00F6658E">
        <w:trPr>
          <w:tblHeader/>
        </w:trPr>
        <w:tc>
          <w:tcPr>
            <w:tcW w:w="2183" w:type="dxa"/>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Model</w:t>
            </w:r>
          </w:p>
        </w:tc>
        <w:tc>
          <w:tcPr>
            <w:tcW w:w="1484"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Accuracy</w:t>
            </w:r>
          </w:p>
        </w:tc>
        <w:tc>
          <w:tcPr>
            <w:tcW w:w="1548"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AUC-ROC</w:t>
            </w:r>
          </w:p>
        </w:tc>
        <w:tc>
          <w:tcPr>
            <w:tcW w:w="162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Precision</w:t>
            </w:r>
          </w:p>
        </w:tc>
        <w:tc>
          <w:tcPr>
            <w:tcW w:w="252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Recall</w:t>
            </w:r>
          </w:p>
        </w:tc>
      </w:tr>
      <w:tr w:rsidR="00CB1E62" w:rsidRPr="00E633AD" w:rsidTr="00F6658E">
        <w:tc>
          <w:tcPr>
            <w:tcW w:w="2183" w:type="dxa"/>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Gradient Boosting</w:t>
            </w:r>
          </w:p>
        </w:tc>
        <w:tc>
          <w:tcPr>
            <w:tcW w:w="1484"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87.9%</w:t>
            </w:r>
          </w:p>
        </w:tc>
        <w:tc>
          <w:tcPr>
            <w:tcW w:w="1548"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0.910</w:t>
            </w:r>
          </w:p>
        </w:tc>
        <w:tc>
          <w:tcPr>
            <w:tcW w:w="162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70.0%</w:t>
            </w:r>
          </w:p>
        </w:tc>
        <w:tc>
          <w:tcPr>
            <w:tcW w:w="252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56.5%</w:t>
            </w:r>
          </w:p>
        </w:tc>
      </w:tr>
      <w:tr w:rsidR="00CB1E62" w:rsidRPr="00E633AD" w:rsidTr="00F6658E">
        <w:tc>
          <w:tcPr>
            <w:tcW w:w="2183" w:type="dxa"/>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Logistic Regression</w:t>
            </w:r>
          </w:p>
        </w:tc>
        <w:tc>
          <w:tcPr>
            <w:tcW w:w="1484"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87.9%</w:t>
            </w:r>
          </w:p>
        </w:tc>
        <w:tc>
          <w:tcPr>
            <w:tcW w:w="1548"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0.897</w:t>
            </w:r>
          </w:p>
        </w:tc>
        <w:tc>
          <w:tcPr>
            <w:tcW w:w="162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75.0%</w:t>
            </w:r>
          </w:p>
        </w:tc>
        <w:tc>
          <w:tcPr>
            <w:tcW w:w="252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48.4%</w:t>
            </w:r>
          </w:p>
        </w:tc>
      </w:tr>
      <w:tr w:rsidR="00CB1E62" w:rsidRPr="00E633AD" w:rsidTr="00F6658E">
        <w:tc>
          <w:tcPr>
            <w:tcW w:w="2183" w:type="dxa"/>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Random Forest</w:t>
            </w:r>
          </w:p>
        </w:tc>
        <w:tc>
          <w:tcPr>
            <w:tcW w:w="1484"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88.2%</w:t>
            </w:r>
          </w:p>
        </w:tc>
        <w:tc>
          <w:tcPr>
            <w:tcW w:w="1548"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0.887</w:t>
            </w:r>
          </w:p>
        </w:tc>
        <w:tc>
          <w:tcPr>
            <w:tcW w:w="162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76.9%</w:t>
            </w:r>
          </w:p>
        </w:tc>
        <w:tc>
          <w:tcPr>
            <w:tcW w:w="252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48.4%</w:t>
            </w:r>
          </w:p>
        </w:tc>
      </w:tr>
    </w:tbl>
    <w:p w:rsidR="00CB1E62" w:rsidRPr="00E633AD" w:rsidRDefault="00CB1E62" w:rsidP="00F6658E">
      <w:pPr>
        <w:shd w:val="clear" w:color="auto" w:fill="FFFFFF"/>
        <w:spacing w:after="0" w:line="240" w:lineRule="auto"/>
        <w:jc w:val="both"/>
        <w:rPr>
          <w:rFonts w:ascii="Cambria" w:eastAsia="Times New Roman" w:hAnsi="Cambria" w:cs="Segoe UI"/>
          <w:color w:val="0F1115"/>
          <w:sz w:val="24"/>
          <w:szCs w:val="24"/>
        </w:rPr>
      </w:pPr>
      <w:r w:rsidRPr="00F6658E">
        <w:rPr>
          <w:rFonts w:ascii="Cambria" w:eastAsia="Times New Roman" w:hAnsi="Cambria" w:cs="Segoe UI"/>
          <w:color w:val="0F1115"/>
          <w:sz w:val="24"/>
          <w:szCs w:val="24"/>
        </w:rPr>
        <w:t>Critical Insight: Gradient</w:t>
      </w:r>
      <w:r w:rsidRPr="00E633AD">
        <w:rPr>
          <w:rFonts w:ascii="Cambria" w:eastAsia="Times New Roman" w:hAnsi="Cambria" w:cs="Segoe UI"/>
          <w:color w:val="0F1115"/>
          <w:sz w:val="24"/>
          <w:szCs w:val="24"/>
        </w:rPr>
        <w:t xml:space="preserve"> Boosting achieves excellent discrimination power (AUC-ROC 0.910), catching 56.5% of actual recessions with 70% precision.</w:t>
      </w:r>
    </w:p>
    <w:p w:rsidR="00F6658E" w:rsidRDefault="00F6658E" w:rsidP="00532862">
      <w:pPr>
        <w:shd w:val="clear" w:color="auto" w:fill="FFFFFF"/>
        <w:spacing w:after="0" w:line="240" w:lineRule="auto"/>
        <w:outlineLvl w:val="2"/>
        <w:rPr>
          <w:rFonts w:ascii="Cambria" w:eastAsia="Times New Roman" w:hAnsi="Cambria" w:cs="Segoe UI"/>
          <w:b/>
          <w:bCs/>
          <w:color w:val="0F1115"/>
          <w:sz w:val="27"/>
          <w:szCs w:val="27"/>
        </w:rPr>
      </w:pPr>
    </w:p>
    <w:p w:rsidR="00CB1E62" w:rsidRPr="00E633AD" w:rsidRDefault="00CB1E62" w:rsidP="00532862">
      <w:pPr>
        <w:shd w:val="clear" w:color="auto" w:fill="FFFFFF"/>
        <w:spacing w:after="0" w:line="240" w:lineRule="auto"/>
        <w:outlineLvl w:val="2"/>
        <w:rPr>
          <w:rFonts w:ascii="Cambria" w:eastAsia="Times New Roman" w:hAnsi="Cambria" w:cs="Segoe UI"/>
          <w:b/>
          <w:bCs/>
          <w:color w:val="0F1115"/>
          <w:sz w:val="27"/>
          <w:szCs w:val="27"/>
        </w:rPr>
      </w:pPr>
      <w:r w:rsidRPr="00E633AD">
        <w:rPr>
          <w:rFonts w:ascii="Cambria" w:eastAsia="Times New Roman" w:hAnsi="Cambria" w:cs="Segoe UI"/>
          <w:b/>
          <w:bCs/>
          <w:color w:val="0F1115"/>
          <w:sz w:val="27"/>
          <w:szCs w:val="27"/>
        </w:rPr>
        <w:t>Investment Grade Classification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73"/>
        <w:gridCol w:w="3263"/>
        <w:gridCol w:w="1719"/>
      </w:tblGrid>
      <w:tr w:rsidR="00CB1E62" w:rsidRPr="00E633AD" w:rsidTr="008C3415">
        <w:trPr>
          <w:tblHeader/>
        </w:trPr>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Grade</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Countries</w:t>
            </w:r>
          </w:p>
        </w:tc>
        <w:tc>
          <w:tcPr>
            <w:tcW w:w="1634"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Percentage</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Investment Grade</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1,019</w:t>
            </w:r>
          </w:p>
        </w:tc>
        <w:tc>
          <w:tcPr>
            <w:tcW w:w="1634"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58.6%</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Speculative Grade</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635</w:t>
            </w:r>
          </w:p>
        </w:tc>
        <w:tc>
          <w:tcPr>
            <w:tcW w:w="1634"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36.5%</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High Risk</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86</w:t>
            </w:r>
          </w:p>
        </w:tc>
        <w:tc>
          <w:tcPr>
            <w:tcW w:w="1634"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4.9%</w:t>
            </w:r>
          </w:p>
        </w:tc>
      </w:tr>
    </w:tbl>
    <w:p w:rsidR="00CB1E62" w:rsidRPr="00E633AD" w:rsidRDefault="00CB1E62" w:rsidP="00532862">
      <w:pPr>
        <w:shd w:val="clear" w:color="auto" w:fill="FFFFFF"/>
        <w:spacing w:after="0" w:line="240" w:lineRule="auto"/>
        <w:rPr>
          <w:rFonts w:ascii="Cambria" w:eastAsia="Times New Roman" w:hAnsi="Cambria" w:cs="Segoe UI"/>
          <w:color w:val="0F1115"/>
          <w:sz w:val="24"/>
          <w:szCs w:val="24"/>
        </w:rPr>
      </w:pPr>
      <w:r w:rsidRPr="00556503">
        <w:rPr>
          <w:rFonts w:ascii="Cambria" w:eastAsia="Times New Roman" w:hAnsi="Cambria" w:cs="Segoe UI"/>
          <w:color w:val="0F1115"/>
          <w:sz w:val="24"/>
          <w:szCs w:val="24"/>
        </w:rPr>
        <w:t>Best Model:</w:t>
      </w:r>
      <w:r w:rsidRPr="00E633AD">
        <w:rPr>
          <w:rFonts w:ascii="Cambria" w:eastAsia="Times New Roman" w:hAnsi="Cambria" w:cs="Segoe UI"/>
          <w:color w:val="0F1115"/>
          <w:sz w:val="24"/>
          <w:szCs w:val="24"/>
        </w:rPr>
        <w:t> Random Forest (87.1% accuracy, F1-Score 0.794)</w:t>
      </w:r>
    </w:p>
    <w:p w:rsidR="00CB1E62" w:rsidRPr="00556503" w:rsidRDefault="00CB1E62" w:rsidP="00532862">
      <w:pPr>
        <w:shd w:val="clear" w:color="auto" w:fill="FFFFFF"/>
        <w:spacing w:after="0" w:line="240" w:lineRule="auto"/>
        <w:rPr>
          <w:rFonts w:ascii="Cambria" w:eastAsia="Times New Roman" w:hAnsi="Cambria" w:cs="Segoe UI"/>
          <w:color w:val="0F1115"/>
          <w:sz w:val="24"/>
          <w:szCs w:val="24"/>
        </w:rPr>
      </w:pPr>
      <w:r w:rsidRPr="00556503">
        <w:rPr>
          <w:rFonts w:ascii="Cambria" w:eastAsia="Times New Roman" w:hAnsi="Cambria" w:cs="Segoe UI"/>
          <w:color w:val="0F1115"/>
          <w:sz w:val="24"/>
          <w:szCs w:val="24"/>
        </w:rPr>
        <w:t>Most Important Factors:</w:t>
      </w:r>
    </w:p>
    <w:p w:rsidR="00CB1E62" w:rsidRPr="00E633AD" w:rsidRDefault="00CB1E62" w:rsidP="00556503">
      <w:pPr>
        <w:numPr>
          <w:ilvl w:val="0"/>
          <w:numId w:val="4"/>
        </w:numPr>
        <w:shd w:val="clear" w:color="auto" w:fill="FFFFFF"/>
        <w:spacing w:after="0" w:line="240" w:lineRule="auto"/>
        <w:ind w:left="360"/>
        <w:rPr>
          <w:rFonts w:ascii="Cambria" w:eastAsia="Times New Roman" w:hAnsi="Cambria" w:cs="Segoe UI"/>
          <w:color w:val="0F1115"/>
          <w:sz w:val="24"/>
          <w:szCs w:val="24"/>
        </w:rPr>
      </w:pPr>
      <w:r w:rsidRPr="00E633AD">
        <w:rPr>
          <w:rFonts w:ascii="Cambria" w:eastAsia="Times New Roman" w:hAnsi="Cambria" w:cs="Segoe UI"/>
          <w:color w:val="0F1115"/>
          <w:sz w:val="24"/>
          <w:szCs w:val="24"/>
        </w:rPr>
        <w:t>lag1_resilience (32.6%)</w:t>
      </w:r>
    </w:p>
    <w:p w:rsidR="00CB1E62" w:rsidRPr="00E633AD" w:rsidRDefault="00CB1E62" w:rsidP="00556503">
      <w:pPr>
        <w:numPr>
          <w:ilvl w:val="0"/>
          <w:numId w:val="4"/>
        </w:numPr>
        <w:shd w:val="clear" w:color="auto" w:fill="FFFFFF"/>
        <w:spacing w:after="0" w:line="240" w:lineRule="auto"/>
        <w:ind w:left="360"/>
        <w:rPr>
          <w:rFonts w:ascii="Cambria" w:eastAsia="Times New Roman" w:hAnsi="Cambria" w:cs="Segoe UI"/>
          <w:color w:val="0F1115"/>
          <w:sz w:val="24"/>
          <w:szCs w:val="24"/>
        </w:rPr>
      </w:pPr>
      <w:r w:rsidRPr="00E633AD">
        <w:rPr>
          <w:rFonts w:ascii="Cambria" w:eastAsia="Times New Roman" w:hAnsi="Cambria" w:cs="Segoe UI"/>
          <w:color w:val="0F1115"/>
          <w:sz w:val="24"/>
          <w:szCs w:val="24"/>
        </w:rPr>
        <w:t>lag1_debt (23.9%)</w:t>
      </w:r>
    </w:p>
    <w:p w:rsidR="00CB1E62" w:rsidRPr="00E633AD" w:rsidRDefault="00CB1E62" w:rsidP="00556503">
      <w:pPr>
        <w:numPr>
          <w:ilvl w:val="0"/>
          <w:numId w:val="4"/>
        </w:numPr>
        <w:shd w:val="clear" w:color="auto" w:fill="FFFFFF"/>
        <w:spacing w:after="0" w:line="240" w:lineRule="auto"/>
        <w:ind w:left="360"/>
        <w:rPr>
          <w:rFonts w:ascii="Cambria" w:eastAsia="Times New Roman" w:hAnsi="Cambria" w:cs="Segoe UI"/>
          <w:color w:val="0F1115"/>
          <w:sz w:val="24"/>
          <w:szCs w:val="24"/>
        </w:rPr>
      </w:pPr>
      <w:r w:rsidRPr="00E633AD">
        <w:rPr>
          <w:rFonts w:ascii="Cambria" w:eastAsia="Times New Roman" w:hAnsi="Cambria" w:cs="Segoe UI"/>
          <w:color w:val="0F1115"/>
          <w:sz w:val="24"/>
          <w:szCs w:val="24"/>
        </w:rPr>
        <w:t>lag1_inflation (14.9%)</w:t>
      </w:r>
    </w:p>
    <w:p w:rsidR="00556503" w:rsidRDefault="00556503" w:rsidP="00532862">
      <w:pPr>
        <w:shd w:val="clear" w:color="auto" w:fill="FFFFFF"/>
        <w:spacing w:after="0" w:line="240" w:lineRule="auto"/>
        <w:outlineLvl w:val="2"/>
        <w:rPr>
          <w:rFonts w:ascii="Cambria" w:eastAsia="Times New Roman" w:hAnsi="Cambria" w:cs="Segoe UI"/>
          <w:b/>
          <w:bCs/>
          <w:color w:val="0F1115"/>
          <w:sz w:val="27"/>
          <w:szCs w:val="27"/>
        </w:rPr>
      </w:pPr>
    </w:p>
    <w:p w:rsidR="00CB1E62" w:rsidRPr="00E633AD" w:rsidRDefault="00CB1E62" w:rsidP="00532862">
      <w:pPr>
        <w:shd w:val="clear" w:color="auto" w:fill="FFFFFF"/>
        <w:spacing w:after="0" w:line="240" w:lineRule="auto"/>
        <w:outlineLvl w:val="2"/>
        <w:rPr>
          <w:rFonts w:ascii="Cambria" w:eastAsia="Times New Roman" w:hAnsi="Cambria" w:cs="Segoe UI"/>
          <w:b/>
          <w:bCs/>
          <w:color w:val="0F1115"/>
          <w:sz w:val="27"/>
          <w:szCs w:val="27"/>
        </w:rPr>
      </w:pPr>
      <w:r w:rsidRPr="00E633AD">
        <w:rPr>
          <w:rFonts w:ascii="Cambria" w:eastAsia="Times New Roman" w:hAnsi="Cambria" w:cs="Segoe UI"/>
          <w:b/>
          <w:bCs/>
          <w:color w:val="0F1115"/>
          <w:sz w:val="27"/>
          <w:szCs w:val="27"/>
        </w:rPr>
        <w:t>Economic Health Scoring (5 Categories)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27"/>
        <w:gridCol w:w="3536"/>
        <w:gridCol w:w="1892"/>
      </w:tblGrid>
      <w:tr w:rsidR="00CB1E62" w:rsidRPr="00E633AD" w:rsidTr="008C3415">
        <w:trPr>
          <w:tblHeader/>
        </w:trPr>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Status</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Countries</w:t>
            </w:r>
          </w:p>
        </w:tc>
        <w:tc>
          <w:tcPr>
            <w:tcW w:w="1892"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Percentage</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Stable</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126</w:t>
            </w:r>
          </w:p>
        </w:tc>
        <w:tc>
          <w:tcPr>
            <w:tcW w:w="1892"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64.9%</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Moderate Risk</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58</w:t>
            </w:r>
          </w:p>
        </w:tc>
        <w:tc>
          <w:tcPr>
            <w:tcW w:w="1892"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29.9%</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Crisis Risk</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10</w:t>
            </w:r>
          </w:p>
        </w:tc>
        <w:tc>
          <w:tcPr>
            <w:tcW w:w="1892"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5.2%</w:t>
            </w:r>
          </w:p>
        </w:tc>
      </w:tr>
    </w:tbl>
    <w:p w:rsidR="00556503" w:rsidRDefault="00556503" w:rsidP="00532862">
      <w:pPr>
        <w:shd w:val="clear" w:color="auto" w:fill="FFFFFF"/>
        <w:spacing w:after="0" w:line="240" w:lineRule="auto"/>
        <w:outlineLvl w:val="2"/>
        <w:rPr>
          <w:rFonts w:ascii="Cambria" w:eastAsia="Times New Roman" w:hAnsi="Cambria" w:cs="Segoe UI"/>
          <w:b/>
          <w:bCs/>
          <w:color w:val="0F1115"/>
          <w:sz w:val="27"/>
          <w:szCs w:val="27"/>
        </w:rPr>
      </w:pPr>
    </w:p>
    <w:p w:rsidR="00556503" w:rsidRDefault="00556503" w:rsidP="00532862">
      <w:pPr>
        <w:shd w:val="clear" w:color="auto" w:fill="FFFFFF"/>
        <w:spacing w:after="0" w:line="240" w:lineRule="auto"/>
        <w:outlineLvl w:val="2"/>
        <w:rPr>
          <w:rFonts w:ascii="Cambria" w:eastAsia="Times New Roman" w:hAnsi="Cambria" w:cs="Segoe UI"/>
          <w:b/>
          <w:bCs/>
          <w:color w:val="0F1115"/>
          <w:sz w:val="27"/>
          <w:szCs w:val="27"/>
        </w:rPr>
      </w:pPr>
    </w:p>
    <w:p w:rsidR="00556503" w:rsidRDefault="00556503" w:rsidP="00532862">
      <w:pPr>
        <w:shd w:val="clear" w:color="auto" w:fill="FFFFFF"/>
        <w:spacing w:after="0" w:line="240" w:lineRule="auto"/>
        <w:outlineLvl w:val="2"/>
        <w:rPr>
          <w:rFonts w:ascii="Cambria" w:eastAsia="Times New Roman" w:hAnsi="Cambria" w:cs="Segoe UI"/>
          <w:b/>
          <w:bCs/>
          <w:color w:val="0F1115"/>
          <w:sz w:val="27"/>
          <w:szCs w:val="27"/>
        </w:rPr>
      </w:pPr>
    </w:p>
    <w:p w:rsidR="00556503" w:rsidRDefault="00556503" w:rsidP="00532862">
      <w:pPr>
        <w:shd w:val="clear" w:color="auto" w:fill="FFFFFF"/>
        <w:spacing w:after="0" w:line="240" w:lineRule="auto"/>
        <w:outlineLvl w:val="2"/>
        <w:rPr>
          <w:rFonts w:ascii="Cambria" w:eastAsia="Times New Roman" w:hAnsi="Cambria" w:cs="Segoe UI"/>
          <w:b/>
          <w:bCs/>
          <w:color w:val="0F1115"/>
          <w:sz w:val="27"/>
          <w:szCs w:val="27"/>
        </w:rPr>
      </w:pPr>
    </w:p>
    <w:p w:rsidR="00CB1E62" w:rsidRPr="00E633AD" w:rsidRDefault="00CB1E62" w:rsidP="00532862">
      <w:pPr>
        <w:shd w:val="clear" w:color="auto" w:fill="FFFFFF"/>
        <w:spacing w:after="0" w:line="240" w:lineRule="auto"/>
        <w:outlineLvl w:val="2"/>
        <w:rPr>
          <w:rFonts w:ascii="Cambria" w:eastAsia="Times New Roman" w:hAnsi="Cambria" w:cs="Segoe UI"/>
          <w:b/>
          <w:bCs/>
          <w:color w:val="0F1115"/>
          <w:sz w:val="27"/>
          <w:szCs w:val="27"/>
        </w:rPr>
      </w:pPr>
      <w:r w:rsidRPr="00E633AD">
        <w:rPr>
          <w:rFonts w:ascii="Cambria" w:eastAsia="Times New Roman" w:hAnsi="Cambria" w:cs="Segoe UI"/>
          <w:b/>
          <w:bCs/>
          <w:color w:val="0F1115"/>
          <w:sz w:val="27"/>
          <w:szCs w:val="27"/>
        </w:rPr>
        <w:lastRenderedPageBreak/>
        <w:t>Growth Categories (2026)</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18"/>
        <w:gridCol w:w="3418"/>
        <w:gridCol w:w="1719"/>
      </w:tblGrid>
      <w:tr w:rsidR="00CB1E62" w:rsidRPr="00E633AD" w:rsidTr="008C3415">
        <w:trPr>
          <w:tblHeader/>
        </w:trPr>
        <w:tc>
          <w:tcPr>
            <w:tcW w:w="4495" w:type="dxa"/>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Category</w:t>
            </w:r>
          </w:p>
        </w:tc>
        <w:tc>
          <w:tcPr>
            <w:tcW w:w="359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Countries</w:t>
            </w:r>
          </w:p>
        </w:tc>
        <w:tc>
          <w:tcPr>
            <w:tcW w:w="127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Percentage</w:t>
            </w:r>
          </w:p>
        </w:tc>
      </w:tr>
      <w:tr w:rsidR="00CB1E62" w:rsidRPr="00E633AD" w:rsidTr="008C3415">
        <w:tc>
          <w:tcPr>
            <w:tcW w:w="4495" w:type="dxa"/>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Medium Growth (2-5%)</w:t>
            </w:r>
          </w:p>
        </w:tc>
        <w:tc>
          <w:tcPr>
            <w:tcW w:w="359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97</w:t>
            </w:r>
          </w:p>
        </w:tc>
        <w:tc>
          <w:tcPr>
            <w:tcW w:w="127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50.0%</w:t>
            </w:r>
          </w:p>
        </w:tc>
      </w:tr>
      <w:tr w:rsidR="00CB1E62" w:rsidRPr="00E633AD" w:rsidTr="008C3415">
        <w:tc>
          <w:tcPr>
            <w:tcW w:w="4495" w:type="dxa"/>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High Growth (&gt;5%)</w:t>
            </w:r>
          </w:p>
        </w:tc>
        <w:tc>
          <w:tcPr>
            <w:tcW w:w="359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42</w:t>
            </w:r>
          </w:p>
        </w:tc>
        <w:tc>
          <w:tcPr>
            <w:tcW w:w="127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21.6%</w:t>
            </w:r>
          </w:p>
        </w:tc>
      </w:tr>
      <w:tr w:rsidR="00CB1E62" w:rsidRPr="00E633AD" w:rsidTr="008C3415">
        <w:tc>
          <w:tcPr>
            <w:tcW w:w="4495" w:type="dxa"/>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Low Growth (0-2%)</w:t>
            </w:r>
          </w:p>
        </w:tc>
        <w:tc>
          <w:tcPr>
            <w:tcW w:w="359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42</w:t>
            </w:r>
          </w:p>
        </w:tc>
        <w:tc>
          <w:tcPr>
            <w:tcW w:w="127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21.6%</w:t>
            </w:r>
          </w:p>
        </w:tc>
      </w:tr>
      <w:tr w:rsidR="00CB1E62" w:rsidRPr="00E633AD" w:rsidTr="008C3415">
        <w:tc>
          <w:tcPr>
            <w:tcW w:w="4495" w:type="dxa"/>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Negative Growth</w:t>
            </w:r>
          </w:p>
        </w:tc>
        <w:tc>
          <w:tcPr>
            <w:tcW w:w="3590"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13</w:t>
            </w:r>
          </w:p>
        </w:tc>
        <w:tc>
          <w:tcPr>
            <w:tcW w:w="1270"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6.7%</w:t>
            </w:r>
          </w:p>
        </w:tc>
      </w:tr>
    </w:tbl>
    <w:p w:rsidR="00556503" w:rsidRDefault="00556503" w:rsidP="00532862">
      <w:pPr>
        <w:shd w:val="clear" w:color="auto" w:fill="FFFFFF"/>
        <w:spacing w:after="0" w:line="240" w:lineRule="auto"/>
        <w:outlineLvl w:val="2"/>
        <w:rPr>
          <w:rFonts w:ascii="Cambria" w:eastAsia="Times New Roman" w:hAnsi="Cambria" w:cs="Segoe UI"/>
          <w:b/>
          <w:bCs/>
          <w:color w:val="0F1115"/>
          <w:sz w:val="27"/>
          <w:szCs w:val="27"/>
        </w:rPr>
      </w:pPr>
    </w:p>
    <w:p w:rsidR="00CB1E62" w:rsidRPr="00E633AD" w:rsidRDefault="00CB1E62" w:rsidP="00532862">
      <w:pPr>
        <w:shd w:val="clear" w:color="auto" w:fill="FFFFFF"/>
        <w:spacing w:after="0" w:line="240" w:lineRule="auto"/>
        <w:outlineLvl w:val="2"/>
        <w:rPr>
          <w:rFonts w:ascii="Cambria" w:eastAsia="Times New Roman" w:hAnsi="Cambria" w:cs="Segoe UI"/>
          <w:b/>
          <w:bCs/>
          <w:color w:val="0F1115"/>
          <w:sz w:val="27"/>
          <w:szCs w:val="27"/>
        </w:rPr>
      </w:pPr>
      <w:r w:rsidRPr="00E633AD">
        <w:rPr>
          <w:rFonts w:ascii="Cambria" w:eastAsia="Times New Roman" w:hAnsi="Cambria" w:cs="Segoe UI"/>
          <w:b/>
          <w:bCs/>
          <w:color w:val="0F1115"/>
          <w:sz w:val="27"/>
          <w:szCs w:val="27"/>
        </w:rPr>
        <w:t>Major Economies Classification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3"/>
        <w:gridCol w:w="1670"/>
        <w:gridCol w:w="1481"/>
        <w:gridCol w:w="1850"/>
        <w:gridCol w:w="1602"/>
        <w:gridCol w:w="1454"/>
      </w:tblGrid>
      <w:tr w:rsidR="00CB1E62" w:rsidRPr="00E633AD" w:rsidTr="008C3415">
        <w:trPr>
          <w:tblHeader/>
        </w:trPr>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Country</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Recession Risk</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Debt Risk</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Investment Grade</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Growth Category</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Stability</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India</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Low (2.2%)</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Moderate</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Investment Grade</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High (7.6%)</w:t>
            </w:r>
          </w:p>
        </w:tc>
        <w:tc>
          <w:tcPr>
            <w:tcW w:w="0" w:type="auto"/>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Stable</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China</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Low (1.4%)</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Low</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Investment Grade</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Medium (5.0%)</w:t>
            </w:r>
          </w:p>
        </w:tc>
        <w:tc>
          <w:tcPr>
            <w:tcW w:w="0" w:type="auto"/>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Moderate Risk</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Germany</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Low (28.0%)</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Moderate</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Investment Grade</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Low (0.2%)</w:t>
            </w:r>
          </w:p>
        </w:tc>
        <w:tc>
          <w:tcPr>
            <w:tcW w:w="0" w:type="auto"/>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Moderate Risk</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United States</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Low (6.4%)</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Elevated</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Speculative</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Medium (2.1%)</w:t>
            </w:r>
          </w:p>
        </w:tc>
        <w:tc>
          <w:tcPr>
            <w:tcW w:w="0" w:type="auto"/>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Moderate Risk</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United Kingdom</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Low (10.9%)</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Elevated</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Speculative</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Low (1.3%)</w:t>
            </w:r>
          </w:p>
        </w:tc>
        <w:tc>
          <w:tcPr>
            <w:tcW w:w="0" w:type="auto"/>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Moderate Risk</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Japan</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Low (22.6%)</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Elevated</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Speculative</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Low (1.2%)</w:t>
            </w:r>
          </w:p>
        </w:tc>
        <w:tc>
          <w:tcPr>
            <w:tcW w:w="0" w:type="auto"/>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Moderate Risk</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Brazil</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Low (5.7%)</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Moderate</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Speculative</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Medium (2.3%)</w:t>
            </w:r>
          </w:p>
        </w:tc>
        <w:tc>
          <w:tcPr>
            <w:tcW w:w="0" w:type="auto"/>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Moderate Risk</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South Africa</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Low (15.7%)</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Low</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Speculative</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Low (1.1%)</w:t>
            </w:r>
          </w:p>
        </w:tc>
        <w:tc>
          <w:tcPr>
            <w:tcW w:w="0" w:type="auto"/>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Moderate Risk</w:t>
            </w:r>
          </w:p>
        </w:tc>
      </w:tr>
    </w:tbl>
    <w:p w:rsidR="00CB1E62" w:rsidRPr="00E633AD" w:rsidRDefault="00CB1E62" w:rsidP="00532862">
      <w:pPr>
        <w:shd w:val="clear" w:color="auto" w:fill="FFFFFF"/>
        <w:spacing w:after="0" w:line="240" w:lineRule="auto"/>
        <w:rPr>
          <w:rFonts w:ascii="Cambria" w:eastAsia="Times New Roman" w:hAnsi="Cambria" w:cs="Segoe UI"/>
          <w:color w:val="0F1115"/>
          <w:sz w:val="24"/>
          <w:szCs w:val="24"/>
        </w:rPr>
      </w:pPr>
      <w:r w:rsidRPr="00556503">
        <w:rPr>
          <w:rFonts w:ascii="Cambria" w:eastAsia="Times New Roman" w:hAnsi="Cambria" w:cs="Segoe UI"/>
          <w:color w:val="0F1115"/>
          <w:sz w:val="24"/>
          <w:szCs w:val="24"/>
        </w:rPr>
        <w:t>Critical Insight</w:t>
      </w:r>
      <w:r w:rsidRPr="00E633AD">
        <w:rPr>
          <w:rFonts w:ascii="Cambria" w:eastAsia="Times New Roman" w:hAnsi="Cambria" w:cs="Segoe UI"/>
          <w:b/>
          <w:bCs/>
          <w:color w:val="0F1115"/>
          <w:sz w:val="24"/>
          <w:szCs w:val="24"/>
        </w:rPr>
        <w:t>:</w:t>
      </w:r>
      <w:r w:rsidRPr="00E633AD">
        <w:rPr>
          <w:rFonts w:ascii="Cambria" w:eastAsia="Times New Roman" w:hAnsi="Cambria" w:cs="Segoe UI"/>
          <w:color w:val="0F1115"/>
          <w:sz w:val="24"/>
          <w:szCs w:val="24"/>
        </w:rPr>
        <w:t> India is the only major economy classified as Stable with Investment Grade status. Japan and the US face elevated debt risk despite their economic size.</w:t>
      </w:r>
    </w:p>
    <w:p w:rsidR="007E4DF3" w:rsidRDefault="007E4DF3" w:rsidP="00532862">
      <w:pPr>
        <w:shd w:val="clear" w:color="auto" w:fill="FFFFFF"/>
        <w:spacing w:after="0" w:line="240" w:lineRule="auto"/>
        <w:outlineLvl w:val="1"/>
        <w:rPr>
          <w:rFonts w:ascii="Cambria" w:eastAsia="Times New Roman" w:hAnsi="Cambria" w:cs="Segoe UI"/>
          <w:b/>
          <w:bCs/>
          <w:color w:val="0F1115"/>
          <w:sz w:val="36"/>
          <w:szCs w:val="36"/>
        </w:rPr>
      </w:pPr>
    </w:p>
    <w:p w:rsidR="007E4DF3" w:rsidRDefault="007E4DF3" w:rsidP="00532862">
      <w:pPr>
        <w:shd w:val="clear" w:color="auto" w:fill="FFFFFF"/>
        <w:spacing w:after="0" w:line="240" w:lineRule="auto"/>
        <w:outlineLvl w:val="1"/>
        <w:rPr>
          <w:rFonts w:ascii="Cambria" w:eastAsia="Times New Roman" w:hAnsi="Cambria" w:cs="Segoe UI"/>
          <w:b/>
          <w:bCs/>
          <w:color w:val="0F1115"/>
          <w:sz w:val="36"/>
          <w:szCs w:val="36"/>
        </w:rPr>
      </w:pPr>
    </w:p>
    <w:p w:rsidR="00CB1E62" w:rsidRPr="00E633AD" w:rsidRDefault="00CB1E62" w:rsidP="00532862">
      <w:pPr>
        <w:shd w:val="clear" w:color="auto" w:fill="FFFFFF"/>
        <w:spacing w:after="0" w:line="240" w:lineRule="auto"/>
        <w:outlineLvl w:val="1"/>
        <w:rPr>
          <w:rFonts w:ascii="Cambria" w:eastAsia="Times New Roman" w:hAnsi="Cambria" w:cs="Segoe UI"/>
          <w:b/>
          <w:bCs/>
          <w:color w:val="0F1115"/>
          <w:sz w:val="36"/>
          <w:szCs w:val="36"/>
        </w:rPr>
      </w:pPr>
      <w:r w:rsidRPr="00E633AD">
        <w:rPr>
          <w:rFonts w:ascii="Cambria" w:eastAsia="Times New Roman" w:hAnsi="Cambria" w:cs="Segoe UI"/>
          <w:b/>
          <w:bCs/>
          <w:color w:val="0F1115"/>
          <w:sz w:val="36"/>
          <w:szCs w:val="36"/>
        </w:rPr>
        <w:lastRenderedPageBreak/>
        <w:t>Key Takeaways &amp; Recommendations</w:t>
      </w:r>
    </w:p>
    <w:p w:rsidR="00CB1E62" w:rsidRPr="00E633AD" w:rsidRDefault="00CB1E62" w:rsidP="00532862">
      <w:pPr>
        <w:shd w:val="clear" w:color="auto" w:fill="FFFFFF"/>
        <w:spacing w:after="0" w:line="240" w:lineRule="auto"/>
        <w:outlineLvl w:val="2"/>
        <w:rPr>
          <w:rFonts w:ascii="Cambria" w:eastAsia="Times New Roman" w:hAnsi="Cambria" w:cs="Segoe UI"/>
          <w:b/>
          <w:bCs/>
          <w:color w:val="0F1115"/>
          <w:sz w:val="27"/>
          <w:szCs w:val="27"/>
        </w:rPr>
      </w:pPr>
      <w:r w:rsidRPr="00E633AD">
        <w:rPr>
          <w:rFonts w:ascii="Cambria" w:eastAsia="Times New Roman" w:hAnsi="Cambria" w:cs="Segoe UI"/>
          <w:b/>
          <w:bCs/>
          <w:color w:val="0F1115"/>
          <w:sz w:val="27"/>
          <w:szCs w:val="27"/>
        </w:rPr>
        <w:t>Five Most Important Findings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6444"/>
        <w:gridCol w:w="2522"/>
      </w:tblGrid>
      <w:tr w:rsidR="00CB1E62" w:rsidRPr="00E633AD" w:rsidTr="008C3415">
        <w:trPr>
          <w:tblHeader/>
        </w:trPr>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Finding</w:t>
            </w:r>
          </w:p>
        </w:tc>
        <w:tc>
          <w:tcPr>
            <w:tcW w:w="2522" w:type="dxa"/>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Recommendation</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7E4DF3">
            <w:pPr>
              <w:spacing w:after="0" w:line="240" w:lineRule="auto"/>
              <w:jc w:val="right"/>
              <w:rPr>
                <w:rFonts w:ascii="Cambria" w:eastAsia="Times New Roman" w:hAnsi="Cambria" w:cs="Times New Roman"/>
                <w:sz w:val="24"/>
                <w:szCs w:val="24"/>
              </w:rPr>
            </w:pPr>
            <w:r w:rsidRPr="00E633AD">
              <w:rPr>
                <w:rFonts w:ascii="Cambria" w:eastAsia="Times New Roman" w:hAnsi="Cambria" w:cs="Times New Roman"/>
                <w:sz w:val="24"/>
                <w:szCs w:val="24"/>
              </w:rPr>
              <w:t>1</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b/>
                <w:bCs/>
                <w:sz w:val="24"/>
                <w:szCs w:val="24"/>
              </w:rPr>
              <w:t>Economic Resilience is the master variable</w:t>
            </w:r>
            <w:r w:rsidRPr="00E633AD">
              <w:rPr>
                <w:rFonts w:ascii="Cambria" w:eastAsia="Times New Roman" w:hAnsi="Cambria" w:cs="Times New Roman"/>
                <w:sz w:val="24"/>
                <w:szCs w:val="24"/>
              </w:rPr>
              <w:t> (51.5% predictive importance, +0.65 correlation, +26.9 point gap between high and low growers)</w:t>
            </w:r>
          </w:p>
        </w:tc>
        <w:tc>
          <w:tcPr>
            <w:tcW w:w="2522"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Prioritize resilience-building (institutions, infrastructure, education, governance) above all other policies</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7E4DF3">
            <w:pPr>
              <w:spacing w:after="0" w:line="240" w:lineRule="auto"/>
              <w:jc w:val="right"/>
              <w:rPr>
                <w:rFonts w:ascii="Cambria" w:eastAsia="Times New Roman" w:hAnsi="Cambria" w:cs="Times New Roman"/>
                <w:sz w:val="24"/>
                <w:szCs w:val="24"/>
              </w:rPr>
            </w:pPr>
            <w:r w:rsidRPr="00E633AD">
              <w:rPr>
                <w:rFonts w:ascii="Cambria" w:eastAsia="Times New Roman" w:hAnsi="Cambria" w:cs="Times New Roman"/>
                <w:sz w:val="24"/>
                <w:szCs w:val="24"/>
              </w:rPr>
              <w:t>2</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b/>
                <w:bCs/>
                <w:sz w:val="24"/>
                <w:szCs w:val="24"/>
              </w:rPr>
              <w:t>Debt above 100% of GDP is toxic for growth</w:t>
            </w:r>
            <w:r w:rsidRPr="00E633AD">
              <w:rPr>
                <w:rFonts w:ascii="Cambria" w:eastAsia="Times New Roman" w:hAnsi="Cambria" w:cs="Times New Roman"/>
                <w:sz w:val="24"/>
                <w:szCs w:val="24"/>
              </w:rPr>
              <w:t> (countries with &gt;100% debt grow at just 0.52% vs 3.14% for debt &lt;60%)</w:t>
            </w:r>
          </w:p>
        </w:tc>
        <w:tc>
          <w:tcPr>
            <w:tcW w:w="2522"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Urgent consolidation needed for highly indebted nations (Japan, Italy, US). Gradual approach for moderate debt countries (India, Germany)</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7E4DF3">
            <w:pPr>
              <w:spacing w:after="0" w:line="240" w:lineRule="auto"/>
              <w:jc w:val="right"/>
              <w:rPr>
                <w:rFonts w:ascii="Cambria" w:eastAsia="Times New Roman" w:hAnsi="Cambria" w:cs="Times New Roman"/>
                <w:sz w:val="24"/>
                <w:szCs w:val="24"/>
              </w:rPr>
            </w:pPr>
            <w:r w:rsidRPr="00E633AD">
              <w:rPr>
                <w:rFonts w:ascii="Cambria" w:eastAsia="Times New Roman" w:hAnsi="Cambria" w:cs="Times New Roman"/>
                <w:sz w:val="24"/>
                <w:szCs w:val="24"/>
              </w:rPr>
              <w:t>3</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b/>
                <w:bCs/>
                <w:sz w:val="24"/>
                <w:szCs w:val="24"/>
              </w:rPr>
              <w:t>Global GDP grew 53% over the decade</w:t>
            </w:r>
            <w:r w:rsidRPr="00E633AD">
              <w:rPr>
                <w:rFonts w:ascii="Cambria" w:eastAsia="Times New Roman" w:hAnsi="Cambria" w:cs="Times New Roman"/>
                <w:sz w:val="24"/>
                <w:szCs w:val="24"/>
              </w:rPr>
              <w:t> (</w:t>
            </w:r>
            <w:r w:rsidRPr="00E633AD">
              <w:rPr>
                <w:rFonts w:ascii="Cambria" w:eastAsia="Times New Roman" w:hAnsi="Cambria" w:cs="Times New Roman"/>
                <w:sz w:val="29"/>
                <w:szCs w:val="29"/>
              </w:rPr>
              <w:t>77</w:t>
            </w:r>
            <w:r w:rsidRPr="00E633AD">
              <w:rPr>
                <w:rFonts w:ascii="Cambria" w:eastAsia="Times New Roman" w:hAnsi="Cambria" w:cs="Times New Roman"/>
                <w:i/>
                <w:iCs/>
                <w:sz w:val="29"/>
                <w:szCs w:val="29"/>
              </w:rPr>
              <w:t>T</w:t>
            </w:r>
            <w:r w:rsidR="009054D2">
              <w:rPr>
                <w:rFonts w:ascii="Cambria" w:eastAsia="Times New Roman" w:hAnsi="Cambria" w:cs="Times New Roman" w:hint="cs"/>
                <w:i/>
                <w:iCs/>
                <w:sz w:val="29"/>
                <w:szCs w:val="29"/>
                <w:rtl/>
                <w:lang w:bidi="ps-AF"/>
              </w:rPr>
              <w:t xml:space="preserve"> </w:t>
            </w:r>
            <w:r w:rsidRPr="00E633AD">
              <w:rPr>
                <w:rFonts w:ascii="Cambria" w:eastAsia="Times New Roman" w:hAnsi="Cambria" w:cs="Times New Roman"/>
                <w:i/>
                <w:iCs/>
                <w:sz w:val="29"/>
                <w:szCs w:val="29"/>
              </w:rPr>
              <w:t>to</w:t>
            </w:r>
            <w:r w:rsidR="009054D2">
              <w:rPr>
                <w:rFonts w:ascii="Cambria" w:eastAsia="Times New Roman" w:hAnsi="Cambria" w:cs="Times New Roman" w:hint="cs"/>
                <w:i/>
                <w:iCs/>
                <w:sz w:val="29"/>
                <w:szCs w:val="29"/>
                <w:rtl/>
                <w:lang w:bidi="ps-AF"/>
              </w:rPr>
              <w:t xml:space="preserve"> </w:t>
            </w:r>
            <w:r w:rsidRPr="00E633AD">
              <w:rPr>
                <w:rFonts w:ascii="Cambria" w:eastAsia="Times New Roman" w:hAnsi="Cambria" w:cs="Times New Roman"/>
                <w:sz w:val="24"/>
                <w:szCs w:val="24"/>
              </w:rPr>
              <w:t>118T), but COVID caused a statistically significant 7.58 point drop in 2020 followed by record 14.2% rebound in 2021</w:t>
            </w:r>
          </w:p>
        </w:tc>
        <w:tc>
          <w:tcPr>
            <w:tcW w:w="2522"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Post-pandemic normalization is complete. Focus on sustaining medium-term growth (3-4%)</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7E4DF3">
            <w:pPr>
              <w:spacing w:after="0" w:line="240" w:lineRule="auto"/>
              <w:jc w:val="right"/>
              <w:rPr>
                <w:rFonts w:ascii="Cambria" w:eastAsia="Times New Roman" w:hAnsi="Cambria" w:cs="Times New Roman"/>
                <w:sz w:val="24"/>
                <w:szCs w:val="24"/>
              </w:rPr>
            </w:pPr>
            <w:r w:rsidRPr="00E633AD">
              <w:rPr>
                <w:rFonts w:ascii="Cambria" w:eastAsia="Times New Roman" w:hAnsi="Cambria" w:cs="Times New Roman"/>
                <w:sz w:val="24"/>
                <w:szCs w:val="24"/>
              </w:rPr>
              <w:t>4</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b/>
                <w:bCs/>
                <w:sz w:val="24"/>
                <w:szCs w:val="24"/>
              </w:rPr>
              <w:t>Gradient Boosting is the best predictive model</w:t>
            </w:r>
            <w:r w:rsidRPr="00E633AD">
              <w:rPr>
                <w:rFonts w:ascii="Cambria" w:eastAsia="Times New Roman" w:hAnsi="Cambria" w:cs="Times New Roman"/>
                <w:sz w:val="24"/>
                <w:szCs w:val="24"/>
              </w:rPr>
              <w:t> (72% R², 1.04% MAE, 0.910 AUC-ROC for recession prediction)</w:t>
            </w:r>
          </w:p>
        </w:tc>
        <w:tc>
          <w:tcPr>
            <w:tcW w:w="2522"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Use model for early warning systems, but always include confidence intervals (±4.9% for point predictions)</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7E4DF3">
            <w:pPr>
              <w:spacing w:after="0" w:line="240" w:lineRule="auto"/>
              <w:jc w:val="right"/>
              <w:rPr>
                <w:rFonts w:ascii="Cambria" w:eastAsia="Times New Roman" w:hAnsi="Cambria" w:cs="Times New Roman"/>
                <w:sz w:val="24"/>
                <w:szCs w:val="24"/>
              </w:rPr>
            </w:pPr>
            <w:r w:rsidRPr="00E633AD">
              <w:rPr>
                <w:rFonts w:ascii="Cambria" w:eastAsia="Times New Roman" w:hAnsi="Cambria" w:cs="Times New Roman"/>
                <w:sz w:val="24"/>
                <w:szCs w:val="24"/>
              </w:rPr>
              <w:t>5</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b/>
                <w:bCs/>
                <w:sz w:val="24"/>
                <w:szCs w:val="24"/>
              </w:rPr>
              <w:t>India is the standout performer among major economies</w:t>
            </w:r>
            <w:r w:rsidRPr="00E633AD">
              <w:rPr>
                <w:rFonts w:ascii="Cambria" w:eastAsia="Times New Roman" w:hAnsi="Cambria" w:cs="Times New Roman"/>
                <w:sz w:val="24"/>
                <w:szCs w:val="24"/>
              </w:rPr>
              <w:t> (8.7% predicted 2026 growth, only Stable rating, Investment Grade status, low recession risk at 2.2%)</w:t>
            </w:r>
          </w:p>
        </w:tc>
        <w:tc>
          <w:tcPr>
            <w:tcW w:w="2522" w:type="dxa"/>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Monitor India as potential fourth global growth engine alongside US, China, and Germany</w:t>
            </w:r>
          </w:p>
        </w:tc>
      </w:tr>
    </w:tbl>
    <w:p w:rsidR="009054D2" w:rsidRDefault="009054D2" w:rsidP="00532862">
      <w:pPr>
        <w:shd w:val="clear" w:color="auto" w:fill="FFFFFF"/>
        <w:spacing w:after="0" w:line="240" w:lineRule="auto"/>
        <w:outlineLvl w:val="2"/>
        <w:rPr>
          <w:rFonts w:ascii="Cambria" w:eastAsia="Times New Roman" w:hAnsi="Cambria" w:cs="Segoe UI"/>
          <w:b/>
          <w:bCs/>
          <w:color w:val="0F1115"/>
          <w:sz w:val="27"/>
          <w:szCs w:val="27"/>
          <w:rtl/>
        </w:rPr>
      </w:pPr>
    </w:p>
    <w:p w:rsidR="009054D2" w:rsidRDefault="009054D2" w:rsidP="00532862">
      <w:pPr>
        <w:shd w:val="clear" w:color="auto" w:fill="FFFFFF"/>
        <w:spacing w:after="0" w:line="240" w:lineRule="auto"/>
        <w:outlineLvl w:val="2"/>
        <w:rPr>
          <w:rFonts w:ascii="Cambria" w:eastAsia="Times New Roman" w:hAnsi="Cambria" w:cs="Segoe UI"/>
          <w:b/>
          <w:bCs/>
          <w:color w:val="0F1115"/>
          <w:sz w:val="27"/>
          <w:szCs w:val="27"/>
          <w:rtl/>
        </w:rPr>
      </w:pPr>
    </w:p>
    <w:p w:rsidR="009054D2" w:rsidRDefault="009054D2" w:rsidP="00532862">
      <w:pPr>
        <w:shd w:val="clear" w:color="auto" w:fill="FFFFFF"/>
        <w:spacing w:after="0" w:line="240" w:lineRule="auto"/>
        <w:outlineLvl w:val="2"/>
        <w:rPr>
          <w:rFonts w:ascii="Cambria" w:eastAsia="Times New Roman" w:hAnsi="Cambria" w:cs="Segoe UI"/>
          <w:b/>
          <w:bCs/>
          <w:color w:val="0F1115"/>
          <w:sz w:val="27"/>
          <w:szCs w:val="27"/>
          <w:rtl/>
        </w:rPr>
      </w:pPr>
    </w:p>
    <w:p w:rsidR="009054D2" w:rsidRDefault="009054D2" w:rsidP="00532862">
      <w:pPr>
        <w:shd w:val="clear" w:color="auto" w:fill="FFFFFF"/>
        <w:spacing w:after="0" w:line="240" w:lineRule="auto"/>
        <w:outlineLvl w:val="2"/>
        <w:rPr>
          <w:rFonts w:ascii="Cambria" w:eastAsia="Times New Roman" w:hAnsi="Cambria" w:cs="Segoe UI"/>
          <w:b/>
          <w:bCs/>
          <w:color w:val="0F1115"/>
          <w:sz w:val="27"/>
          <w:szCs w:val="27"/>
          <w:rtl/>
        </w:rPr>
      </w:pPr>
    </w:p>
    <w:p w:rsidR="009054D2" w:rsidRDefault="009054D2" w:rsidP="00532862">
      <w:pPr>
        <w:shd w:val="clear" w:color="auto" w:fill="FFFFFF"/>
        <w:spacing w:after="0" w:line="240" w:lineRule="auto"/>
        <w:outlineLvl w:val="2"/>
        <w:rPr>
          <w:rFonts w:ascii="Cambria" w:eastAsia="Times New Roman" w:hAnsi="Cambria" w:cs="Segoe UI"/>
          <w:b/>
          <w:bCs/>
          <w:color w:val="0F1115"/>
          <w:sz w:val="27"/>
          <w:szCs w:val="27"/>
          <w:rtl/>
        </w:rPr>
      </w:pPr>
    </w:p>
    <w:p w:rsidR="00CB1E62" w:rsidRPr="00E633AD" w:rsidRDefault="00CB1E62" w:rsidP="00532862">
      <w:pPr>
        <w:shd w:val="clear" w:color="auto" w:fill="FFFFFF"/>
        <w:spacing w:after="0" w:line="240" w:lineRule="auto"/>
        <w:outlineLvl w:val="2"/>
        <w:rPr>
          <w:rFonts w:ascii="Cambria" w:eastAsia="Times New Roman" w:hAnsi="Cambria" w:cs="Segoe UI"/>
          <w:b/>
          <w:bCs/>
          <w:color w:val="0F1115"/>
          <w:sz w:val="27"/>
          <w:szCs w:val="27"/>
        </w:rPr>
      </w:pPr>
      <w:r w:rsidRPr="00E633AD">
        <w:rPr>
          <w:rFonts w:ascii="Cambria" w:eastAsia="Times New Roman" w:hAnsi="Cambria" w:cs="Segoe UI"/>
          <w:b/>
          <w:bCs/>
          <w:color w:val="0F1115"/>
          <w:sz w:val="27"/>
          <w:szCs w:val="27"/>
        </w:rPr>
        <w:lastRenderedPageBreak/>
        <w:t>Top 5 Policy Recommendations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2"/>
        <w:gridCol w:w="4654"/>
        <w:gridCol w:w="1709"/>
        <w:gridCol w:w="1875"/>
      </w:tblGrid>
      <w:tr w:rsidR="00CB1E62" w:rsidRPr="00E633AD" w:rsidTr="008C3415">
        <w:trPr>
          <w:tblHeader/>
        </w:trPr>
        <w:tc>
          <w:tcPr>
            <w:tcW w:w="0" w:type="auto"/>
            <w:tcMar>
              <w:top w:w="150" w:type="dxa"/>
              <w:left w:w="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Priority</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Action</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Timeframe</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b/>
                <w:bCs/>
                <w:sz w:val="24"/>
                <w:szCs w:val="24"/>
              </w:rPr>
            </w:pPr>
            <w:r w:rsidRPr="00E633AD">
              <w:rPr>
                <w:rFonts w:ascii="Cambria" w:eastAsia="Times New Roman" w:hAnsi="Cambria" w:cs="Times New Roman"/>
                <w:b/>
                <w:bCs/>
                <w:sz w:val="24"/>
                <w:szCs w:val="24"/>
              </w:rPr>
              <w:t>Expected Impact</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9054D2">
            <w:pPr>
              <w:spacing w:after="0" w:line="240" w:lineRule="auto"/>
              <w:jc w:val="center"/>
              <w:rPr>
                <w:rFonts w:ascii="Cambria" w:eastAsia="Times New Roman" w:hAnsi="Cambria" w:cs="Times New Roman"/>
                <w:sz w:val="24"/>
                <w:szCs w:val="24"/>
              </w:rPr>
            </w:pPr>
            <w:r w:rsidRPr="00E633AD">
              <w:rPr>
                <w:rFonts w:ascii="Cambria" w:eastAsia="Times New Roman" w:hAnsi="Cambria" w:cs="Times New Roman"/>
                <w:sz w:val="24"/>
                <w:szCs w:val="24"/>
              </w:rPr>
              <w:t>1</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Increase Economic Resilience by 15-20 points (invest in institutions, infrastructure, education)</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3-5 years</w:t>
            </w:r>
          </w:p>
        </w:tc>
        <w:tc>
          <w:tcPr>
            <w:tcW w:w="0" w:type="auto"/>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+2.5% to +3.5% growth</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9054D2">
            <w:pPr>
              <w:spacing w:after="0" w:line="240" w:lineRule="auto"/>
              <w:jc w:val="center"/>
              <w:rPr>
                <w:rFonts w:ascii="Cambria" w:eastAsia="Times New Roman" w:hAnsi="Cambria" w:cs="Times New Roman"/>
                <w:sz w:val="24"/>
                <w:szCs w:val="24"/>
              </w:rPr>
            </w:pPr>
            <w:r w:rsidRPr="00E633AD">
              <w:rPr>
                <w:rFonts w:ascii="Cambria" w:eastAsia="Times New Roman" w:hAnsi="Cambria" w:cs="Times New Roman"/>
                <w:sz w:val="24"/>
                <w:szCs w:val="24"/>
              </w:rPr>
              <w:t>2</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Reduce debt-to-GDP below 60% for highly indebted nations (&gt;100% debt)</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3-5 years</w:t>
            </w:r>
          </w:p>
        </w:tc>
        <w:tc>
          <w:tcPr>
            <w:tcW w:w="0" w:type="auto"/>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+1.0% to +1.5% growth</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9054D2">
            <w:pPr>
              <w:spacing w:after="0" w:line="240" w:lineRule="auto"/>
              <w:jc w:val="center"/>
              <w:rPr>
                <w:rFonts w:ascii="Cambria" w:eastAsia="Times New Roman" w:hAnsi="Cambria" w:cs="Times New Roman"/>
                <w:sz w:val="24"/>
                <w:szCs w:val="24"/>
              </w:rPr>
            </w:pPr>
            <w:r w:rsidRPr="00E633AD">
              <w:rPr>
                <w:rFonts w:ascii="Cambria" w:eastAsia="Times New Roman" w:hAnsi="Cambria" w:cs="Times New Roman"/>
                <w:sz w:val="24"/>
                <w:szCs w:val="24"/>
              </w:rPr>
              <w:t>3</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Target inflation below 4% through credible monetary policy</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1-2 years</w:t>
            </w:r>
          </w:p>
        </w:tc>
        <w:tc>
          <w:tcPr>
            <w:tcW w:w="0" w:type="auto"/>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+0.5% to +1.0% growth</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9054D2">
            <w:pPr>
              <w:spacing w:after="0" w:line="240" w:lineRule="auto"/>
              <w:jc w:val="center"/>
              <w:rPr>
                <w:rFonts w:ascii="Cambria" w:eastAsia="Times New Roman" w:hAnsi="Cambria" w:cs="Times New Roman"/>
                <w:sz w:val="24"/>
                <w:szCs w:val="24"/>
              </w:rPr>
            </w:pPr>
            <w:r w:rsidRPr="00E633AD">
              <w:rPr>
                <w:rFonts w:ascii="Cambria" w:eastAsia="Times New Roman" w:hAnsi="Cambria" w:cs="Times New Roman"/>
                <w:sz w:val="24"/>
                <w:szCs w:val="24"/>
              </w:rPr>
              <w:t>4</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Maintain growth momentum through counter-cyclical stimulus during downturns</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Immediate</w:t>
            </w:r>
          </w:p>
        </w:tc>
        <w:tc>
          <w:tcPr>
            <w:tcW w:w="0" w:type="auto"/>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+0.5% to +1.0% growth</w:t>
            </w:r>
          </w:p>
        </w:tc>
      </w:tr>
      <w:tr w:rsidR="00CB1E62" w:rsidRPr="00E633AD" w:rsidTr="008C3415">
        <w:tc>
          <w:tcPr>
            <w:tcW w:w="0" w:type="auto"/>
            <w:tcMar>
              <w:top w:w="150" w:type="dxa"/>
              <w:left w:w="0" w:type="dxa"/>
              <w:bottom w:w="150" w:type="dxa"/>
              <w:right w:w="240" w:type="dxa"/>
            </w:tcMar>
            <w:vAlign w:val="center"/>
            <w:hideMark/>
          </w:tcPr>
          <w:p w:rsidR="00CB1E62" w:rsidRPr="00E633AD" w:rsidRDefault="00CB1E62" w:rsidP="009054D2">
            <w:pPr>
              <w:spacing w:after="0" w:line="240" w:lineRule="auto"/>
              <w:jc w:val="center"/>
              <w:rPr>
                <w:rFonts w:ascii="Cambria" w:eastAsia="Times New Roman" w:hAnsi="Cambria" w:cs="Times New Roman"/>
                <w:sz w:val="24"/>
                <w:szCs w:val="24"/>
              </w:rPr>
            </w:pPr>
            <w:r w:rsidRPr="00E633AD">
              <w:rPr>
                <w:rFonts w:ascii="Cambria" w:eastAsia="Times New Roman" w:hAnsi="Cambria" w:cs="Times New Roman"/>
                <w:sz w:val="24"/>
                <w:szCs w:val="24"/>
              </w:rPr>
              <w:t>5</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Build institutional quality and governance to achieve Resilience Score &gt;70</w:t>
            </w:r>
          </w:p>
        </w:tc>
        <w:tc>
          <w:tcPr>
            <w:tcW w:w="0" w:type="auto"/>
            <w:tcMar>
              <w:top w:w="150" w:type="dxa"/>
              <w:left w:w="240" w:type="dxa"/>
              <w:bottom w:w="150" w:type="dxa"/>
              <w:right w:w="24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Long-term</w:t>
            </w:r>
          </w:p>
        </w:tc>
        <w:tc>
          <w:tcPr>
            <w:tcW w:w="0" w:type="auto"/>
            <w:tcMar>
              <w:top w:w="150" w:type="dxa"/>
              <w:left w:w="240" w:type="dxa"/>
              <w:bottom w:w="150" w:type="dxa"/>
              <w:right w:w="0" w:type="dxa"/>
            </w:tcMar>
            <w:vAlign w:val="center"/>
            <w:hideMark/>
          </w:tcPr>
          <w:p w:rsidR="00CB1E62" w:rsidRPr="00E633AD" w:rsidRDefault="00CB1E62" w:rsidP="00532862">
            <w:pPr>
              <w:spacing w:after="0" w:line="240" w:lineRule="auto"/>
              <w:rPr>
                <w:rFonts w:ascii="Cambria" w:eastAsia="Times New Roman" w:hAnsi="Cambria" w:cs="Times New Roman"/>
                <w:sz w:val="24"/>
                <w:szCs w:val="24"/>
              </w:rPr>
            </w:pPr>
            <w:r w:rsidRPr="00E633AD">
              <w:rPr>
                <w:rFonts w:ascii="Cambria" w:eastAsia="Times New Roman" w:hAnsi="Cambria" w:cs="Times New Roman"/>
                <w:sz w:val="24"/>
                <w:szCs w:val="24"/>
              </w:rPr>
              <w:t>Sustained high growth</w:t>
            </w:r>
          </w:p>
        </w:tc>
      </w:tr>
    </w:tbl>
    <w:p w:rsidR="00CB1E62" w:rsidRPr="00E633AD" w:rsidRDefault="00CB1E62" w:rsidP="00532862">
      <w:pPr>
        <w:spacing w:after="0" w:line="240" w:lineRule="auto"/>
        <w:rPr>
          <w:rFonts w:ascii="Cambria" w:eastAsia="Times New Roman" w:hAnsi="Cambria" w:cs="Times New Roman"/>
          <w:sz w:val="24"/>
          <w:szCs w:val="24"/>
        </w:rPr>
      </w:pPr>
    </w:p>
    <w:p w:rsidR="00567733" w:rsidRPr="00E633AD" w:rsidRDefault="00CB1E62" w:rsidP="00567733">
      <w:pPr>
        <w:shd w:val="clear" w:color="auto" w:fill="FFFFFF"/>
        <w:spacing w:after="0" w:line="240" w:lineRule="auto"/>
        <w:outlineLvl w:val="1"/>
        <w:rPr>
          <w:rFonts w:ascii="Cambria" w:eastAsia="Times New Roman" w:hAnsi="Cambria" w:cs="Segoe UI" w:hint="cs"/>
          <w:b/>
          <w:bCs/>
          <w:color w:val="0F1115"/>
          <w:sz w:val="36"/>
          <w:szCs w:val="36"/>
          <w:lang w:bidi="ps-AF"/>
        </w:rPr>
      </w:pPr>
      <w:r w:rsidRPr="00E633AD">
        <w:rPr>
          <w:rFonts w:ascii="Cambria" w:eastAsia="Times New Roman" w:hAnsi="Cambria" w:cs="Segoe UI"/>
          <w:b/>
          <w:bCs/>
          <w:color w:val="0F1115"/>
          <w:sz w:val="36"/>
          <w:szCs w:val="36"/>
        </w:rPr>
        <w:t>Conclusion</w:t>
      </w:r>
      <w:r w:rsidR="00567733">
        <w:rPr>
          <w:rFonts w:ascii="Cambria" w:eastAsia="Times New Roman" w:hAnsi="Cambria" w:cs="Segoe UI" w:hint="cs"/>
          <w:b/>
          <w:bCs/>
          <w:color w:val="0F1115"/>
          <w:sz w:val="36"/>
          <w:szCs w:val="36"/>
          <w:rtl/>
          <w:lang w:bidi="ps-AF"/>
        </w:rPr>
        <w:t>:</w:t>
      </w:r>
    </w:p>
    <w:p w:rsidR="00CB1E62" w:rsidRPr="00E633AD" w:rsidRDefault="00CB1E62" w:rsidP="00204CD5">
      <w:pPr>
        <w:shd w:val="clear" w:color="auto" w:fill="FFFFFF"/>
        <w:spacing w:after="0" w:line="240" w:lineRule="auto"/>
        <w:jc w:val="both"/>
        <w:rPr>
          <w:rFonts w:ascii="Cambria" w:eastAsia="Times New Roman" w:hAnsi="Cambria" w:cs="Segoe UI"/>
          <w:color w:val="0F1115"/>
          <w:sz w:val="24"/>
          <w:szCs w:val="24"/>
        </w:rPr>
      </w:pPr>
      <w:r w:rsidRPr="00E633AD">
        <w:rPr>
          <w:rFonts w:ascii="Cambria" w:eastAsia="Times New Roman" w:hAnsi="Cambria" w:cs="Segoe UI"/>
          <w:color w:val="0F1115"/>
          <w:sz w:val="24"/>
          <w:szCs w:val="24"/>
        </w:rPr>
        <w:t>This comprehensive analysis of the IMF World Economic Outlook dataset reveals a global economy in transition. The post-COVID recovery is complete, with growth normalizing to 3-4% annually. However, deep structural inequalities persist: 10 countries control two-thirds of global output, and debt levels remain dangerously elevated in major economies.</w:t>
      </w:r>
    </w:p>
    <w:p w:rsidR="00CB1E62" w:rsidRPr="00E633AD" w:rsidRDefault="00CB1E62" w:rsidP="00204CD5">
      <w:pPr>
        <w:shd w:val="clear" w:color="auto" w:fill="FFFFFF"/>
        <w:spacing w:after="0" w:line="240" w:lineRule="auto"/>
        <w:jc w:val="both"/>
        <w:rPr>
          <w:rFonts w:ascii="Cambria" w:eastAsia="Times New Roman" w:hAnsi="Cambria" w:cs="Segoe UI"/>
          <w:color w:val="0F1115"/>
          <w:sz w:val="24"/>
          <w:szCs w:val="24"/>
        </w:rPr>
      </w:pPr>
      <w:r w:rsidRPr="00E633AD">
        <w:rPr>
          <w:rFonts w:ascii="Cambria" w:eastAsia="Times New Roman" w:hAnsi="Cambria" w:cs="Segoe UI"/>
          <w:color w:val="0F1115"/>
          <w:sz w:val="24"/>
          <w:szCs w:val="24"/>
        </w:rPr>
        <w:t>The single most important finding across all five analytical approaches is the centrality of </w:t>
      </w:r>
      <w:r w:rsidRPr="00567733">
        <w:rPr>
          <w:rFonts w:ascii="Cambria" w:eastAsia="Times New Roman" w:hAnsi="Cambria" w:cs="Segoe UI"/>
          <w:color w:val="0F1115"/>
          <w:sz w:val="24"/>
          <w:szCs w:val="24"/>
        </w:rPr>
        <w:t>Economic Resilience</w:t>
      </w:r>
      <w:r w:rsidRPr="00E633AD">
        <w:rPr>
          <w:rFonts w:ascii="Cambria" w:eastAsia="Times New Roman" w:hAnsi="Cambria" w:cs="Segoe UI"/>
          <w:color w:val="0F1115"/>
          <w:sz w:val="24"/>
          <w:szCs w:val="24"/>
        </w:rPr>
        <w:t>. It is the strongest driver of growth (+0.65 correlation), the most important predictor (51.5% of model importance), and the biggest differentiator between high-growth and low-growth countries (a 27-point gap). For policymakers seeking to maximize economic growth, the evidence is clear: prioritize building resilience through strong institutions, quality infrastructure, effective governance, and human capital development.</w:t>
      </w:r>
    </w:p>
    <w:p w:rsidR="00CB1E62" w:rsidRPr="00E633AD" w:rsidRDefault="00CB1E62" w:rsidP="00204CD5">
      <w:pPr>
        <w:shd w:val="clear" w:color="auto" w:fill="FFFFFF"/>
        <w:spacing w:after="0" w:line="240" w:lineRule="auto"/>
        <w:jc w:val="both"/>
        <w:rPr>
          <w:rFonts w:ascii="Cambria" w:eastAsia="Times New Roman" w:hAnsi="Cambria" w:cs="Segoe UI"/>
          <w:color w:val="0F1115"/>
          <w:sz w:val="24"/>
          <w:szCs w:val="24"/>
        </w:rPr>
      </w:pPr>
      <w:r w:rsidRPr="00E633AD">
        <w:rPr>
          <w:rFonts w:ascii="Cambria" w:eastAsia="Times New Roman" w:hAnsi="Cambria" w:cs="Segoe UI"/>
          <w:color w:val="0F1115"/>
          <w:sz w:val="24"/>
          <w:szCs w:val="24"/>
        </w:rPr>
        <w:t>The world economy is not converging but diverging. Countries with high resilience and moderate debt are pulling away from those with low resilience and high debt. India emerges as a new growth pole, while Japan and European economies struggle with stagnation. The United States remains the largest economy but faces speculative grade status due to elevated debt.</w:t>
      </w:r>
    </w:p>
    <w:p w:rsidR="00CB1E62" w:rsidRPr="00E633AD" w:rsidRDefault="00CB1E62" w:rsidP="00204CD5">
      <w:pPr>
        <w:shd w:val="clear" w:color="auto" w:fill="FFFFFF"/>
        <w:spacing w:after="0" w:line="240" w:lineRule="auto"/>
        <w:jc w:val="both"/>
        <w:rPr>
          <w:rFonts w:ascii="Cambria" w:eastAsia="Times New Roman" w:hAnsi="Cambria" w:cs="Segoe UI"/>
          <w:color w:val="0F1115"/>
          <w:sz w:val="24"/>
          <w:szCs w:val="24"/>
        </w:rPr>
      </w:pPr>
      <w:r w:rsidRPr="00E633AD">
        <w:rPr>
          <w:rFonts w:ascii="Cambria" w:eastAsia="Times New Roman" w:hAnsi="Cambria" w:cs="Segoe UI"/>
          <w:color w:val="0F1115"/>
          <w:sz w:val="24"/>
          <w:szCs w:val="24"/>
        </w:rPr>
        <w:t>For investors, the message is clear: prioritize resilience metrics over traditional indicators. For policymakers, the prescription is unambiguous: build resilience, manage debt gradually, and maintain growth momentum. For data scientists, this analysis demonstrates the power of the complete analytical framework - from descriptive understanding to prescriptive action.</w:t>
      </w:r>
    </w:p>
    <w:p w:rsidR="00CB1E62" w:rsidRPr="00E633AD" w:rsidRDefault="00CB1E62" w:rsidP="00532862">
      <w:pPr>
        <w:spacing w:after="0" w:line="240" w:lineRule="auto"/>
        <w:rPr>
          <w:rFonts w:ascii="Cambria" w:eastAsia="Times New Roman" w:hAnsi="Cambria" w:cs="Times New Roman"/>
          <w:sz w:val="24"/>
          <w:szCs w:val="24"/>
        </w:rPr>
      </w:pPr>
    </w:p>
    <w:p w:rsidR="00CB1E62" w:rsidRPr="00E633AD" w:rsidRDefault="00CB1E62" w:rsidP="00532862">
      <w:pPr>
        <w:shd w:val="clear" w:color="auto" w:fill="FFFFFF"/>
        <w:spacing w:after="0" w:line="240" w:lineRule="auto"/>
        <w:outlineLvl w:val="1"/>
        <w:rPr>
          <w:rFonts w:ascii="Cambria" w:eastAsia="Times New Roman" w:hAnsi="Cambria" w:cs="Segoe UI"/>
          <w:b/>
          <w:bCs/>
          <w:color w:val="0F1115"/>
          <w:sz w:val="36"/>
          <w:szCs w:val="36"/>
        </w:rPr>
      </w:pPr>
      <w:r w:rsidRPr="00E633AD">
        <w:rPr>
          <w:rFonts w:ascii="Cambria" w:eastAsia="Times New Roman" w:hAnsi="Cambria" w:cs="Segoe UI"/>
          <w:b/>
          <w:bCs/>
          <w:color w:val="0F1115"/>
          <w:sz w:val="36"/>
          <w:szCs w:val="36"/>
        </w:rPr>
        <w:t>Appendix: Data &amp; Methodology</w:t>
      </w:r>
    </w:p>
    <w:p w:rsidR="00CB1E62" w:rsidRPr="00567733" w:rsidRDefault="00CB1E62" w:rsidP="00567733">
      <w:pPr>
        <w:numPr>
          <w:ilvl w:val="0"/>
          <w:numId w:val="5"/>
        </w:numPr>
        <w:shd w:val="clear" w:color="auto" w:fill="FFFFFF"/>
        <w:spacing w:after="0" w:line="240" w:lineRule="auto"/>
        <w:ind w:left="360"/>
        <w:rPr>
          <w:rFonts w:ascii="Cambria" w:eastAsia="Times New Roman" w:hAnsi="Cambria" w:cs="Segoe UI"/>
          <w:color w:val="0F1115"/>
          <w:sz w:val="24"/>
          <w:szCs w:val="24"/>
        </w:rPr>
      </w:pPr>
      <w:r w:rsidRPr="00567733">
        <w:rPr>
          <w:rFonts w:ascii="Cambria" w:eastAsia="Times New Roman" w:hAnsi="Cambria" w:cs="Segoe UI"/>
          <w:color w:val="0F1115"/>
          <w:sz w:val="24"/>
          <w:szCs w:val="24"/>
        </w:rPr>
        <w:t>Dataset: IMF World Economic Outlook, April 2026 release</w:t>
      </w:r>
    </w:p>
    <w:p w:rsidR="00CB1E62" w:rsidRPr="00567733" w:rsidRDefault="00CB1E62" w:rsidP="00567733">
      <w:pPr>
        <w:numPr>
          <w:ilvl w:val="0"/>
          <w:numId w:val="5"/>
        </w:numPr>
        <w:shd w:val="clear" w:color="auto" w:fill="FFFFFF"/>
        <w:spacing w:after="0" w:line="240" w:lineRule="auto"/>
        <w:ind w:left="360"/>
        <w:jc w:val="both"/>
        <w:rPr>
          <w:rFonts w:ascii="Cambria" w:eastAsia="Times New Roman" w:hAnsi="Cambria" w:cs="Segoe UI"/>
          <w:color w:val="0F1115"/>
          <w:sz w:val="24"/>
          <w:szCs w:val="24"/>
        </w:rPr>
      </w:pPr>
      <w:r w:rsidRPr="00567733">
        <w:rPr>
          <w:rFonts w:ascii="Cambria" w:eastAsia="Times New Roman" w:hAnsi="Cambria" w:cs="Segoe UI"/>
          <w:color w:val="0F1115"/>
          <w:sz w:val="24"/>
          <w:szCs w:val="24"/>
        </w:rPr>
        <w:t>Coverage: 199 countries, 2016-2025 historical, 2026-2030 forecast</w:t>
      </w:r>
    </w:p>
    <w:p w:rsidR="00CB1E62" w:rsidRPr="00567733" w:rsidRDefault="00CB1E62" w:rsidP="00567733">
      <w:pPr>
        <w:numPr>
          <w:ilvl w:val="0"/>
          <w:numId w:val="5"/>
        </w:numPr>
        <w:shd w:val="clear" w:color="auto" w:fill="FFFFFF"/>
        <w:spacing w:after="0" w:line="240" w:lineRule="auto"/>
        <w:ind w:left="360"/>
        <w:jc w:val="both"/>
        <w:rPr>
          <w:rFonts w:ascii="Cambria" w:eastAsia="Times New Roman" w:hAnsi="Cambria" w:cs="Segoe UI"/>
          <w:color w:val="0F1115"/>
          <w:sz w:val="24"/>
          <w:szCs w:val="24"/>
        </w:rPr>
      </w:pPr>
      <w:r w:rsidRPr="00567733">
        <w:rPr>
          <w:rFonts w:ascii="Cambria" w:eastAsia="Times New Roman" w:hAnsi="Cambria" w:cs="Segoe UI"/>
          <w:color w:val="0F1115"/>
          <w:sz w:val="24"/>
          <w:szCs w:val="24"/>
        </w:rPr>
        <w:t>Key Variables: 37 economic indicators including GDP, growth, inflation, unemployment, debt, current account, economic resilience</w:t>
      </w:r>
    </w:p>
    <w:p w:rsidR="00CB1E62" w:rsidRPr="00567733" w:rsidRDefault="00CB1E62" w:rsidP="00567733">
      <w:pPr>
        <w:numPr>
          <w:ilvl w:val="0"/>
          <w:numId w:val="5"/>
        </w:numPr>
        <w:shd w:val="clear" w:color="auto" w:fill="FFFFFF"/>
        <w:spacing w:after="0" w:line="240" w:lineRule="auto"/>
        <w:ind w:left="360"/>
        <w:jc w:val="both"/>
        <w:rPr>
          <w:rFonts w:ascii="Cambria" w:eastAsia="Times New Roman" w:hAnsi="Cambria" w:cs="Segoe UI"/>
          <w:color w:val="0F1115"/>
          <w:sz w:val="24"/>
          <w:szCs w:val="24"/>
        </w:rPr>
      </w:pPr>
      <w:r w:rsidRPr="00567733">
        <w:rPr>
          <w:rFonts w:ascii="Cambria" w:eastAsia="Times New Roman" w:hAnsi="Cambria" w:cs="Segoe UI"/>
          <w:color w:val="0F1115"/>
          <w:sz w:val="24"/>
          <w:szCs w:val="24"/>
        </w:rPr>
        <w:t>Models Used: Linear Regression, Ridge, Lasso, Random Forest, Gradient Boosting, K-Means Clustering</w:t>
      </w:r>
    </w:p>
    <w:p w:rsidR="00CB1E62" w:rsidRPr="00567733" w:rsidRDefault="00CB1E62" w:rsidP="00567733">
      <w:pPr>
        <w:numPr>
          <w:ilvl w:val="0"/>
          <w:numId w:val="5"/>
        </w:numPr>
        <w:shd w:val="clear" w:color="auto" w:fill="FFFFFF"/>
        <w:spacing w:after="0" w:line="240" w:lineRule="auto"/>
        <w:ind w:left="360"/>
        <w:jc w:val="both"/>
        <w:rPr>
          <w:rFonts w:ascii="Cambria" w:eastAsia="Times New Roman" w:hAnsi="Cambria" w:cs="Segoe UI"/>
          <w:color w:val="0F1115"/>
          <w:sz w:val="24"/>
          <w:szCs w:val="24"/>
        </w:rPr>
      </w:pPr>
      <w:r w:rsidRPr="00567733">
        <w:rPr>
          <w:rFonts w:ascii="Cambria" w:eastAsia="Times New Roman" w:hAnsi="Cambria" w:cs="Segoe UI"/>
          <w:color w:val="0F1115"/>
          <w:sz w:val="24"/>
          <w:szCs w:val="24"/>
        </w:rPr>
        <w:t>Validation: 5-fold cross-validation, train-test split (pre-2024 training, 2024-2025 testing)</w:t>
      </w:r>
    </w:p>
    <w:p w:rsidR="00CB1E62" w:rsidRPr="00567733" w:rsidRDefault="00CB1E62" w:rsidP="00567733">
      <w:pPr>
        <w:numPr>
          <w:ilvl w:val="0"/>
          <w:numId w:val="5"/>
        </w:numPr>
        <w:shd w:val="clear" w:color="auto" w:fill="FFFFFF"/>
        <w:spacing w:after="0" w:line="240" w:lineRule="auto"/>
        <w:ind w:left="360"/>
        <w:jc w:val="both"/>
        <w:rPr>
          <w:rFonts w:ascii="Cambria" w:eastAsia="Times New Roman" w:hAnsi="Cambria" w:cs="Segoe UI"/>
          <w:color w:val="0F1115"/>
          <w:sz w:val="24"/>
          <w:szCs w:val="24"/>
        </w:rPr>
      </w:pPr>
      <w:r w:rsidRPr="00567733">
        <w:rPr>
          <w:rFonts w:ascii="Cambria" w:eastAsia="Times New Roman" w:hAnsi="Cambria" w:cs="Segoe UI"/>
          <w:color w:val="0F1115"/>
          <w:sz w:val="24"/>
          <w:szCs w:val="24"/>
        </w:rPr>
        <w:t xml:space="preserve">Tools: Python, Pandas, </w:t>
      </w:r>
      <w:proofErr w:type="spellStart"/>
      <w:r w:rsidRPr="00567733">
        <w:rPr>
          <w:rFonts w:ascii="Cambria" w:eastAsia="Times New Roman" w:hAnsi="Cambria" w:cs="Segoe UI"/>
          <w:color w:val="0F1115"/>
          <w:sz w:val="24"/>
          <w:szCs w:val="24"/>
        </w:rPr>
        <w:t>Scikit</w:t>
      </w:r>
      <w:proofErr w:type="spellEnd"/>
      <w:r w:rsidRPr="00567733">
        <w:rPr>
          <w:rFonts w:ascii="Cambria" w:eastAsia="Times New Roman" w:hAnsi="Cambria" w:cs="Segoe UI"/>
          <w:color w:val="0F1115"/>
          <w:sz w:val="24"/>
          <w:szCs w:val="24"/>
        </w:rPr>
        <w:t xml:space="preserve">-learn, </w:t>
      </w:r>
      <w:proofErr w:type="spellStart"/>
      <w:r w:rsidRPr="00567733">
        <w:rPr>
          <w:rFonts w:ascii="Cambria" w:eastAsia="Times New Roman" w:hAnsi="Cambria" w:cs="Segoe UI"/>
          <w:color w:val="0F1115"/>
          <w:sz w:val="24"/>
          <w:szCs w:val="24"/>
        </w:rPr>
        <w:t>Statsmodels</w:t>
      </w:r>
      <w:proofErr w:type="spellEnd"/>
      <w:r w:rsidRPr="00567733">
        <w:rPr>
          <w:rFonts w:ascii="Cambria" w:eastAsia="Times New Roman" w:hAnsi="Cambria" w:cs="Segoe UI"/>
          <w:color w:val="0F1115"/>
          <w:sz w:val="24"/>
          <w:szCs w:val="24"/>
        </w:rPr>
        <w:t xml:space="preserve">, </w:t>
      </w:r>
      <w:proofErr w:type="spellStart"/>
      <w:r w:rsidRPr="00567733">
        <w:rPr>
          <w:rFonts w:ascii="Cambria" w:eastAsia="Times New Roman" w:hAnsi="Cambria" w:cs="Segoe UI"/>
          <w:color w:val="0F1115"/>
          <w:sz w:val="24"/>
          <w:szCs w:val="24"/>
        </w:rPr>
        <w:t>Matplotlib</w:t>
      </w:r>
      <w:proofErr w:type="spellEnd"/>
      <w:r w:rsidRPr="00567733">
        <w:rPr>
          <w:rFonts w:ascii="Cambria" w:eastAsia="Times New Roman" w:hAnsi="Cambria" w:cs="Segoe UI"/>
          <w:color w:val="0F1115"/>
          <w:sz w:val="24"/>
          <w:szCs w:val="24"/>
        </w:rPr>
        <w:t xml:space="preserve">, </w:t>
      </w:r>
      <w:proofErr w:type="spellStart"/>
      <w:r w:rsidRPr="00567733">
        <w:rPr>
          <w:rFonts w:ascii="Cambria" w:eastAsia="Times New Roman" w:hAnsi="Cambria" w:cs="Segoe UI"/>
          <w:color w:val="0F1115"/>
          <w:sz w:val="24"/>
          <w:szCs w:val="24"/>
        </w:rPr>
        <w:t>Seaborn</w:t>
      </w:r>
      <w:proofErr w:type="spellEnd"/>
    </w:p>
    <w:p w:rsidR="00CB1E62" w:rsidRPr="00567733" w:rsidRDefault="00CB1E62" w:rsidP="00567733">
      <w:pPr>
        <w:spacing w:after="0" w:line="240" w:lineRule="auto"/>
        <w:ind w:left="360"/>
        <w:jc w:val="both"/>
        <w:rPr>
          <w:rFonts w:ascii="Cambria" w:eastAsia="Times New Roman" w:hAnsi="Cambria" w:cs="Times New Roman"/>
          <w:sz w:val="24"/>
          <w:szCs w:val="24"/>
        </w:rPr>
      </w:pPr>
    </w:p>
    <w:p w:rsidR="00532862" w:rsidRDefault="00532862" w:rsidP="00532862">
      <w:pPr>
        <w:spacing w:after="0"/>
        <w:rPr>
          <w:rFonts w:ascii="Cambria" w:eastAsia="Times New Roman" w:hAnsi="Cambria" w:cs="Segoe UI"/>
          <w:color w:val="0F1115"/>
          <w:sz w:val="24"/>
          <w:szCs w:val="24"/>
        </w:rPr>
      </w:pPr>
    </w:p>
    <w:p w:rsidR="001846F2" w:rsidRDefault="001846F2" w:rsidP="00532862">
      <w:pPr>
        <w:pBdr>
          <w:bottom w:val="double" w:sz="6" w:space="1" w:color="auto"/>
        </w:pBdr>
        <w:spacing w:after="0"/>
        <w:rPr>
          <w:rFonts w:ascii="Cambria" w:eastAsia="Times New Roman" w:hAnsi="Cambria" w:cs="Segoe UI"/>
          <w:color w:val="0F1115"/>
          <w:sz w:val="24"/>
          <w:szCs w:val="24"/>
        </w:rPr>
      </w:pPr>
    </w:p>
    <w:p w:rsidR="001846F2" w:rsidRPr="00567733" w:rsidRDefault="001846F2" w:rsidP="00532862">
      <w:pPr>
        <w:spacing w:after="0"/>
        <w:rPr>
          <w:rFonts w:ascii="Cambria" w:hAnsi="Cambria"/>
        </w:rPr>
      </w:pPr>
      <w:bookmarkStart w:id="0" w:name="_GoBack"/>
      <w:bookmarkEnd w:id="0"/>
      <w:r>
        <w:rPr>
          <w:rFonts w:ascii="Cambria" w:eastAsia="Times New Roman" w:hAnsi="Cambria" w:cs="Segoe UI"/>
          <w:color w:val="0F1115"/>
          <w:sz w:val="24"/>
          <w:szCs w:val="24"/>
        </w:rPr>
        <w:t>Nematullah Amiri | PMP- Certified | MBA | Data Professional</w:t>
      </w:r>
    </w:p>
    <w:sectPr w:rsidR="001846F2" w:rsidRPr="00567733" w:rsidSect="00527ADC">
      <w:pgSz w:w="12240" w:h="15840"/>
      <w:pgMar w:top="117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D02BC"/>
    <w:multiLevelType w:val="multilevel"/>
    <w:tmpl w:val="400A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91A11"/>
    <w:multiLevelType w:val="multilevel"/>
    <w:tmpl w:val="890E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B06041"/>
    <w:multiLevelType w:val="multilevel"/>
    <w:tmpl w:val="F662A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5E6B13"/>
    <w:multiLevelType w:val="multilevel"/>
    <w:tmpl w:val="2ECC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23752B"/>
    <w:multiLevelType w:val="multilevel"/>
    <w:tmpl w:val="7000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1E62"/>
    <w:rsid w:val="001470DB"/>
    <w:rsid w:val="001846F2"/>
    <w:rsid w:val="00204CD5"/>
    <w:rsid w:val="00220BD2"/>
    <w:rsid w:val="00313C72"/>
    <w:rsid w:val="00430138"/>
    <w:rsid w:val="00527ADC"/>
    <w:rsid w:val="00532862"/>
    <w:rsid w:val="00556503"/>
    <w:rsid w:val="00567733"/>
    <w:rsid w:val="00576C51"/>
    <w:rsid w:val="007A11D5"/>
    <w:rsid w:val="007E4DF3"/>
    <w:rsid w:val="008572F1"/>
    <w:rsid w:val="008C3415"/>
    <w:rsid w:val="009054D2"/>
    <w:rsid w:val="009D6EA7"/>
    <w:rsid w:val="00C77380"/>
    <w:rsid w:val="00CB1E62"/>
    <w:rsid w:val="00D415BD"/>
    <w:rsid w:val="00DB32EC"/>
    <w:rsid w:val="00E27BAD"/>
    <w:rsid w:val="00E633AD"/>
    <w:rsid w:val="00F665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1E4F4"/>
  <w15:chartTrackingRefBased/>
  <w15:docId w15:val="{39948873-3678-4362-A0E1-EBEA16413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B1E6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B1E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B1E6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E6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B1E6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B1E62"/>
    <w:rPr>
      <w:rFonts w:ascii="Times New Roman" w:eastAsia="Times New Roman" w:hAnsi="Times New Roman" w:cs="Times New Roman"/>
      <w:b/>
      <w:bCs/>
      <w:sz w:val="27"/>
      <w:szCs w:val="27"/>
    </w:rPr>
  </w:style>
  <w:style w:type="paragraph" w:customStyle="1" w:styleId="msonormal0">
    <w:name w:val="msonormal"/>
    <w:basedOn w:val="Normal"/>
    <w:rsid w:val="00CB1E6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CB1E6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B1E62"/>
    <w:rPr>
      <w:b/>
      <w:bCs/>
    </w:rPr>
  </w:style>
  <w:style w:type="character" w:customStyle="1" w:styleId="katex">
    <w:name w:val="katex"/>
    <w:basedOn w:val="DefaultParagraphFont"/>
    <w:rsid w:val="00CB1E62"/>
  </w:style>
  <w:style w:type="character" w:customStyle="1" w:styleId="katex-mathml">
    <w:name w:val="katex-mathml"/>
    <w:basedOn w:val="DefaultParagraphFont"/>
    <w:rsid w:val="00CB1E62"/>
  </w:style>
  <w:style w:type="character" w:customStyle="1" w:styleId="katex-html">
    <w:name w:val="katex-html"/>
    <w:basedOn w:val="DefaultParagraphFont"/>
    <w:rsid w:val="00CB1E62"/>
  </w:style>
  <w:style w:type="character" w:customStyle="1" w:styleId="base">
    <w:name w:val="base"/>
    <w:basedOn w:val="DefaultParagraphFont"/>
    <w:rsid w:val="00CB1E62"/>
  </w:style>
  <w:style w:type="character" w:customStyle="1" w:styleId="strut">
    <w:name w:val="strut"/>
    <w:basedOn w:val="DefaultParagraphFont"/>
    <w:rsid w:val="00CB1E62"/>
  </w:style>
  <w:style w:type="character" w:customStyle="1" w:styleId="mord">
    <w:name w:val="mord"/>
    <w:basedOn w:val="DefaultParagraphFont"/>
    <w:rsid w:val="00CB1E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6276805">
      <w:bodyDiv w:val="1"/>
      <w:marLeft w:val="0"/>
      <w:marRight w:val="0"/>
      <w:marTop w:val="0"/>
      <w:marBottom w:val="0"/>
      <w:divBdr>
        <w:top w:val="none" w:sz="0" w:space="0" w:color="auto"/>
        <w:left w:val="none" w:sz="0" w:space="0" w:color="auto"/>
        <w:bottom w:val="none" w:sz="0" w:space="0" w:color="auto"/>
        <w:right w:val="none" w:sz="0" w:space="0" w:color="auto"/>
      </w:divBdr>
      <w:divsChild>
        <w:div w:id="1740906086">
          <w:marLeft w:val="0"/>
          <w:marRight w:val="0"/>
          <w:marTop w:val="0"/>
          <w:marBottom w:val="0"/>
          <w:divBdr>
            <w:top w:val="none" w:sz="0" w:space="0" w:color="auto"/>
            <w:left w:val="none" w:sz="0" w:space="0" w:color="auto"/>
            <w:bottom w:val="none" w:sz="0" w:space="0" w:color="auto"/>
            <w:right w:val="none" w:sz="0" w:space="0" w:color="auto"/>
          </w:divBdr>
        </w:div>
        <w:div w:id="1713652872">
          <w:marLeft w:val="0"/>
          <w:marRight w:val="0"/>
          <w:marTop w:val="0"/>
          <w:marBottom w:val="0"/>
          <w:divBdr>
            <w:top w:val="none" w:sz="0" w:space="0" w:color="auto"/>
            <w:left w:val="none" w:sz="0" w:space="0" w:color="auto"/>
            <w:bottom w:val="none" w:sz="0" w:space="0" w:color="auto"/>
            <w:right w:val="none" w:sz="0" w:space="0" w:color="auto"/>
          </w:divBdr>
        </w:div>
        <w:div w:id="449977550">
          <w:marLeft w:val="0"/>
          <w:marRight w:val="0"/>
          <w:marTop w:val="0"/>
          <w:marBottom w:val="0"/>
          <w:divBdr>
            <w:top w:val="none" w:sz="0" w:space="0" w:color="auto"/>
            <w:left w:val="none" w:sz="0" w:space="0" w:color="auto"/>
            <w:bottom w:val="none" w:sz="0" w:space="0" w:color="auto"/>
            <w:right w:val="none" w:sz="0" w:space="0" w:color="auto"/>
          </w:divBdr>
        </w:div>
        <w:div w:id="1227761097">
          <w:marLeft w:val="0"/>
          <w:marRight w:val="0"/>
          <w:marTop w:val="0"/>
          <w:marBottom w:val="0"/>
          <w:divBdr>
            <w:top w:val="none" w:sz="0" w:space="0" w:color="auto"/>
            <w:left w:val="none" w:sz="0" w:space="0" w:color="auto"/>
            <w:bottom w:val="none" w:sz="0" w:space="0" w:color="auto"/>
            <w:right w:val="none" w:sz="0" w:space="0" w:color="auto"/>
          </w:divBdr>
        </w:div>
        <w:div w:id="122770341">
          <w:marLeft w:val="0"/>
          <w:marRight w:val="0"/>
          <w:marTop w:val="0"/>
          <w:marBottom w:val="0"/>
          <w:divBdr>
            <w:top w:val="none" w:sz="0" w:space="0" w:color="auto"/>
            <w:left w:val="none" w:sz="0" w:space="0" w:color="auto"/>
            <w:bottom w:val="none" w:sz="0" w:space="0" w:color="auto"/>
            <w:right w:val="none" w:sz="0" w:space="0" w:color="auto"/>
          </w:divBdr>
        </w:div>
        <w:div w:id="840268375">
          <w:marLeft w:val="0"/>
          <w:marRight w:val="0"/>
          <w:marTop w:val="0"/>
          <w:marBottom w:val="0"/>
          <w:divBdr>
            <w:top w:val="none" w:sz="0" w:space="0" w:color="auto"/>
            <w:left w:val="none" w:sz="0" w:space="0" w:color="auto"/>
            <w:bottom w:val="none" w:sz="0" w:space="0" w:color="auto"/>
            <w:right w:val="none" w:sz="0" w:space="0" w:color="auto"/>
          </w:divBdr>
        </w:div>
        <w:div w:id="937640798">
          <w:marLeft w:val="0"/>
          <w:marRight w:val="0"/>
          <w:marTop w:val="0"/>
          <w:marBottom w:val="0"/>
          <w:divBdr>
            <w:top w:val="none" w:sz="0" w:space="0" w:color="auto"/>
            <w:left w:val="none" w:sz="0" w:space="0" w:color="auto"/>
            <w:bottom w:val="none" w:sz="0" w:space="0" w:color="auto"/>
            <w:right w:val="none" w:sz="0" w:space="0" w:color="auto"/>
          </w:divBdr>
        </w:div>
        <w:div w:id="891620348">
          <w:marLeft w:val="0"/>
          <w:marRight w:val="0"/>
          <w:marTop w:val="0"/>
          <w:marBottom w:val="0"/>
          <w:divBdr>
            <w:top w:val="none" w:sz="0" w:space="0" w:color="auto"/>
            <w:left w:val="none" w:sz="0" w:space="0" w:color="auto"/>
            <w:bottom w:val="none" w:sz="0" w:space="0" w:color="auto"/>
            <w:right w:val="none" w:sz="0" w:space="0" w:color="auto"/>
          </w:divBdr>
        </w:div>
        <w:div w:id="1728070642">
          <w:marLeft w:val="0"/>
          <w:marRight w:val="0"/>
          <w:marTop w:val="0"/>
          <w:marBottom w:val="0"/>
          <w:divBdr>
            <w:top w:val="none" w:sz="0" w:space="0" w:color="auto"/>
            <w:left w:val="none" w:sz="0" w:space="0" w:color="auto"/>
            <w:bottom w:val="none" w:sz="0" w:space="0" w:color="auto"/>
            <w:right w:val="none" w:sz="0" w:space="0" w:color="auto"/>
          </w:divBdr>
        </w:div>
        <w:div w:id="440950786">
          <w:marLeft w:val="0"/>
          <w:marRight w:val="0"/>
          <w:marTop w:val="0"/>
          <w:marBottom w:val="0"/>
          <w:divBdr>
            <w:top w:val="none" w:sz="0" w:space="0" w:color="auto"/>
            <w:left w:val="none" w:sz="0" w:space="0" w:color="auto"/>
            <w:bottom w:val="none" w:sz="0" w:space="0" w:color="auto"/>
            <w:right w:val="none" w:sz="0" w:space="0" w:color="auto"/>
          </w:divBdr>
        </w:div>
        <w:div w:id="1374501691">
          <w:marLeft w:val="0"/>
          <w:marRight w:val="0"/>
          <w:marTop w:val="0"/>
          <w:marBottom w:val="0"/>
          <w:divBdr>
            <w:top w:val="none" w:sz="0" w:space="0" w:color="auto"/>
            <w:left w:val="none" w:sz="0" w:space="0" w:color="auto"/>
            <w:bottom w:val="none" w:sz="0" w:space="0" w:color="auto"/>
            <w:right w:val="none" w:sz="0" w:space="0" w:color="auto"/>
          </w:divBdr>
        </w:div>
        <w:div w:id="1788356138">
          <w:marLeft w:val="0"/>
          <w:marRight w:val="0"/>
          <w:marTop w:val="0"/>
          <w:marBottom w:val="0"/>
          <w:divBdr>
            <w:top w:val="none" w:sz="0" w:space="0" w:color="auto"/>
            <w:left w:val="none" w:sz="0" w:space="0" w:color="auto"/>
            <w:bottom w:val="none" w:sz="0" w:space="0" w:color="auto"/>
            <w:right w:val="none" w:sz="0" w:space="0" w:color="auto"/>
          </w:divBdr>
        </w:div>
        <w:div w:id="450132557">
          <w:marLeft w:val="0"/>
          <w:marRight w:val="0"/>
          <w:marTop w:val="0"/>
          <w:marBottom w:val="0"/>
          <w:divBdr>
            <w:top w:val="none" w:sz="0" w:space="0" w:color="auto"/>
            <w:left w:val="none" w:sz="0" w:space="0" w:color="auto"/>
            <w:bottom w:val="none" w:sz="0" w:space="0" w:color="auto"/>
            <w:right w:val="none" w:sz="0" w:space="0" w:color="auto"/>
          </w:divBdr>
        </w:div>
        <w:div w:id="1729261920">
          <w:marLeft w:val="0"/>
          <w:marRight w:val="0"/>
          <w:marTop w:val="0"/>
          <w:marBottom w:val="0"/>
          <w:divBdr>
            <w:top w:val="none" w:sz="0" w:space="0" w:color="auto"/>
            <w:left w:val="none" w:sz="0" w:space="0" w:color="auto"/>
            <w:bottom w:val="none" w:sz="0" w:space="0" w:color="auto"/>
            <w:right w:val="none" w:sz="0" w:space="0" w:color="auto"/>
          </w:divBdr>
        </w:div>
        <w:div w:id="2114587225">
          <w:marLeft w:val="0"/>
          <w:marRight w:val="0"/>
          <w:marTop w:val="0"/>
          <w:marBottom w:val="0"/>
          <w:divBdr>
            <w:top w:val="none" w:sz="0" w:space="0" w:color="auto"/>
            <w:left w:val="none" w:sz="0" w:space="0" w:color="auto"/>
            <w:bottom w:val="none" w:sz="0" w:space="0" w:color="auto"/>
            <w:right w:val="none" w:sz="0" w:space="0" w:color="auto"/>
          </w:divBdr>
        </w:div>
        <w:div w:id="1944603917">
          <w:marLeft w:val="0"/>
          <w:marRight w:val="0"/>
          <w:marTop w:val="0"/>
          <w:marBottom w:val="0"/>
          <w:divBdr>
            <w:top w:val="none" w:sz="0" w:space="0" w:color="auto"/>
            <w:left w:val="none" w:sz="0" w:space="0" w:color="auto"/>
            <w:bottom w:val="none" w:sz="0" w:space="0" w:color="auto"/>
            <w:right w:val="none" w:sz="0" w:space="0" w:color="auto"/>
          </w:divBdr>
        </w:div>
        <w:div w:id="196041709">
          <w:marLeft w:val="0"/>
          <w:marRight w:val="0"/>
          <w:marTop w:val="0"/>
          <w:marBottom w:val="0"/>
          <w:divBdr>
            <w:top w:val="none" w:sz="0" w:space="0" w:color="auto"/>
            <w:left w:val="none" w:sz="0" w:space="0" w:color="auto"/>
            <w:bottom w:val="none" w:sz="0" w:space="0" w:color="auto"/>
            <w:right w:val="none" w:sz="0" w:space="0" w:color="auto"/>
          </w:divBdr>
        </w:div>
        <w:div w:id="1929386446">
          <w:marLeft w:val="0"/>
          <w:marRight w:val="0"/>
          <w:marTop w:val="0"/>
          <w:marBottom w:val="0"/>
          <w:divBdr>
            <w:top w:val="none" w:sz="0" w:space="0" w:color="auto"/>
            <w:left w:val="none" w:sz="0" w:space="0" w:color="auto"/>
            <w:bottom w:val="none" w:sz="0" w:space="0" w:color="auto"/>
            <w:right w:val="none" w:sz="0" w:space="0" w:color="auto"/>
          </w:divBdr>
        </w:div>
        <w:div w:id="766537162">
          <w:marLeft w:val="0"/>
          <w:marRight w:val="0"/>
          <w:marTop w:val="0"/>
          <w:marBottom w:val="0"/>
          <w:divBdr>
            <w:top w:val="none" w:sz="0" w:space="0" w:color="auto"/>
            <w:left w:val="none" w:sz="0" w:space="0" w:color="auto"/>
            <w:bottom w:val="none" w:sz="0" w:space="0" w:color="auto"/>
            <w:right w:val="none" w:sz="0" w:space="0" w:color="auto"/>
          </w:divBdr>
        </w:div>
        <w:div w:id="533159067">
          <w:marLeft w:val="0"/>
          <w:marRight w:val="0"/>
          <w:marTop w:val="0"/>
          <w:marBottom w:val="0"/>
          <w:divBdr>
            <w:top w:val="none" w:sz="0" w:space="0" w:color="auto"/>
            <w:left w:val="none" w:sz="0" w:space="0" w:color="auto"/>
            <w:bottom w:val="none" w:sz="0" w:space="0" w:color="auto"/>
            <w:right w:val="none" w:sz="0" w:space="0" w:color="auto"/>
          </w:divBdr>
        </w:div>
        <w:div w:id="792402002">
          <w:marLeft w:val="0"/>
          <w:marRight w:val="0"/>
          <w:marTop w:val="0"/>
          <w:marBottom w:val="0"/>
          <w:divBdr>
            <w:top w:val="none" w:sz="0" w:space="0" w:color="auto"/>
            <w:left w:val="none" w:sz="0" w:space="0" w:color="auto"/>
            <w:bottom w:val="none" w:sz="0" w:space="0" w:color="auto"/>
            <w:right w:val="none" w:sz="0" w:space="0" w:color="auto"/>
          </w:divBdr>
        </w:div>
        <w:div w:id="1370909554">
          <w:marLeft w:val="0"/>
          <w:marRight w:val="0"/>
          <w:marTop w:val="0"/>
          <w:marBottom w:val="0"/>
          <w:divBdr>
            <w:top w:val="none" w:sz="0" w:space="0" w:color="auto"/>
            <w:left w:val="none" w:sz="0" w:space="0" w:color="auto"/>
            <w:bottom w:val="none" w:sz="0" w:space="0" w:color="auto"/>
            <w:right w:val="none" w:sz="0" w:space="0" w:color="auto"/>
          </w:divBdr>
        </w:div>
        <w:div w:id="1956280094">
          <w:marLeft w:val="0"/>
          <w:marRight w:val="0"/>
          <w:marTop w:val="0"/>
          <w:marBottom w:val="0"/>
          <w:divBdr>
            <w:top w:val="none" w:sz="0" w:space="0" w:color="auto"/>
            <w:left w:val="none" w:sz="0" w:space="0" w:color="auto"/>
            <w:bottom w:val="none" w:sz="0" w:space="0" w:color="auto"/>
            <w:right w:val="none" w:sz="0" w:space="0" w:color="auto"/>
          </w:divBdr>
        </w:div>
        <w:div w:id="2070953540">
          <w:marLeft w:val="0"/>
          <w:marRight w:val="0"/>
          <w:marTop w:val="0"/>
          <w:marBottom w:val="0"/>
          <w:divBdr>
            <w:top w:val="none" w:sz="0" w:space="0" w:color="auto"/>
            <w:left w:val="none" w:sz="0" w:space="0" w:color="auto"/>
            <w:bottom w:val="none" w:sz="0" w:space="0" w:color="auto"/>
            <w:right w:val="none" w:sz="0" w:space="0" w:color="auto"/>
          </w:divBdr>
        </w:div>
        <w:div w:id="1376469158">
          <w:marLeft w:val="0"/>
          <w:marRight w:val="0"/>
          <w:marTop w:val="0"/>
          <w:marBottom w:val="0"/>
          <w:divBdr>
            <w:top w:val="none" w:sz="0" w:space="0" w:color="auto"/>
            <w:left w:val="none" w:sz="0" w:space="0" w:color="auto"/>
            <w:bottom w:val="none" w:sz="0" w:space="0" w:color="auto"/>
            <w:right w:val="none" w:sz="0" w:space="0" w:color="auto"/>
          </w:divBdr>
        </w:div>
        <w:div w:id="312219578">
          <w:marLeft w:val="0"/>
          <w:marRight w:val="0"/>
          <w:marTop w:val="0"/>
          <w:marBottom w:val="0"/>
          <w:divBdr>
            <w:top w:val="none" w:sz="0" w:space="0" w:color="auto"/>
            <w:left w:val="none" w:sz="0" w:space="0" w:color="auto"/>
            <w:bottom w:val="none" w:sz="0" w:space="0" w:color="auto"/>
            <w:right w:val="none" w:sz="0" w:space="0" w:color="auto"/>
          </w:divBdr>
        </w:div>
        <w:div w:id="5558986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14</Pages>
  <Words>2111</Words>
  <Characters>12034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Nematullah Amiri</dc:creator>
  <cp:keywords/>
  <dc:description/>
  <cp:lastModifiedBy>Nematullah Amiri</cp:lastModifiedBy>
  <cp:revision>16</cp:revision>
  <dcterms:created xsi:type="dcterms:W3CDTF">2026-05-12T11:17:00Z</dcterms:created>
  <dcterms:modified xsi:type="dcterms:W3CDTF">2026-05-13T06:09:00Z</dcterms:modified>
</cp:coreProperties>
</file>