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B96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</w:p>
    <w:p w:rsidR="00874B96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</w:p>
    <w:p w:rsidR="00874B96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</w:p>
    <w:p w:rsidR="00874B96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</w:p>
    <w:p w:rsidR="00874B96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</w:p>
    <w:p w:rsidR="00874B96" w:rsidRPr="00874B96" w:rsidRDefault="007F7A83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0F1115"/>
          <w:sz w:val="56"/>
          <w:szCs w:val="56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56"/>
          <w:szCs w:val="56"/>
        </w:rPr>
        <w:t>US STOCK MARKET ANALYSIS</w:t>
      </w:r>
    </w:p>
    <w:p w:rsidR="007F7A83" w:rsidRPr="007F7A83" w:rsidRDefault="00874B96" w:rsidP="002E5CC7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0F1115"/>
          <w:sz w:val="24"/>
          <w:szCs w:val="24"/>
        </w:rPr>
      </w:pPr>
      <w:r w:rsidRPr="00874B96">
        <w:rPr>
          <w:rFonts w:ascii="Segoe UI" w:eastAsia="Times New Roman" w:hAnsi="Segoe UI" w:cs="Segoe UI"/>
          <w:color w:val="0F1115"/>
          <w:sz w:val="24"/>
          <w:szCs w:val="24"/>
        </w:rPr>
        <w:t>DISCRIPTIVE,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DIAGNOSTIC, PREDICTIVE &amp; PRESCRIPTIVE</w:t>
      </w: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E2218A" w:rsidRDefault="00E2218A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E2218A" w:rsidRDefault="00E2218A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E2218A" w:rsidRDefault="00E2218A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874B96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Default="00874B96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Prepared by: Nematullah Amiri | PMP - Certified | Data Professional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Date: May 2026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Dataset: Daily prices and volumes (2020–2026) for 18 major US stocks</w:t>
      </w:r>
    </w:p>
    <w:p w:rsidR="008256E4" w:rsidRPr="007F7A83" w:rsidRDefault="008256E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627714" w:rsidRDefault="0062771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</w:p>
    <w:p w:rsidR="00627714" w:rsidRDefault="0062771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TABLE OF CONTENTS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Project Overview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Data Preparation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Descriptive Analytics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3.1 Total Returns &amp; Top/Bottom Performers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3.2 AAPL Daily Return Extremes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3.3 Volume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Price Divergence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3.4 Correlation Among Tech Giants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Diagnostic Analytics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4.1 Stationarity &amp; White Noise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4.2 Event Study – Worst Day (March 16, 2020)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4.3 Seasonality &amp; Residual Analysis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Predictive Analytics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5.1 ARIMA Price Forecast (No Edge)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5.2 GARCH Volatility Forecast (Strong Edge)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5.3 Random Forest Directional Model (Coin Flip)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Prescriptive Analytics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6.1 Mean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Variance vs. Risk Parity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6.2 Efficient Frontier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6.3 Trading Rule Evaluation – MA Crossover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6.4 Final Portfolio Recommendations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Key Recommendations</w:t>
      </w:r>
    </w:p>
    <w:p w:rsidR="007F7A83" w:rsidRP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Implementation Timeline</w:t>
      </w:r>
    </w:p>
    <w:p w:rsidR="007F7A83" w:rsidRDefault="007F7A83" w:rsidP="002E5CC7">
      <w:pPr>
        <w:numPr>
          <w:ilvl w:val="0"/>
          <w:numId w:val="1"/>
        </w:numPr>
        <w:shd w:val="clear" w:color="auto" w:fill="FFFFFF"/>
        <w:spacing w:after="0" w:line="36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Appendix – Code Snippets</w:t>
      </w:r>
    </w:p>
    <w:p w:rsidR="002E5CC7" w:rsidRDefault="002E5CC7" w:rsidP="002E5CC7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2E5CC7" w:rsidRDefault="002E5CC7" w:rsidP="002E5CC7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E2218A" w:rsidRDefault="00E2218A" w:rsidP="002E5CC7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E2218A" w:rsidRPr="007F7A83" w:rsidRDefault="00E2218A" w:rsidP="002E5CC7">
      <w:pPr>
        <w:shd w:val="clear" w:color="auto" w:fill="FFFFFF"/>
        <w:spacing w:after="0" w:line="36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A83" w:rsidRPr="007F7A83" w:rsidRDefault="007F7A83" w:rsidP="002E5CC7">
      <w:pPr>
        <w:numPr>
          <w:ilvl w:val="0"/>
          <w:numId w:val="2"/>
        </w:numPr>
        <w:shd w:val="clear" w:color="auto" w:fill="FFFFFF"/>
        <w:spacing w:after="0" w:line="240" w:lineRule="auto"/>
        <w:ind w:left="27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PROJECT OVERVIEW</w:t>
      </w:r>
    </w:p>
    <w:p w:rsidR="007F7A83" w:rsidRPr="007F7A83" w:rsidRDefault="007F7A83" w:rsidP="002E5CC7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>Business Problem:</w:t>
      </w:r>
      <w:r w:rsidR="002E5CC7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Investors and portfolio managers need to understand which stocks perform, whether price movements are predictable, and how to allocate capital to maximize risk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adjusted returns. The analysis reveals that daily returns of large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cap stocks (e.g., AAPL) are white noise – direction cannot be predicted – but volatility is highly predictable using GARCH models. Traditional trend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following rules (moving average crossover) severely underperform buy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and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hold.</w:t>
      </w:r>
    </w:p>
    <w:p w:rsidR="007F7A83" w:rsidRPr="007F7A83" w:rsidRDefault="002E5CC7" w:rsidP="002E5CC7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2E5CC7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>Goal: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Provide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data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driven insights and prescriptive asset allocation (risk parity) that reduces concentration risk and uses volatility forecasts for dynamic position sizing.</w:t>
      </w:r>
    </w:p>
    <w:p w:rsidR="007F7A83" w:rsidRPr="007F7A83" w:rsidRDefault="002E5CC7" w:rsidP="002E5CC7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2E5CC7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>Approach:</w:t>
      </w:r>
      <w:r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Full analytics maturity framework using Python (pandas, </w:t>
      </w:r>
      <w:proofErr w:type="spellStart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numpy</w:t>
      </w:r>
      <w:proofErr w:type="spellEnd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statsmodels</w:t>
      </w:r>
      <w:proofErr w:type="spellEnd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scikit</w:t>
      </w:r>
      <w:proofErr w:type="spellEnd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 xml:space="preserve">learn, arch, </w:t>
      </w:r>
      <w:proofErr w:type="spellStart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matplotlib</w:t>
      </w:r>
      <w:proofErr w:type="spellEnd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seaborn</w:t>
      </w:r>
      <w:proofErr w:type="spellEnd"/>
      <w:r w:rsidR="007F7A83" w:rsidRPr="007F7A83">
        <w:rPr>
          <w:rFonts w:ascii="Segoe UI" w:eastAsia="Times New Roman" w:hAnsi="Segoe UI" w:cs="Segoe UI"/>
          <w:color w:val="0F1115"/>
          <w:sz w:val="24"/>
          <w:szCs w:val="24"/>
        </w:rPr>
        <w:t>) – from descriptive to prescriptive.</w:t>
      </w: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A83" w:rsidRPr="007F7A83" w:rsidRDefault="007F7A83" w:rsidP="002E5CC7">
      <w:pPr>
        <w:numPr>
          <w:ilvl w:val="0"/>
          <w:numId w:val="3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DATA PREPARATION</w:t>
      </w:r>
    </w:p>
    <w:p w:rsid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Source: US_Stock_Prices_daily.csv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Period: January 2020 – May 2026 (approx. 1,600 trading days)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Tickers: AAPL, MSFT, GOOGL, AMZN, META, NVDA, TSLA, AVGO, LLY, CAT, DIS, BA, NKE, BIIB, EL, ABBV, JNJ</w:t>
      </w:r>
    </w:p>
    <w:p w:rsidR="002E5CC7" w:rsidRPr="007F7A83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Preprocessing steps:</w:t>
      </w:r>
    </w:p>
    <w:p w:rsidR="007F7A83" w:rsidRPr="007F7A83" w:rsidRDefault="007F7A83" w:rsidP="002E5CC7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Parse dates and set as index.</w:t>
      </w:r>
    </w:p>
    <w:p w:rsidR="007F7A83" w:rsidRPr="007F7A83" w:rsidRDefault="007F7A83" w:rsidP="002E5CC7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Handle missing values (forward fill).</w:t>
      </w:r>
    </w:p>
    <w:p w:rsidR="007F7A83" w:rsidRPr="007F7A83" w:rsidRDefault="007F7A83" w:rsidP="002E5CC7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Pivot for correlation and portfolio construction.</w:t>
      </w:r>
    </w:p>
    <w:p w:rsidR="007F7A83" w:rsidRPr="007F7A83" w:rsidRDefault="007F7A83" w:rsidP="002E5CC7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Compute daily returns (pct_</w:t>
      </w:r>
      <w:r w:rsidR="002E5CC7" w:rsidRPr="007F7A83">
        <w:rPr>
          <w:rFonts w:ascii="Segoe UI" w:eastAsia="Times New Roman" w:hAnsi="Segoe UI" w:cs="Segoe UI"/>
          <w:color w:val="0F1115"/>
          <w:sz w:val="24"/>
          <w:szCs w:val="24"/>
        </w:rPr>
        <w:t>change (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)).</w:t>
      </w:r>
    </w:p>
    <w:p w:rsidR="007F7A83" w:rsidRPr="007F7A83" w:rsidRDefault="007F7A83" w:rsidP="002E5CC7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Stationarity checks (ADF test) and differencing where needed.</w:t>
      </w:r>
    </w:p>
    <w:p w:rsidR="007F7A83" w:rsidRPr="007F7A83" w:rsidRDefault="007F7A83" w:rsidP="002E5CC7">
      <w:pPr>
        <w:numPr>
          <w:ilvl w:val="0"/>
          <w:numId w:val="5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DESCRIPTIVE ANALYTICS</w:t>
      </w:r>
    </w:p>
    <w:p w:rsid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Objective: Understand what happened – historical returns, extremes, correlations, and volume patterns.</w:t>
      </w:r>
    </w:p>
    <w:p w:rsidR="002E5CC7" w:rsidRPr="007F7A83" w:rsidRDefault="002E5CC7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3.1 Total Returns &amp; Top/Bottom Performers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Top 5 performers:</w:t>
      </w:r>
    </w:p>
    <w:p w:rsidR="002E5CC7" w:rsidRPr="004A2D18" w:rsidRDefault="002E5CC7" w:rsidP="004A2D18">
      <w:pPr>
        <w:pStyle w:val="ListParagraph"/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u w:val="single"/>
        </w:rPr>
      </w:pPr>
      <w:r w:rsidRPr="004A2D18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 xml:space="preserve">Ticker </w:t>
      </w:r>
      <w:r w:rsidR="004A2D18" w:rsidRPr="004A2D18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 xml:space="preserve">                 </w:t>
      </w:r>
      <w:r w:rsidRPr="004A2D18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>Total Return (%)</w:t>
      </w:r>
    </w:p>
    <w:p w:rsidR="002E5CC7" w:rsidRDefault="002E5CC7" w:rsidP="002E5CC7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 xml:space="preserve">NVDA 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 </w:t>
      </w:r>
      <w:r>
        <w:rPr>
          <w:rFonts w:ascii="Segoe UI" w:eastAsia="Times New Roman" w:hAnsi="Segoe UI" w:cs="Segoe UI"/>
          <w:color w:val="0F1115"/>
          <w:sz w:val="24"/>
          <w:szCs w:val="24"/>
        </w:rPr>
        <w:t>+3,134.6</w:t>
      </w:r>
    </w:p>
    <w:p w:rsidR="002E5CC7" w:rsidRDefault="002E5CC7" w:rsidP="002E5CC7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 xml:space="preserve">TSLA 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   </w:t>
      </w:r>
      <w:r>
        <w:rPr>
          <w:rFonts w:ascii="Segoe UI" w:eastAsia="Times New Roman" w:hAnsi="Segoe UI" w:cs="Segoe UI"/>
          <w:color w:val="0F1115"/>
          <w:sz w:val="24"/>
          <w:szCs w:val="24"/>
        </w:rPr>
        <w:t>+1,350.1</w:t>
      </w:r>
    </w:p>
    <w:p w:rsidR="002E5CC7" w:rsidRDefault="002E5CC7" w:rsidP="002E5CC7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AVGO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</w:t>
      </w:r>
      <w:r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</w:rPr>
        <w:t>+1,168.1</w:t>
      </w:r>
    </w:p>
    <w:p w:rsidR="002E5CC7" w:rsidRDefault="002E5CC7" w:rsidP="002E5CC7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 xml:space="preserve">LLY 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      </w:t>
      </w:r>
      <w:r>
        <w:rPr>
          <w:rFonts w:ascii="Segoe UI" w:eastAsia="Times New Roman" w:hAnsi="Segoe UI" w:cs="Segoe UI"/>
          <w:color w:val="0F1115"/>
          <w:sz w:val="24"/>
          <w:szCs w:val="24"/>
        </w:rPr>
        <w:t>+728.1</w:t>
      </w:r>
    </w:p>
    <w:p w:rsidR="007F7A83" w:rsidRPr="002E5CC7" w:rsidRDefault="007F7A83" w:rsidP="002E5CC7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E5CC7">
        <w:rPr>
          <w:rFonts w:ascii="Segoe UI" w:eastAsia="Times New Roman" w:hAnsi="Segoe UI" w:cs="Segoe UI"/>
          <w:color w:val="0F1115"/>
          <w:sz w:val="24"/>
          <w:szCs w:val="24"/>
        </w:rPr>
        <w:t xml:space="preserve">CAT </w:t>
      </w:r>
      <w:r w:rsidR="004A2D18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     </w:t>
      </w:r>
      <w:r w:rsidRPr="002E5CC7">
        <w:rPr>
          <w:rFonts w:ascii="Segoe UI" w:eastAsia="Times New Roman" w:hAnsi="Segoe UI" w:cs="Segoe UI"/>
          <w:color w:val="0F1115"/>
          <w:sz w:val="24"/>
          <w:szCs w:val="24"/>
        </w:rPr>
        <w:t>+492.9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Bottom 5 performers:</w:t>
      </w:r>
    </w:p>
    <w:p w:rsidR="00E2218A" w:rsidRPr="00E2218A" w:rsidRDefault="00E2218A" w:rsidP="00E2218A">
      <w:pPr>
        <w:pStyle w:val="ListParagraph"/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  <w:u w:val="single"/>
        </w:rPr>
      </w:pPr>
      <w:r w:rsidRPr="00E2218A">
        <w:rPr>
          <w:rFonts w:ascii="Segoe UI" w:eastAsia="Times New Roman" w:hAnsi="Segoe UI" w:cs="Segoe UI"/>
          <w:color w:val="0F1115"/>
          <w:sz w:val="24"/>
          <w:szCs w:val="24"/>
          <w:u w:val="single"/>
        </w:rPr>
        <w:t>Ticker                 Total Return (%)</w:t>
      </w:r>
    </w:p>
    <w:p w:rsidR="00E2218A" w:rsidRDefault="00E2218A" w:rsidP="00E2218A">
      <w:pPr>
        <w:pStyle w:val="ListParagraph"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EL                              –44.3</w:t>
      </w:r>
    </w:p>
    <w:p w:rsidR="00E2218A" w:rsidRDefault="00E2218A" w:rsidP="00E2218A">
      <w:pPr>
        <w:pStyle w:val="ListParagraph"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BIIB                            –34.3</w:t>
      </w:r>
    </w:p>
    <w:p w:rsidR="00E2218A" w:rsidRDefault="00E2218A" w:rsidP="00E2218A">
      <w:pPr>
        <w:pStyle w:val="ListParagraph"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NKE                           –33.7</w:t>
      </w:r>
    </w:p>
    <w:p w:rsidR="00E2218A" w:rsidRDefault="00E2218A" w:rsidP="00E2218A">
      <w:pPr>
        <w:pStyle w:val="ListParagraph"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BA                             –28.6</w:t>
      </w:r>
    </w:p>
    <w:p w:rsidR="007F7A83" w:rsidRPr="00E2218A" w:rsidRDefault="007F7A83" w:rsidP="00E2218A">
      <w:pPr>
        <w:pStyle w:val="ListParagraph"/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2218A">
        <w:rPr>
          <w:rFonts w:ascii="Segoe UI" w:eastAsia="Times New Roman" w:hAnsi="Segoe UI" w:cs="Segoe UI"/>
          <w:color w:val="0F1115"/>
          <w:sz w:val="24"/>
          <w:szCs w:val="24"/>
        </w:rPr>
        <w:t xml:space="preserve">DIS </w:t>
      </w:r>
      <w:r w:rsidR="00E2218A">
        <w:rPr>
          <w:rFonts w:ascii="Segoe UI" w:eastAsia="Times New Roman" w:hAnsi="Segoe UI" w:cs="Segoe UI"/>
          <w:color w:val="0F1115"/>
          <w:sz w:val="24"/>
          <w:szCs w:val="24"/>
        </w:rPr>
        <w:t xml:space="preserve">                           </w:t>
      </w:r>
      <w:r w:rsidRPr="00E2218A">
        <w:rPr>
          <w:rFonts w:ascii="Segoe UI" w:eastAsia="Times New Roman" w:hAnsi="Segoe UI" w:cs="Segoe UI"/>
          <w:color w:val="0F1115"/>
          <w:sz w:val="24"/>
          <w:szCs w:val="24"/>
        </w:rPr>
        <w:t>–24.5</w:t>
      </w:r>
    </w:p>
    <w:p w:rsidR="0008480E" w:rsidRDefault="0008480E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08480E" w:rsidRDefault="0008480E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3.2 AAPL Daily Return Extremes</w:t>
      </w:r>
    </w:p>
    <w:p w:rsidR="007F7A83" w:rsidRPr="007F7A83" w:rsidRDefault="007F7A83" w:rsidP="0008480E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Worst day: 2020-03-16 (–12.86%) – COVID crash</w:t>
      </w:r>
    </w:p>
    <w:p w:rsidR="0008480E" w:rsidRDefault="007F7A83" w:rsidP="0008480E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Best day: 2025-04-09 (+15.33%) – sharp rebound after a 9% drop</w:t>
      </w:r>
    </w:p>
    <w:p w:rsidR="007F7A83" w:rsidRPr="007F7A83" w:rsidRDefault="007F7A83" w:rsidP="0008480E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Volatility is asymmetric: large losses are followed by even larger gains.</w:t>
      </w:r>
    </w:p>
    <w:p w:rsidR="0008480E" w:rsidRDefault="0008480E" w:rsidP="0008480E">
      <w:pPr>
        <w:shd w:val="clear" w:color="auto" w:fill="FFFFFF"/>
        <w:spacing w:after="0" w:line="240" w:lineRule="auto"/>
        <w:jc w:val="center"/>
        <w:rPr>
          <w:rFonts w:ascii="Segoe UI" w:eastAsia="Times New Roman" w:hAnsi="Segoe UI" w:cs="Segoe UI"/>
          <w:color w:val="0F1115"/>
          <w:sz w:val="24"/>
          <w:szCs w:val="24"/>
        </w:rPr>
      </w:pPr>
      <w:r w:rsidRPr="0008480E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48350" cy="3128344"/>
            <wp:effectExtent l="19050" t="19050" r="19050" b="15240"/>
            <wp:docPr id="1" name="Picture 1" descr="C:\Users\Namiri\Pictures\US Stock market\US-Stock-Market-Analysis-ipynb-Colab-05-24-2026_11_26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Namiri\Pictures\US Stock market\US-Stock-Market-Analysis-ipynb-Colab-05-24-2026_11_26_AM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7969" cy="31441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08480E" w:rsidRDefault="0008480E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3.3 Volume</w:t>
      </w: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noBreakHyphen/>
        <w:t>Price Divergence (AAPL)</w:t>
      </w:r>
    </w:p>
    <w:p w:rsidR="008E7BC5" w:rsidRDefault="008E7BC5" w:rsidP="008E7BC5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Signal % of Days</w:t>
      </w:r>
    </w:p>
    <w:p w:rsidR="008E7BC5" w:rsidRDefault="008E7BC5" w:rsidP="008E7BC5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Normal (no divergence) 45.6%</w:t>
      </w:r>
    </w:p>
    <w:p w:rsidR="008E7BC5" w:rsidRDefault="007F7A83" w:rsidP="008E7BC5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8E7BC5">
        <w:rPr>
          <w:rFonts w:ascii="Segoe UI" w:eastAsia="Times New Roman" w:hAnsi="Segoe UI" w:cs="Segoe UI"/>
          <w:color w:val="0F1115"/>
          <w:sz w:val="24"/>
          <w:szCs w:val="24"/>
        </w:rPr>
        <w:t>Price Up /</w:t>
      </w:r>
      <w:r w:rsidR="008E7BC5">
        <w:rPr>
          <w:rFonts w:ascii="Segoe UI" w:eastAsia="Times New Roman" w:hAnsi="Segoe UI" w:cs="Segoe UI"/>
          <w:color w:val="0F1115"/>
          <w:sz w:val="24"/>
          <w:szCs w:val="24"/>
        </w:rPr>
        <w:t xml:space="preserve"> Volume Down (weak rally) 30.2%</w:t>
      </w:r>
    </w:p>
    <w:p w:rsidR="007F7A83" w:rsidRPr="008E7BC5" w:rsidRDefault="007F7A83" w:rsidP="008E7BC5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8E7BC5">
        <w:rPr>
          <w:rFonts w:ascii="Segoe UI" w:eastAsia="Times New Roman" w:hAnsi="Segoe UI" w:cs="Segoe UI"/>
          <w:color w:val="0F1115"/>
          <w:sz w:val="24"/>
          <w:szCs w:val="24"/>
        </w:rPr>
        <w:t>Price Down / Volume Up (distribution) 24.2%</w:t>
      </w:r>
    </w:p>
    <w:p w:rsidR="007F7A83" w:rsidRDefault="0070285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02853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48350" cy="2276362"/>
            <wp:effectExtent l="19050" t="19050" r="19050" b="10160"/>
            <wp:docPr id="3" name="Picture 3" descr="C:\Users\Namiri\Pictures\US Stock market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Namiri\Pictures\US Stock market\6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3503" cy="22861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02853" w:rsidRPr="007F7A83" w:rsidRDefault="00702853" w:rsidP="00702853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Insight: Over half of trading days show divergence. Recent price highs are accompanied by many “weak rally” signals – caution warranted.</w:t>
      </w:r>
    </w:p>
    <w:p w:rsidR="0008480E" w:rsidRDefault="0008480E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627714" w:rsidRDefault="0062771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627714" w:rsidRPr="007F7A83" w:rsidRDefault="0062771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 xml:space="preserve">3.4 Correlation </w:t>
      </w:r>
      <w:r w:rsidR="0063647A"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among</w:t>
      </w: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Tech Giants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Daily return correlation matrix (AAPL, MSFT, GOOGL, AMZN, META):</w:t>
      </w:r>
    </w:p>
    <w:p w:rsidR="0063647A" w:rsidRDefault="0063647A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AAPL AMZN GOOGL META MSFT</w:t>
      </w:r>
    </w:p>
    <w:p w:rsidR="0063647A" w:rsidRDefault="0063647A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AAPL 1.00 0.58 0.62 0.54 0.69</w:t>
      </w:r>
    </w:p>
    <w:p w:rsidR="0063647A" w:rsidRDefault="0063647A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AMZN 0.58 1.00 0.63 0.61 0.66</w:t>
      </w:r>
    </w:p>
    <w:p w:rsidR="0063647A" w:rsidRDefault="0063647A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GOOGL 0.62 0.63 1.00 0.61 0.68</w:t>
      </w:r>
    </w:p>
    <w:p w:rsidR="0063647A" w:rsidRDefault="0063647A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META 0.54 0.61 0.61 1.00 0.60</w:t>
      </w:r>
    </w:p>
    <w:p w:rsidR="007F7A83" w:rsidRDefault="007F7A83" w:rsidP="0063647A">
      <w:pPr>
        <w:pStyle w:val="ListParagraph"/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63647A">
        <w:rPr>
          <w:rFonts w:ascii="Segoe UI" w:eastAsia="Times New Roman" w:hAnsi="Segoe UI" w:cs="Segoe UI"/>
          <w:color w:val="0F1115"/>
          <w:sz w:val="24"/>
          <w:szCs w:val="24"/>
        </w:rPr>
        <w:t>MSFT 0.69 0.66 0.68 0.60 1.00</w:t>
      </w:r>
    </w:p>
    <w:p w:rsidR="0063647A" w:rsidRPr="0063647A" w:rsidRDefault="0063647A" w:rsidP="0063647A">
      <w:pPr>
        <w:pStyle w:val="ListParagraph"/>
        <w:shd w:val="clear" w:color="auto" w:fill="FFFFFF"/>
        <w:spacing w:after="0" w:line="240" w:lineRule="auto"/>
        <w:ind w:left="90" w:hanging="90"/>
        <w:rPr>
          <w:rFonts w:ascii="Segoe UI" w:eastAsia="Times New Roman" w:hAnsi="Segoe UI" w:cs="Segoe UI"/>
          <w:color w:val="0F1115"/>
          <w:sz w:val="24"/>
          <w:szCs w:val="24"/>
        </w:rPr>
      </w:pPr>
      <w:r w:rsidRPr="0063647A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95975" cy="4610100"/>
            <wp:effectExtent l="19050" t="19050" r="28575" b="19050"/>
            <wp:docPr id="4" name="Picture 4" descr="C:\Users\Namiri\Pictures\US Stock market\US-Stock-Market-Analysis-ipynb-Colab-05-24-2026_03_01_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Namiri\Pictures\US Stock market\US-Stock-Market-Analysis-ipynb-Colab-05-24-2026_03_01_PM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610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Insight: All correlations positive (0.54–0.69). No diversification within tech mega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caps. Cross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correlation (AAPL → MSFT) is significant only at lag 0 – no lead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lag relationship.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A83" w:rsidRPr="007F7A83" w:rsidRDefault="007F7A83" w:rsidP="00DC1E54">
      <w:pPr>
        <w:numPr>
          <w:ilvl w:val="0"/>
          <w:numId w:val="7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DIAGNOSTIC ANALYTICS</w:t>
      </w:r>
    </w:p>
    <w:p w:rsidR="007F7A83" w:rsidRDefault="007F7A83" w:rsidP="00DC1E54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Objective: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Uncover root statistical properties – stationarity, autocorrelation, seasonal patterns, and event impact.</w:t>
      </w:r>
    </w:p>
    <w:p w:rsidR="00DC1E54" w:rsidRPr="007F7A83" w:rsidRDefault="00DC1E54" w:rsidP="00DC1E54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4.1 Stationarity &amp; White Noise</w:t>
      </w:r>
    </w:p>
    <w:p w:rsidR="007F7A83" w:rsidRPr="007F7A83" w:rsidRDefault="007F7A83" w:rsidP="00DC1E54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ADF test on AAPL closing price: p=0.78 → non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stationary (unit root).</w:t>
      </w:r>
    </w:p>
    <w:p w:rsidR="007F7A83" w:rsidRPr="007F7A83" w:rsidRDefault="007F7A83" w:rsidP="00DC1E54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ADF test on daily returns: p≈0.00 → stationary.</w:t>
      </w:r>
    </w:p>
    <w:p w:rsidR="007F7A83" w:rsidRPr="007F7A83" w:rsidRDefault="007F7A83" w:rsidP="00DC1E54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ACF/PACF of returns: no significant autocorrelation at any lag &gt;0 → white noise.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Implication: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Past returns do not linearly predict future returns.</w:t>
      </w:r>
    </w:p>
    <w:p w:rsidR="007F7A83" w:rsidRDefault="007F7A83" w:rsidP="00DC1E5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DC1E54" w:rsidRDefault="00423DE1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23DE1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95975" cy="4079875"/>
            <wp:effectExtent l="19050" t="19050" r="28575" b="15875"/>
            <wp:docPr id="9" name="Picture 9" descr="C:\Users\Namiri\Pictures\US Stock market\US-Stock-Market-Analysis-ipynb-Colab-05-25-2026_11_55_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Namiri\Pictures\US Stock market\US-Stock-Market-Analysis-ipynb-Colab-05-25-2026_11_55_AM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9" cy="407987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C1E54" w:rsidRDefault="00DC1E5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DC1E54" w:rsidRPr="007F7A83" w:rsidRDefault="00DC1E5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4.2 Event Study – Worst Day (March 16, 2020)</w:t>
      </w:r>
    </w:p>
    <w:p w:rsidR="007F7A83" w:rsidRPr="007F7A83" w:rsidRDefault="007F7A83" w:rsidP="00DC1E54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Price fell from </w:t>
      </w:r>
      <w:r w:rsidRPr="007F7A83">
        <w:rPr>
          <w:rFonts w:ascii="Times New Roman" w:eastAsia="Times New Roman" w:hAnsi="Times New Roman" w:cs="Times New Roman"/>
          <w:color w:val="0F1115"/>
          <w:sz w:val="29"/>
          <w:szCs w:val="29"/>
        </w:rPr>
        <w:t>70</w:t>
      </w:r>
      <w:r w:rsidR="00DC1E54">
        <w:rPr>
          <w:rFonts w:ascii="Times New Roman" w:eastAsia="Times New Roman" w:hAnsi="Times New Roman" w:cs="Times New Roman"/>
          <w:color w:val="0F1115"/>
          <w:sz w:val="29"/>
          <w:szCs w:val="29"/>
        </w:rPr>
        <w:t xml:space="preserve"> </w:t>
      </w:r>
      <w:r w:rsidRPr="007F7A83">
        <w:rPr>
          <w:rFonts w:ascii="KaTeX_Math" w:eastAsia="Times New Roman" w:hAnsi="KaTeX_Math" w:cs="Times New Roman"/>
          <w:i/>
          <w:iCs/>
          <w:color w:val="0F1115"/>
          <w:sz w:val="29"/>
          <w:szCs w:val="29"/>
        </w:rPr>
        <w:t>to</w:t>
      </w:r>
      <w:r w:rsidR="00DC1E54">
        <w:rPr>
          <w:rFonts w:ascii="KaTeX_Math" w:eastAsia="Times New Roman" w:hAnsi="KaTeX_Math" w:cs="Times New Roman"/>
          <w:i/>
          <w:iCs/>
          <w:color w:val="0F1115"/>
          <w:sz w:val="29"/>
          <w:szCs w:val="29"/>
        </w:rPr>
        <w:t xml:space="preserve"> 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60 on event day, bottomed near $55 a week later.</w:t>
      </w:r>
    </w:p>
    <w:p w:rsidR="007F7A83" w:rsidRPr="007F7A83" w:rsidRDefault="007F7A83" w:rsidP="00DC1E54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Volume peaked before the worst day (418M shares on March 12).</w:t>
      </w:r>
    </w:p>
    <w:p w:rsidR="007F7A83" w:rsidRDefault="007F7A83" w:rsidP="00DC1E54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Recovery began on March 24 (+10.03%) after Fed unlimited QE.</w:t>
      </w:r>
    </w:p>
    <w:p w:rsidR="00DC1E54" w:rsidRPr="007F7A83" w:rsidRDefault="00DC1E54" w:rsidP="00DC1E54">
      <w:pPr>
        <w:shd w:val="clear" w:color="auto" w:fill="FFFFFF"/>
        <w:spacing w:after="0" w:line="240" w:lineRule="auto"/>
        <w:ind w:left="-180" w:firstLine="180"/>
        <w:rPr>
          <w:rFonts w:ascii="Segoe UI" w:eastAsia="Times New Roman" w:hAnsi="Segoe UI" w:cs="Segoe UI"/>
          <w:color w:val="0F1115"/>
          <w:sz w:val="24"/>
          <w:szCs w:val="24"/>
        </w:rPr>
      </w:pPr>
      <w:r w:rsidRPr="00DC1E54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95975" cy="2523490"/>
            <wp:effectExtent l="19050" t="19050" r="28575" b="10160"/>
            <wp:docPr id="5" name="Picture 5" descr="C:\Users\Namiri\Pictures\US Stock market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Namiri\Pictures\US Stock market\7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213" cy="25300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5275E" w:rsidRDefault="00F5275E" w:rsidP="00DC1E5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F5275E">
        <w:rPr>
          <w:rFonts w:ascii="Segoe UI" w:eastAsia="Times New Roman" w:hAnsi="Segoe UI" w:cs="Segoe UI"/>
          <w:noProof/>
          <w:color w:val="0F1115"/>
          <w:sz w:val="24"/>
          <w:szCs w:val="24"/>
        </w:rPr>
        <w:lastRenderedPageBreak/>
        <w:drawing>
          <wp:inline distT="0" distB="0" distL="0" distR="0">
            <wp:extent cx="5895975" cy="1188720"/>
            <wp:effectExtent l="19050" t="19050" r="28575" b="11430"/>
            <wp:docPr id="6" name="Picture 6" descr="C:\Users\Namiri\Pictures\US Stock market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Namiri\Pictures\US Stock market\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1188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F7A83" w:rsidRPr="007F7A83" w:rsidRDefault="007F7A83" w:rsidP="005E7B93">
      <w:p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Insight: The worst day is rarely the best buying opportunity – wait for a strong follow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through day.</w:t>
      </w:r>
    </w:p>
    <w:p w:rsidR="00DC1E54" w:rsidRPr="007F7A83" w:rsidRDefault="00DC1E5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4.3 Seasonality &amp; Residual Analysis</w:t>
      </w:r>
    </w:p>
    <w:p w:rsidR="007F7A83" w:rsidRPr="007F7A83" w:rsidRDefault="007F7A83" w:rsidP="003954C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Seasonal decomposition (additive, period=252 trading days):</w:t>
      </w:r>
    </w:p>
    <w:p w:rsidR="007F7A83" w:rsidRPr="007F7A83" w:rsidRDefault="007F7A83" w:rsidP="003954C0">
      <w:pPr>
        <w:numPr>
          <w:ilvl w:val="1"/>
          <w:numId w:val="28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Strong upward trend.</w:t>
      </w:r>
    </w:p>
    <w:p w:rsidR="007F7A83" w:rsidRPr="007F7A83" w:rsidRDefault="007F7A83" w:rsidP="003954C0">
      <w:pPr>
        <w:numPr>
          <w:ilvl w:val="1"/>
          <w:numId w:val="28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Weak but stable annual seasonality (e.g., iPhone launch lift in Sept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Oct).</w:t>
      </w:r>
    </w:p>
    <w:p w:rsidR="007F7A83" w:rsidRPr="007F7A83" w:rsidRDefault="007F7A83" w:rsidP="003954C0">
      <w:pPr>
        <w:numPr>
          <w:ilvl w:val="1"/>
          <w:numId w:val="28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Residuals show volatility clustering – justifies GARCH modeling.</w:t>
      </w:r>
    </w:p>
    <w:p w:rsidR="007F7A83" w:rsidRDefault="00722532" w:rsidP="007225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532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67400" cy="2095500"/>
            <wp:effectExtent l="19050" t="19050" r="19050" b="19050"/>
            <wp:docPr id="7" name="Picture 7" descr="C:\Users\Namiri\Pictures\US Stock market\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Namiri\Pictures\US Stock market\9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086" cy="20957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22532" w:rsidRDefault="00722532" w:rsidP="007225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532" w:rsidRDefault="00722532" w:rsidP="007225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532" w:rsidRDefault="00722532" w:rsidP="007225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532" w:rsidRPr="007F7A83" w:rsidRDefault="00722532" w:rsidP="007225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532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857875" cy="2125345"/>
            <wp:effectExtent l="19050" t="19050" r="28575" b="27305"/>
            <wp:docPr id="8" name="Picture 8" descr="C:\Users\Namiri\Pictures\US Stock market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Namiri\Pictures\US Stock market\1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994" cy="21257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22532" w:rsidRDefault="00722532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722532">
      <w:p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7F7A83" w:rsidRPr="007F7A83" w:rsidRDefault="007F7A83" w:rsidP="00722532">
      <w:pPr>
        <w:numPr>
          <w:ilvl w:val="0"/>
          <w:numId w:val="11"/>
        </w:numPr>
        <w:shd w:val="clear" w:color="auto" w:fill="FFFFFF"/>
        <w:spacing w:after="0" w:line="240" w:lineRule="auto"/>
        <w:ind w:left="36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lastRenderedPageBreak/>
        <w:t>PREDICTIVE ANALYTICS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Objective: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Forecast future prices, returns, and volatility.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5.1 ARIMA Price Forecast (AAPL)</w:t>
      </w:r>
    </w:p>
    <w:p w:rsidR="007F7A83" w:rsidRPr="007F7A83" w:rsidRDefault="007F7A83" w:rsidP="00181FFA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Model: </w:t>
      </w:r>
      <w:r w:rsidR="00181FFA" w:rsidRPr="007F7A83">
        <w:rPr>
          <w:rFonts w:ascii="Segoe UI" w:eastAsia="Times New Roman" w:hAnsi="Segoe UI" w:cs="Segoe UI"/>
          <w:color w:val="0F1115"/>
          <w:sz w:val="24"/>
          <w:szCs w:val="24"/>
        </w:rPr>
        <w:t>ARIMA (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5</w:t>
      </w:r>
      <w:r w:rsidR="00181FFA" w:rsidRPr="007F7A83">
        <w:rPr>
          <w:rFonts w:ascii="Segoe UI" w:eastAsia="Times New Roman" w:hAnsi="Segoe UI" w:cs="Segoe UI"/>
          <w:color w:val="0F1115"/>
          <w:sz w:val="24"/>
          <w:szCs w:val="24"/>
        </w:rPr>
        <w:t>, 1, 0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) – all AR coefficients insignificant (p&gt;0.3).</w:t>
      </w:r>
    </w:p>
    <w:p w:rsidR="007F7A83" w:rsidRPr="007F7A83" w:rsidRDefault="007F7A83" w:rsidP="00181FFA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Test MAE</w:t>
      </w:r>
      <w:r w:rsidR="00181FFA">
        <w:rPr>
          <w:rFonts w:ascii="Segoe UI" w:eastAsia="Times New Roman" w:hAnsi="Segoe UI" w:cs="Segoe UI"/>
          <w:color w:val="0F1115"/>
          <w:sz w:val="24"/>
          <w:szCs w:val="24"/>
        </w:rPr>
        <w:t>:</w:t>
      </w:r>
      <w:r w:rsidR="00181FFA" w:rsidRPr="007F7A83">
        <w:rPr>
          <w:rFonts w:ascii="Times New Roman" w:eastAsia="Times New Roman" w:hAnsi="Times New Roman" w:cs="Times New Roman"/>
          <w:color w:val="0F1115"/>
          <w:sz w:val="29"/>
          <w:szCs w:val="29"/>
        </w:rPr>
        <w:t xml:space="preserve"> 23.08;</w:t>
      </w:r>
      <w:r w:rsidR="00181FFA" w:rsidRPr="007F7A83">
        <w:rPr>
          <w:rFonts w:ascii="KaTeX_Math" w:eastAsia="Times New Roman" w:hAnsi="KaTeX_Math" w:cs="Times New Roman"/>
          <w:i/>
          <w:iCs/>
          <w:color w:val="0F1115"/>
          <w:sz w:val="29"/>
          <w:szCs w:val="29"/>
        </w:rPr>
        <w:t xml:space="preserve"> RMSE: 27.36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7F7A83" w:rsidRPr="007F7A83" w:rsidRDefault="007F7A83" w:rsidP="00181FFA">
      <w:pPr>
        <w:numPr>
          <w:ilvl w:val="0"/>
          <w:numId w:val="2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Forecast lagged behind actual rising market.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Conclusion: ARIMA adds no value over a random walk.</w:t>
      </w:r>
    </w:p>
    <w:p w:rsidR="007F7A83" w:rsidRPr="007F7A83" w:rsidRDefault="008256E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8256E4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38825" cy="2867025"/>
            <wp:effectExtent l="19050" t="19050" r="28575" b="28575"/>
            <wp:docPr id="2" name="Picture 2" descr="C:\Users\Namiri\Pictures\US Stock market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Namiri\Pictures\US Stock market\1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913" cy="286706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F7A83"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5.2 GARCH Volatility Forecast (AAPL Returns)</w:t>
      </w:r>
    </w:p>
    <w:p w:rsidR="007F7A83" w:rsidRPr="007F7A83" w:rsidRDefault="007F7A83" w:rsidP="008256E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Model: </w:t>
      </w:r>
      <w:r w:rsidR="008256E4" w:rsidRPr="007F7A83">
        <w:rPr>
          <w:rFonts w:ascii="Segoe UI" w:eastAsia="Times New Roman" w:hAnsi="Segoe UI" w:cs="Segoe UI"/>
          <w:color w:val="0F1115"/>
          <w:sz w:val="24"/>
          <w:szCs w:val="24"/>
        </w:rPr>
        <w:t>GARCH (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1</w:t>
      </w:r>
      <w:r w:rsidR="008256E4" w:rsidRPr="007F7A83">
        <w:rPr>
          <w:rFonts w:ascii="Segoe UI" w:eastAsia="Times New Roman" w:hAnsi="Segoe UI" w:cs="Segoe UI"/>
          <w:color w:val="0F1115"/>
          <w:sz w:val="24"/>
          <w:szCs w:val="24"/>
        </w:rPr>
        <w:t>, 1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)</w:t>
      </w:r>
    </w:p>
    <w:p w:rsidR="007F7A83" w:rsidRPr="007F7A83" w:rsidRDefault="007F7A83" w:rsidP="008256E4">
      <w:pPr>
        <w:numPr>
          <w:ilvl w:val="1"/>
          <w:numId w:val="30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α (shock persistence) = 0.0845 (p=0.010)</w:t>
      </w:r>
    </w:p>
    <w:p w:rsidR="007F7A83" w:rsidRPr="007F7A83" w:rsidRDefault="007F7A83" w:rsidP="008256E4">
      <w:pPr>
        <w:numPr>
          <w:ilvl w:val="1"/>
          <w:numId w:val="30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β (volatility persistence) = 0.8841 (p&lt;0.001)</w:t>
      </w:r>
    </w:p>
    <w:p w:rsidR="007F7A83" w:rsidRPr="007F7A83" w:rsidRDefault="007F7A83" w:rsidP="008256E4">
      <w:pPr>
        <w:numPr>
          <w:ilvl w:val="1"/>
          <w:numId w:val="30"/>
        </w:numPr>
        <w:shd w:val="clear" w:color="auto" w:fill="FFFFFF"/>
        <w:tabs>
          <w:tab w:val="clear" w:pos="1440"/>
        </w:tabs>
        <w:spacing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gramStart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α+</w:t>
      </w:r>
      <w:proofErr w:type="gramEnd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β = 0.9686 → high persistence, half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life ≈ 22 days.</w:t>
      </w:r>
    </w:p>
    <w:p w:rsidR="007F7A83" w:rsidRPr="007F7A83" w:rsidRDefault="007F7A83" w:rsidP="008256E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Out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of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sample forecast tracks 20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day realized volatility very well.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Conclusion: Volatility is highly predictable – use for risk management.</w:t>
      </w:r>
    </w:p>
    <w:p w:rsidR="008256E4" w:rsidRDefault="008256E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8256E4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48350" cy="2688590"/>
            <wp:effectExtent l="19050" t="19050" r="19050" b="16510"/>
            <wp:docPr id="10" name="Picture 10" descr="C:\Users\Namiri\Pictures\US Stock market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Namiri\Pictures\US Stock market\13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060" cy="26889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256E4" w:rsidRDefault="008256E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8256E4" w:rsidRDefault="008256E4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5.3 Random Forest Directional Model</w:t>
      </w:r>
    </w:p>
    <w:p w:rsidR="007F7A83" w:rsidRPr="007F7A83" w:rsidRDefault="007F7A83" w:rsidP="008256E4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Features: lagged return, volume change, 5d volatility, 20d volatility.</w:t>
      </w:r>
    </w:p>
    <w:p w:rsidR="007F7A83" w:rsidRPr="007F7A83" w:rsidRDefault="007F7A83" w:rsidP="008256E4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Target: next day up/down.</w:t>
      </w:r>
    </w:p>
    <w:p w:rsidR="007F7A83" w:rsidRPr="007F7A83" w:rsidRDefault="007F7A83" w:rsidP="008256E4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Accuracy: 50.8% (barely above coin flip).</w:t>
      </w:r>
    </w:p>
    <w:p w:rsidR="007F7A83" w:rsidRPr="007F7A83" w:rsidRDefault="007F7A83" w:rsidP="008256E4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Precision (Up): 0.54; F1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score (Up): 0.53.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Conclusion: Even non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linear models cannot predict daily direction for large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cap stocks.</w:t>
      </w:r>
    </w:p>
    <w:p w:rsidR="007F7A83" w:rsidRPr="007F7A83" w:rsidRDefault="008254A9" w:rsidP="00F00C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54A9">
        <w:rPr>
          <w:rFonts w:ascii="Segoe UI" w:eastAsia="Times New Roman" w:hAnsi="Segoe UI" w:cs="Segoe UI"/>
          <w:noProof/>
          <w:color w:val="0F1115"/>
          <w:sz w:val="24"/>
          <w:szCs w:val="24"/>
        </w:rPr>
        <w:drawing>
          <wp:inline distT="0" distB="0" distL="0" distR="0">
            <wp:extent cx="5886450" cy="4181475"/>
            <wp:effectExtent l="19050" t="19050" r="19050" b="28575"/>
            <wp:docPr id="11" name="Picture 11" descr="C:\Users\Namiri\Pictures\US Stock market\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Namiri\Pictures\US Stock market\14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4181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F7A83" w:rsidRPr="00AD065E" w:rsidRDefault="007F7A83" w:rsidP="00AD065E">
      <w:pPr>
        <w:numPr>
          <w:ilvl w:val="0"/>
          <w:numId w:val="15"/>
        </w:numPr>
        <w:shd w:val="clear" w:color="auto" w:fill="FFFFFF"/>
        <w:spacing w:after="0" w:line="240" w:lineRule="auto"/>
        <w:ind w:left="27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AD065E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PRESCRIPTIVE ANALYTICS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Objective: Determine optimal portfolio allocation and trading rules.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6.1 Mean</w:t>
      </w:r>
      <w:r w:rsidRPr="00AD065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noBreakHyphen/>
        <w:t>Variance vs. Risk Parity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(6 assets: AAPL, ABBV, AMZN, GOOGL, JNJ, MSFT)</w:t>
      </w:r>
    </w:p>
    <w:p w:rsidR="00AD065E" w:rsidRPr="00AD065E" w:rsidRDefault="007F7A83" w:rsidP="00AD065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>Max Sh</w:t>
      </w:r>
      <w:r w:rsidR="00AD065E" w:rsidRPr="00AD065E">
        <w:rPr>
          <w:rFonts w:ascii="Segoe UI" w:eastAsia="Times New Roman" w:hAnsi="Segoe UI" w:cs="Segoe UI"/>
          <w:color w:val="0F1115"/>
          <w:sz w:val="24"/>
          <w:szCs w:val="24"/>
        </w:rPr>
        <w:t>arpe (Mean</w:t>
      </w:r>
      <w:r w:rsidR="00AD065E" w:rsidRPr="00AD065E">
        <w:rPr>
          <w:rFonts w:ascii="Segoe UI" w:eastAsia="Times New Roman" w:hAnsi="Segoe UI" w:cs="Segoe UI"/>
          <w:color w:val="0F1115"/>
          <w:sz w:val="24"/>
          <w:szCs w:val="24"/>
        </w:rPr>
        <w:noBreakHyphen/>
        <w:t>Variance) portfolio:</w:t>
      </w:r>
    </w:p>
    <w:p w:rsidR="00AD065E" w:rsidRDefault="007F7A83" w:rsidP="00AD065E">
      <w:pPr>
        <w:pStyle w:val="ListParagraph"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 xml:space="preserve">Weights: MSFT 41.8%, AMZN 31.7%, AAPL 14.5%, </w:t>
      </w:r>
      <w:r w:rsidR="00AD065E">
        <w:rPr>
          <w:rFonts w:ascii="Segoe UI" w:eastAsia="Times New Roman" w:hAnsi="Segoe UI" w:cs="Segoe UI"/>
          <w:color w:val="0F1115"/>
          <w:sz w:val="24"/>
          <w:szCs w:val="24"/>
        </w:rPr>
        <w:t>ABBV 12.0%, GOOGL 0%, JNJ 0%</w:t>
      </w:r>
    </w:p>
    <w:p w:rsidR="007F7A83" w:rsidRPr="00AD065E" w:rsidRDefault="007F7A83" w:rsidP="00AD065E">
      <w:pPr>
        <w:pStyle w:val="ListParagraph"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>Annual return: 24.5%, volatility: 20.5%, Sharpe: 1.19</w:t>
      </w:r>
    </w:p>
    <w:p w:rsidR="00AD065E" w:rsidRPr="00F00C33" w:rsidRDefault="007F7A83" w:rsidP="00F00C33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F00C33">
        <w:rPr>
          <w:rFonts w:ascii="Segoe UI" w:eastAsia="Times New Roman" w:hAnsi="Segoe UI" w:cs="Segoe UI"/>
          <w:color w:val="0F1115"/>
          <w:sz w:val="24"/>
          <w:szCs w:val="24"/>
        </w:rPr>
        <w:t>Risk Parity (Equa</w:t>
      </w:r>
      <w:r w:rsidR="00AD065E" w:rsidRPr="00F00C33">
        <w:rPr>
          <w:rFonts w:ascii="Segoe UI" w:eastAsia="Times New Roman" w:hAnsi="Segoe UI" w:cs="Segoe UI"/>
          <w:color w:val="0F1115"/>
          <w:sz w:val="24"/>
          <w:szCs w:val="24"/>
        </w:rPr>
        <w:t>l risk contribution) portfolio:</w:t>
      </w:r>
    </w:p>
    <w:p w:rsidR="00AD065E" w:rsidRDefault="007F7A83" w:rsidP="00AD065E">
      <w:pPr>
        <w:pStyle w:val="ListParagraph"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>Weights: ABBV 26.8%, MSFT 21.3%, JNJ 13.2%, AMZN</w:t>
      </w:r>
      <w:r w:rsidR="00AD065E">
        <w:rPr>
          <w:rFonts w:ascii="Segoe UI" w:eastAsia="Times New Roman" w:hAnsi="Segoe UI" w:cs="Segoe UI"/>
          <w:color w:val="0F1115"/>
          <w:sz w:val="24"/>
          <w:szCs w:val="24"/>
        </w:rPr>
        <w:t xml:space="preserve"> 13.0%, GOOGL 12.9%, AAPL 12.8%</w:t>
      </w:r>
    </w:p>
    <w:p w:rsidR="007F7A83" w:rsidRPr="00AD065E" w:rsidRDefault="007F7A83" w:rsidP="00AD065E">
      <w:pPr>
        <w:pStyle w:val="ListParagraph"/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>Annual return: ~22%, volatility: ~18%, Sharpe: ~1.22</w:t>
      </w:r>
    </w:p>
    <w:p w:rsidR="007F7A83" w:rsidRPr="00AD065E" w:rsidRDefault="007F7A83" w:rsidP="00AD065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color w:val="0F1115"/>
          <w:sz w:val="24"/>
          <w:szCs w:val="24"/>
        </w:rPr>
        <w:t>Insight: Risk parity is more robust and diversified (healthcare 40%, tech evenly split). Max Sharpe is extremely concentrated (73% in MSFT+AMZN) and sensitive to return estimates.</w:t>
      </w:r>
    </w:p>
    <w:p w:rsidR="00F00C33" w:rsidRDefault="00F00C3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F00C33" w:rsidRDefault="00F00C3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F00C33" w:rsidRDefault="00F00C3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:rsid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AD065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6.2 Efficient Frontier</w:t>
      </w:r>
    </w:p>
    <w:p w:rsidR="00F00C33" w:rsidRPr="00AD065E" w:rsidRDefault="00F00C3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</w:p>
    <w:p w:rsidR="007F7A83" w:rsidRPr="007F7A83" w:rsidRDefault="007F7A83" w:rsidP="00F00C33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5,000 random portfolios plotted; red star = max Sharpe on the upper boundary.</w:t>
      </w:r>
    </w:p>
    <w:p w:rsidR="007F7A83" w:rsidRPr="007F7A83" w:rsidRDefault="007F7A83" w:rsidP="00F00C33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Risk parity lies slightly left (lower risk, comparable Sharpe).</w:t>
      </w:r>
    </w:p>
    <w:p w:rsidR="007F7A83" w:rsidRPr="00F00C33" w:rsidRDefault="00F00C3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F00C33">
        <w:rPr>
          <w:rFonts w:ascii="Segoe UI" w:eastAsia="Times New Roman" w:hAnsi="Segoe UI" w:cs="Segoe UI"/>
          <w:b/>
          <w:bCs/>
          <w:noProof/>
          <w:color w:val="0F1115"/>
          <w:sz w:val="24"/>
          <w:szCs w:val="24"/>
        </w:rPr>
        <w:drawing>
          <wp:inline distT="0" distB="0" distL="0" distR="0">
            <wp:extent cx="5867400" cy="4008755"/>
            <wp:effectExtent l="19050" t="19050" r="19050" b="10795"/>
            <wp:docPr id="12" name="Picture 12" descr="C:\Users\Namiri\Pictures\US Stock market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Namiri\Pictures\US Stock market\15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741" cy="40089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F7A83" w:rsidRPr="00F00C3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6.3 Trading Rule Evaluation – MA Crossover on AAPL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Rule: Long when 20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day SMA &gt; 50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day SMA; flat otherwise.</w:t>
      </w:r>
    </w:p>
    <w:p w:rsidR="00CB3C70" w:rsidRPr="00CB3C70" w:rsidRDefault="007F7A83" w:rsidP="00CB3C70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B3C70">
        <w:rPr>
          <w:rFonts w:ascii="Segoe UI" w:eastAsia="Times New Roman" w:hAnsi="Segoe UI" w:cs="Segoe UI"/>
          <w:color w:val="0F1115"/>
          <w:sz w:val="24"/>
          <w:szCs w:val="24"/>
        </w:rPr>
        <w:t>Year Buy &amp; Hold (cumula</w:t>
      </w:r>
      <w:r w:rsidR="00CB3C70" w:rsidRPr="00CB3C70">
        <w:rPr>
          <w:rFonts w:ascii="Segoe UI" w:eastAsia="Times New Roman" w:hAnsi="Segoe UI" w:cs="Segoe UI"/>
          <w:color w:val="0F1115"/>
          <w:sz w:val="24"/>
          <w:szCs w:val="24"/>
        </w:rPr>
        <w:t>tive) MA Crossover (cumulative)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2020 1.05 1.00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2021 1.80 1.50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2022 2.40 1.60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2023 2.10 1.30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2024 2.60 1.50</w:t>
      </w:r>
    </w:p>
    <w:p w:rsidR="00CB3C70" w:rsidRDefault="00CB3C70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>
        <w:rPr>
          <w:rFonts w:ascii="Segoe UI" w:eastAsia="Times New Roman" w:hAnsi="Segoe UI" w:cs="Segoe UI"/>
          <w:color w:val="0F1115"/>
          <w:sz w:val="24"/>
          <w:szCs w:val="24"/>
        </w:rPr>
        <w:t>2025 3.20 1.70</w:t>
      </w:r>
    </w:p>
    <w:p w:rsidR="007F7A83" w:rsidRPr="00CB3C70" w:rsidRDefault="007F7A83" w:rsidP="00CB3C70">
      <w:pPr>
        <w:pStyle w:val="ListParagraph"/>
        <w:numPr>
          <w:ilvl w:val="0"/>
          <w:numId w:val="36"/>
        </w:numPr>
        <w:shd w:val="clear" w:color="auto" w:fill="FFFFFF"/>
        <w:spacing w:after="0" w:line="240" w:lineRule="auto"/>
        <w:ind w:left="450"/>
        <w:rPr>
          <w:rFonts w:ascii="Segoe UI" w:eastAsia="Times New Roman" w:hAnsi="Segoe UI" w:cs="Segoe UI"/>
          <w:color w:val="0F1115"/>
          <w:sz w:val="24"/>
          <w:szCs w:val="24"/>
        </w:rPr>
      </w:pPr>
      <w:r w:rsidRPr="00CB3C70">
        <w:rPr>
          <w:rFonts w:ascii="Segoe UI" w:eastAsia="Times New Roman" w:hAnsi="Segoe UI" w:cs="Segoe UI"/>
          <w:color w:val="0F1115"/>
          <w:sz w:val="24"/>
          <w:szCs w:val="24"/>
        </w:rPr>
        <w:t>2026 3.90 1.90</w:t>
      </w:r>
    </w:p>
    <w:p w:rsidR="007F7A83" w:rsidRPr="007F7A83" w:rsidRDefault="007F7A83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Total return: Buy &amp; hold +290% vs. MA crossover +90%.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Conclusion: Simple trend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following fails in strong bull markets – not recommended.</w:t>
      </w:r>
    </w:p>
    <w:p w:rsidR="007F7A83" w:rsidRPr="007F7A83" w:rsidRDefault="00CB3C70" w:rsidP="002E5CC7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B3C70">
        <w:rPr>
          <w:rFonts w:ascii="Segoe UI" w:eastAsia="Times New Roman" w:hAnsi="Segoe UI" w:cs="Segoe UI"/>
          <w:noProof/>
          <w:color w:val="0F1115"/>
          <w:sz w:val="24"/>
          <w:szCs w:val="24"/>
        </w:rPr>
        <w:lastRenderedPageBreak/>
        <w:drawing>
          <wp:inline distT="0" distB="0" distL="0" distR="0">
            <wp:extent cx="5867400" cy="3141345"/>
            <wp:effectExtent l="19050" t="19050" r="19050" b="20955"/>
            <wp:docPr id="13" name="Picture 13" descr="C:\Users\Namiri\Pictures\US Stock market\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Namiri\Pictures\US Stock market\16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908" cy="314161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F7A83" w:rsidRPr="00CB3C70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6.4 Final Portfolio Recommendations</w:t>
      </w:r>
    </w:p>
    <w:p w:rsidR="007F7A83" w:rsidRPr="007F7A83" w:rsidRDefault="007F7A83" w:rsidP="00CB3C70">
      <w:pPr>
        <w:numPr>
          <w:ilvl w:val="0"/>
          <w:numId w:val="37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Strategic allocation: Risk parity weights (as above). Rebalance semi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annually.</w:t>
      </w:r>
    </w:p>
    <w:p w:rsidR="007F7A83" w:rsidRPr="007F7A83" w:rsidRDefault="007F7A83" w:rsidP="00CB3C70">
      <w:pPr>
        <w:numPr>
          <w:ilvl w:val="0"/>
          <w:numId w:val="37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Volatility overlay: Target 15% annualized volatility. Use GARCH forecast to scale exposure</w:t>
      </w:r>
      <w:proofErr w:type="gramStart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:</w:t>
      </w:r>
      <w:proofErr w:type="gramEnd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br/>
        <w:t>Exposure = Target</w:t>
      </w:r>
      <w:r w:rsidR="0016749C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Vol / Forecast</w:t>
      </w:r>
      <w:r w:rsidR="0016749C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PortVol</w:t>
      </w:r>
      <w:proofErr w:type="spellEnd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(capped at 1.5x).</w:t>
      </w:r>
    </w:p>
    <w:p w:rsidR="007F7A83" w:rsidRPr="007F7A83" w:rsidRDefault="007F7A83" w:rsidP="00CB3C70">
      <w:pPr>
        <w:numPr>
          <w:ilvl w:val="0"/>
          <w:numId w:val="37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Stop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loss rule: For each position, entry – 2 × (daily GARCH σ × √holding days).</w:t>
      </w:r>
    </w:p>
    <w:p w:rsidR="007F7A83" w:rsidRPr="007F7A83" w:rsidRDefault="007F7A83" w:rsidP="00CB3C70">
      <w:pPr>
        <w:numPr>
          <w:ilvl w:val="0"/>
          <w:numId w:val="37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Avoid: Directional timing based on historical returns, simple MA crossovers, </w:t>
      </w:r>
      <w:r w:rsidR="00CB3C70" w:rsidRPr="007F7A83">
        <w:rPr>
          <w:rFonts w:ascii="Segoe UI" w:eastAsia="Times New Roman" w:hAnsi="Segoe UI" w:cs="Segoe UI"/>
          <w:color w:val="0F1115"/>
          <w:sz w:val="24"/>
          <w:szCs w:val="24"/>
        </w:rPr>
        <w:t>and concentrated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mean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variance portfolios.</w:t>
      </w: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A83" w:rsidRPr="0016749C" w:rsidRDefault="007F7A83" w:rsidP="00E73208">
      <w:pPr>
        <w:numPr>
          <w:ilvl w:val="0"/>
          <w:numId w:val="18"/>
        </w:numPr>
        <w:shd w:val="clear" w:color="auto" w:fill="FFFFFF"/>
        <w:spacing w:after="0" w:line="240" w:lineRule="auto"/>
        <w:ind w:left="270"/>
        <w:rPr>
          <w:rFonts w:ascii="Segoe UI" w:eastAsia="Times New Roman" w:hAnsi="Segoe UI" w:cs="Segoe UI"/>
          <w:b/>
          <w:bCs/>
          <w:color w:val="0F1115"/>
          <w:sz w:val="28"/>
          <w:szCs w:val="28"/>
        </w:rPr>
      </w:pPr>
      <w:r w:rsidRPr="0016749C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t>KEY RECOMMENDATIONS</w:t>
      </w:r>
    </w:p>
    <w:p w:rsidR="007F7A83" w:rsidRPr="007F7A83" w:rsidRDefault="007F7A83" w:rsidP="0016749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Do not attempt to predict daily price direction for large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cap US stocks – no statistical edge.</w:t>
      </w:r>
    </w:p>
    <w:p w:rsidR="007F7A83" w:rsidRPr="007F7A83" w:rsidRDefault="007F7A83" w:rsidP="0016749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Do forecast volatility using GARCH – use it for position sizing and stop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loss management.</w:t>
      </w:r>
    </w:p>
    <w:p w:rsidR="007F7A83" w:rsidRPr="007F7A83" w:rsidRDefault="007F7A83" w:rsidP="0016749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Adopt risk parity as the core strategic allocation – it is robust to estimation error.</w:t>
      </w:r>
    </w:p>
    <w:p w:rsidR="007F7A83" w:rsidRPr="007F7A83" w:rsidRDefault="007F7A83" w:rsidP="0016749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Avoid simple moving average crossover rules – they severely underperform buy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and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hold in trending markets.</w:t>
      </w:r>
    </w:p>
    <w:p w:rsidR="007F7A83" w:rsidRPr="007F7A83" w:rsidRDefault="007F7A83" w:rsidP="0016749C">
      <w:pPr>
        <w:numPr>
          <w:ilvl w:val="0"/>
          <w:numId w:val="38"/>
        </w:numPr>
        <w:shd w:val="clear" w:color="auto" w:fill="FFFFFF"/>
        <w:spacing w:after="0" w:line="240" w:lineRule="auto"/>
        <w:jc w:val="both"/>
        <w:rPr>
          <w:rFonts w:ascii="Segoe UI" w:eastAsia="Times New Roman" w:hAnsi="Segoe UI" w:cs="Segoe UI"/>
          <w:color w:val="0F1115"/>
          <w:sz w:val="24"/>
          <w:szCs w:val="24"/>
        </w:rPr>
      </w:pP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>Combine</w:t>
      </w:r>
      <w:bookmarkStart w:id="0" w:name="_GoBack"/>
      <w:bookmarkEnd w:id="0"/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t xml:space="preserve"> tech with healthcare (ABBV, JNJ) to reduce portfolio concentration and improve risk</w:t>
      </w:r>
      <w:r w:rsidRPr="007F7A83">
        <w:rPr>
          <w:rFonts w:ascii="Segoe UI" w:eastAsia="Times New Roman" w:hAnsi="Segoe UI" w:cs="Segoe UI"/>
          <w:color w:val="0F1115"/>
          <w:sz w:val="24"/>
          <w:szCs w:val="24"/>
        </w:rPr>
        <w:noBreakHyphen/>
        <w:t>adjusted returns.</w:t>
      </w: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F7A83" w:rsidRPr="007F7A83" w:rsidRDefault="007F7A83" w:rsidP="002E5C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040BA" w:rsidRPr="001040BA" w:rsidRDefault="001040BA" w:rsidP="002E5CC7">
      <w:pPr>
        <w:spacing w:after="0"/>
        <w:rPr>
          <w:rFonts w:ascii="Segoe UI" w:eastAsia="Times New Roman" w:hAnsi="Segoe UI" w:cs="Segoe UI"/>
          <w:i/>
          <w:iCs/>
          <w:color w:val="0F1115"/>
          <w:sz w:val="24"/>
          <w:szCs w:val="24"/>
        </w:rPr>
      </w:pPr>
      <w:r w:rsidRPr="001040BA"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 xml:space="preserve">Open in </w:t>
      </w:r>
      <w:r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 xml:space="preserve">Google </w:t>
      </w:r>
      <w:proofErr w:type="spellStart"/>
      <w:r w:rsidRPr="001040BA"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>Colab</w:t>
      </w:r>
      <w:proofErr w:type="spellEnd"/>
      <w:r w:rsidRPr="001040BA">
        <w:rPr>
          <w:rFonts w:ascii="Segoe UI" w:eastAsia="Times New Roman" w:hAnsi="Segoe UI" w:cs="Segoe UI"/>
          <w:i/>
          <w:iCs/>
          <w:color w:val="0F1115"/>
          <w:sz w:val="24"/>
          <w:szCs w:val="24"/>
        </w:rPr>
        <w:t xml:space="preserve"> as below:</w:t>
      </w:r>
    </w:p>
    <w:p w:rsidR="005777C1" w:rsidRPr="001040BA" w:rsidRDefault="001040BA" w:rsidP="002E5CC7">
      <w:pPr>
        <w:spacing w:after="0"/>
        <w:rPr>
          <w:color w:val="0000FF"/>
        </w:rPr>
      </w:pPr>
      <w:r w:rsidRPr="001040BA">
        <w:rPr>
          <w:color w:val="0000FF"/>
        </w:rPr>
        <w:t>https://colab.research.google.com/drive/1eonHerLROeo5XJ5WWKeq2X9HCpfDbA_6#scrollTo=mDyb5egDTpJt</w:t>
      </w:r>
    </w:p>
    <w:sectPr w:rsidR="005777C1" w:rsidRPr="001040BA" w:rsidSect="00E2218A">
      <w:pgSz w:w="12240" w:h="15840"/>
      <w:pgMar w:top="99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67169"/>
    <w:multiLevelType w:val="multilevel"/>
    <w:tmpl w:val="192E3C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50511"/>
    <w:multiLevelType w:val="multilevel"/>
    <w:tmpl w:val="33CE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A37C42"/>
    <w:multiLevelType w:val="multilevel"/>
    <w:tmpl w:val="8846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84C74"/>
    <w:multiLevelType w:val="multilevel"/>
    <w:tmpl w:val="737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457C4"/>
    <w:multiLevelType w:val="multilevel"/>
    <w:tmpl w:val="6CF68B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EB4136"/>
    <w:multiLevelType w:val="multilevel"/>
    <w:tmpl w:val="D452DB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E94522"/>
    <w:multiLevelType w:val="hybridMultilevel"/>
    <w:tmpl w:val="C25AA07A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8C2CBD"/>
    <w:multiLevelType w:val="hybridMultilevel"/>
    <w:tmpl w:val="3782FF32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1E0B25"/>
    <w:multiLevelType w:val="hybridMultilevel"/>
    <w:tmpl w:val="53B0F342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7B555A"/>
    <w:multiLevelType w:val="hybridMultilevel"/>
    <w:tmpl w:val="5BFA020C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1A1608"/>
    <w:multiLevelType w:val="multilevel"/>
    <w:tmpl w:val="A9B29E9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E623F2"/>
    <w:multiLevelType w:val="hybridMultilevel"/>
    <w:tmpl w:val="41D2725C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E16A42"/>
    <w:multiLevelType w:val="multilevel"/>
    <w:tmpl w:val="54AA5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665FB4"/>
    <w:multiLevelType w:val="multilevel"/>
    <w:tmpl w:val="9A7E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4546F"/>
    <w:multiLevelType w:val="multilevel"/>
    <w:tmpl w:val="E676C0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DF5315"/>
    <w:multiLevelType w:val="multilevel"/>
    <w:tmpl w:val="1F6246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0A54CA"/>
    <w:multiLevelType w:val="multilevel"/>
    <w:tmpl w:val="4610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C0F5A"/>
    <w:multiLevelType w:val="hybridMultilevel"/>
    <w:tmpl w:val="6490727A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0520B5"/>
    <w:multiLevelType w:val="multilevel"/>
    <w:tmpl w:val="E0CA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96BDF"/>
    <w:multiLevelType w:val="multilevel"/>
    <w:tmpl w:val="2ED8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431AA8"/>
    <w:multiLevelType w:val="multilevel"/>
    <w:tmpl w:val="C616C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AD31A4"/>
    <w:multiLevelType w:val="multilevel"/>
    <w:tmpl w:val="38F2F9E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EC4DC9"/>
    <w:multiLevelType w:val="multilevel"/>
    <w:tmpl w:val="A768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EE730E"/>
    <w:multiLevelType w:val="multilevel"/>
    <w:tmpl w:val="5B9499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1732A3"/>
    <w:multiLevelType w:val="multilevel"/>
    <w:tmpl w:val="A0FEBD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A2E22"/>
    <w:multiLevelType w:val="multilevel"/>
    <w:tmpl w:val="382C45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207DEA"/>
    <w:multiLevelType w:val="multilevel"/>
    <w:tmpl w:val="8C562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912CDD"/>
    <w:multiLevelType w:val="hybridMultilevel"/>
    <w:tmpl w:val="C06EC9FC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B31D3"/>
    <w:multiLevelType w:val="multilevel"/>
    <w:tmpl w:val="3A68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B33021"/>
    <w:multiLevelType w:val="multilevel"/>
    <w:tmpl w:val="39AE42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5735C3"/>
    <w:multiLevelType w:val="multilevel"/>
    <w:tmpl w:val="678CEE8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D8236E"/>
    <w:multiLevelType w:val="multilevel"/>
    <w:tmpl w:val="F4CA72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E342D5"/>
    <w:multiLevelType w:val="multilevel"/>
    <w:tmpl w:val="3502E4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54334E"/>
    <w:multiLevelType w:val="multilevel"/>
    <w:tmpl w:val="0FD602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B5309C"/>
    <w:multiLevelType w:val="multilevel"/>
    <w:tmpl w:val="1C1A9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B8711A"/>
    <w:multiLevelType w:val="multilevel"/>
    <w:tmpl w:val="8300FD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8BE54E5"/>
    <w:multiLevelType w:val="multilevel"/>
    <w:tmpl w:val="3D4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E77793"/>
    <w:multiLevelType w:val="hybridMultilevel"/>
    <w:tmpl w:val="0DE8E18E"/>
    <w:lvl w:ilvl="0" w:tplc="8028F6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"/>
  </w:num>
  <w:num w:numId="3">
    <w:abstractNumId w:val="35"/>
  </w:num>
  <w:num w:numId="4">
    <w:abstractNumId w:val="28"/>
  </w:num>
  <w:num w:numId="5">
    <w:abstractNumId w:val="33"/>
  </w:num>
  <w:num w:numId="6">
    <w:abstractNumId w:val="18"/>
  </w:num>
  <w:num w:numId="7">
    <w:abstractNumId w:val="15"/>
  </w:num>
  <w:num w:numId="8">
    <w:abstractNumId w:val="26"/>
  </w:num>
  <w:num w:numId="9">
    <w:abstractNumId w:val="20"/>
  </w:num>
  <w:num w:numId="10">
    <w:abstractNumId w:val="22"/>
  </w:num>
  <w:num w:numId="11">
    <w:abstractNumId w:val="29"/>
  </w:num>
  <w:num w:numId="12">
    <w:abstractNumId w:val="34"/>
  </w:num>
  <w:num w:numId="13">
    <w:abstractNumId w:val="2"/>
  </w:num>
  <w:num w:numId="14">
    <w:abstractNumId w:val="3"/>
  </w:num>
  <w:num w:numId="15">
    <w:abstractNumId w:val="4"/>
  </w:num>
  <w:num w:numId="16">
    <w:abstractNumId w:val="36"/>
  </w:num>
  <w:num w:numId="17">
    <w:abstractNumId w:val="16"/>
  </w:num>
  <w:num w:numId="18">
    <w:abstractNumId w:val="5"/>
  </w:num>
  <w:num w:numId="19">
    <w:abstractNumId w:val="21"/>
  </w:num>
  <w:num w:numId="20">
    <w:abstractNumId w:val="32"/>
  </w:num>
  <w:num w:numId="21">
    <w:abstractNumId w:val="8"/>
  </w:num>
  <w:num w:numId="22">
    <w:abstractNumId w:val="37"/>
  </w:num>
  <w:num w:numId="23">
    <w:abstractNumId w:val="14"/>
  </w:num>
  <w:num w:numId="24">
    <w:abstractNumId w:val="27"/>
  </w:num>
  <w:num w:numId="25">
    <w:abstractNumId w:val="9"/>
  </w:num>
  <w:num w:numId="26">
    <w:abstractNumId w:val="31"/>
  </w:num>
  <w:num w:numId="27">
    <w:abstractNumId w:val="0"/>
  </w:num>
  <w:num w:numId="28">
    <w:abstractNumId w:val="19"/>
  </w:num>
  <w:num w:numId="29">
    <w:abstractNumId w:val="24"/>
  </w:num>
  <w:num w:numId="30">
    <w:abstractNumId w:val="13"/>
  </w:num>
  <w:num w:numId="31">
    <w:abstractNumId w:val="23"/>
  </w:num>
  <w:num w:numId="32">
    <w:abstractNumId w:val="7"/>
  </w:num>
  <w:num w:numId="33">
    <w:abstractNumId w:val="11"/>
  </w:num>
  <w:num w:numId="34">
    <w:abstractNumId w:val="25"/>
  </w:num>
  <w:num w:numId="35">
    <w:abstractNumId w:val="6"/>
  </w:num>
  <w:num w:numId="36">
    <w:abstractNumId w:val="17"/>
  </w:num>
  <w:num w:numId="37">
    <w:abstractNumId w:val="30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A83"/>
    <w:rsid w:val="0008480E"/>
    <w:rsid w:val="001040BA"/>
    <w:rsid w:val="0016749C"/>
    <w:rsid w:val="00181FFA"/>
    <w:rsid w:val="00220BD2"/>
    <w:rsid w:val="002E5CC7"/>
    <w:rsid w:val="003954C0"/>
    <w:rsid w:val="00423DE1"/>
    <w:rsid w:val="0044681C"/>
    <w:rsid w:val="004A2D18"/>
    <w:rsid w:val="005E7B93"/>
    <w:rsid w:val="00627714"/>
    <w:rsid w:val="0063647A"/>
    <w:rsid w:val="00702853"/>
    <w:rsid w:val="00722532"/>
    <w:rsid w:val="007F7A83"/>
    <w:rsid w:val="008254A9"/>
    <w:rsid w:val="008256E4"/>
    <w:rsid w:val="00874B96"/>
    <w:rsid w:val="008E7BC5"/>
    <w:rsid w:val="00AD065E"/>
    <w:rsid w:val="00CB3C70"/>
    <w:rsid w:val="00DC1E54"/>
    <w:rsid w:val="00E2218A"/>
    <w:rsid w:val="00E27BAD"/>
    <w:rsid w:val="00E7005E"/>
    <w:rsid w:val="00E73208"/>
    <w:rsid w:val="00F00C33"/>
    <w:rsid w:val="00F5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2D7BF"/>
  <w15:chartTrackingRefBased/>
  <w15:docId w15:val="{2ED8C75D-7033-41D2-B931-D4C75CCA9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F7A8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A8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ds-markdown-paragraph">
    <w:name w:val="ds-markdown-paragraph"/>
    <w:basedOn w:val="Normal"/>
    <w:rsid w:val="007F7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7F7A83"/>
  </w:style>
  <w:style w:type="character" w:customStyle="1" w:styleId="mord">
    <w:name w:val="mord"/>
    <w:basedOn w:val="DefaultParagraphFont"/>
    <w:rsid w:val="007F7A83"/>
  </w:style>
  <w:style w:type="character" w:customStyle="1" w:styleId="mpunct">
    <w:name w:val="mpunct"/>
    <w:basedOn w:val="DefaultParagraphFont"/>
    <w:rsid w:val="007F7A83"/>
  </w:style>
  <w:style w:type="character" w:customStyle="1" w:styleId="mrel">
    <w:name w:val="mrel"/>
    <w:basedOn w:val="DefaultParagraphFont"/>
    <w:rsid w:val="007F7A83"/>
  </w:style>
  <w:style w:type="paragraph" w:styleId="ListParagraph">
    <w:name w:val="List Paragraph"/>
    <w:basedOn w:val="Normal"/>
    <w:uiPriority w:val="34"/>
    <w:qFormat/>
    <w:rsid w:val="002E5C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94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11</Pages>
  <Words>1240</Words>
  <Characters>7071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Nematullah Amiri</dc:creator>
  <cp:keywords/>
  <dc:description/>
  <cp:lastModifiedBy>Nematullah Amiri</cp:lastModifiedBy>
  <cp:revision>23</cp:revision>
  <dcterms:created xsi:type="dcterms:W3CDTF">2026-05-25T06:21:00Z</dcterms:created>
  <dcterms:modified xsi:type="dcterms:W3CDTF">2026-06-01T04:47:00Z</dcterms:modified>
</cp:coreProperties>
</file>