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B96" w:rsidRDefault="00874B96" w:rsidP="002E5CC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0F1115"/>
          <w:sz w:val="56"/>
          <w:szCs w:val="56"/>
        </w:rPr>
      </w:pPr>
    </w:p>
    <w:p w:rsidR="00874B96" w:rsidRDefault="00874B96" w:rsidP="002E5CC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0F1115"/>
          <w:sz w:val="56"/>
          <w:szCs w:val="56"/>
        </w:rPr>
      </w:pPr>
    </w:p>
    <w:p w:rsidR="00874B96" w:rsidRDefault="00874B96" w:rsidP="002E5CC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0F1115"/>
          <w:sz w:val="56"/>
          <w:szCs w:val="56"/>
        </w:rPr>
      </w:pPr>
    </w:p>
    <w:p w:rsidR="00874B96" w:rsidRDefault="00874B96" w:rsidP="002E5CC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0F1115"/>
          <w:sz w:val="56"/>
          <w:szCs w:val="56"/>
        </w:rPr>
      </w:pPr>
    </w:p>
    <w:p w:rsidR="00874B96" w:rsidRDefault="00874B96" w:rsidP="002E5CC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0F1115"/>
          <w:sz w:val="56"/>
          <w:szCs w:val="56"/>
        </w:rPr>
      </w:pPr>
    </w:p>
    <w:p w:rsidR="00874B96" w:rsidRPr="00874B96" w:rsidRDefault="007F7A83" w:rsidP="002E5CC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b/>
          <w:bCs/>
          <w:color w:val="0F1115"/>
          <w:sz w:val="56"/>
          <w:szCs w:val="56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56"/>
          <w:szCs w:val="56"/>
        </w:rPr>
        <w:t>US STOCK MARKET ANALYSIS</w:t>
      </w:r>
    </w:p>
    <w:p w:rsidR="007F7A83" w:rsidRPr="007F7A83" w:rsidRDefault="00874B96" w:rsidP="002E5CC7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</w:rPr>
      </w:pPr>
      <w:r w:rsidRPr="00874B96">
        <w:rPr>
          <w:rFonts w:ascii="Segoe UI" w:eastAsia="Times New Roman" w:hAnsi="Segoe UI" w:cs="Segoe UI"/>
          <w:color w:val="0F1115"/>
          <w:sz w:val="24"/>
          <w:szCs w:val="24"/>
        </w:rPr>
        <w:t>DISCRIPTIVE,</w:t>
      </w:r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 DIAGNOSTIC, PREDICTIVE &amp; PRESCRIPTIVE</w:t>
      </w:r>
    </w:p>
    <w:p w:rsidR="00874B96" w:rsidRDefault="00874B96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874B96" w:rsidRDefault="00874B96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874B96" w:rsidRDefault="00874B96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874B96" w:rsidRDefault="00874B96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874B96" w:rsidRDefault="00874B96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874B96" w:rsidRDefault="00874B96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874B96" w:rsidRDefault="00874B96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E2218A" w:rsidRDefault="00E2218A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E2218A" w:rsidRDefault="00E2218A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E2218A" w:rsidRDefault="00E2218A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874B96" w:rsidRDefault="00874B96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874B96" w:rsidRDefault="00874B96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7F7A83" w:rsidRDefault="00874B96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Prepared by: Nematullah Amiri | PMP - Certified | Data Professional</w:t>
      </w:r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Date: May 2026</w:t>
      </w:r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Dataset: Daily prices and volumes (2020–2026) for 18 major US stocks</w:t>
      </w:r>
    </w:p>
    <w:p w:rsidR="008256E4" w:rsidRPr="007F7A83" w:rsidRDefault="008256E4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627714" w:rsidRDefault="00627714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</w:p>
    <w:p w:rsidR="00627714" w:rsidRDefault="00627714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TABLE OF CONTENTS</w:t>
      </w:r>
    </w:p>
    <w:p w:rsidR="007F7A83" w:rsidRPr="007F7A83" w:rsidRDefault="007F7A83" w:rsidP="002E5CC7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Project Overview</w:t>
      </w:r>
    </w:p>
    <w:p w:rsidR="007F7A83" w:rsidRPr="007F7A83" w:rsidRDefault="007F7A83" w:rsidP="002E5CC7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Data Preparation</w:t>
      </w:r>
    </w:p>
    <w:p w:rsidR="007F7A83" w:rsidRPr="007F7A83" w:rsidRDefault="007F7A83" w:rsidP="002E5CC7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Descriptive Analytics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3.1 Total Returns &amp; Top/Bottom Performers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3.2 AAPL Daily Return Extremes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3.3 Volume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Price Divergence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3.4 Correlation Among Tech Giants</w:t>
      </w:r>
    </w:p>
    <w:p w:rsidR="007F7A83" w:rsidRPr="007F7A83" w:rsidRDefault="007F7A83" w:rsidP="002E5CC7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Diagnostic Analytics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4.1 Stationarity &amp; White Noise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4.2 Event Study – Worst Day (March 16, 2020)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4.3 Seasonality &amp; Residual Analysis</w:t>
      </w:r>
    </w:p>
    <w:p w:rsidR="007F7A83" w:rsidRPr="007F7A83" w:rsidRDefault="007F7A83" w:rsidP="002E5CC7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Predictive Analytics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5.1 ARIMA Price Forecast (No Edge)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5.2 GARCH Volatility Forecast (Strong Edge)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5.3 Random Forest Directional Model (Coin Flip)</w:t>
      </w:r>
    </w:p>
    <w:p w:rsidR="007F7A83" w:rsidRPr="007F7A83" w:rsidRDefault="007F7A83" w:rsidP="002E5CC7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Prescriptive Analytics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6.1 Mean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Variance vs. Risk Parity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6.2 Efficient Frontier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6.3 Trading Rule Evaluation – MA Crossover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6.4 Final Portfolio Recommendations</w:t>
      </w:r>
    </w:p>
    <w:p w:rsidR="007F7A83" w:rsidRPr="007F7A83" w:rsidRDefault="007F7A83" w:rsidP="002E5CC7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Key Recommendations</w:t>
      </w:r>
    </w:p>
    <w:p w:rsidR="007F7A83" w:rsidRPr="007F7A83" w:rsidRDefault="007F7A83" w:rsidP="002E5CC7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Implementation Timeline</w:t>
      </w:r>
    </w:p>
    <w:p w:rsidR="007F7A83" w:rsidRDefault="007F7A83" w:rsidP="002E5CC7">
      <w:pPr>
        <w:numPr>
          <w:ilvl w:val="0"/>
          <w:numId w:val="1"/>
        </w:numPr>
        <w:shd w:val="clear" w:color="auto" w:fill="FFFFFF"/>
        <w:spacing w:after="0" w:line="36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Appendix – Code Snippets</w:t>
      </w:r>
    </w:p>
    <w:p w:rsidR="002E5CC7" w:rsidRDefault="002E5CC7" w:rsidP="002E5CC7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2E5CC7" w:rsidRDefault="002E5CC7" w:rsidP="002E5CC7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E2218A" w:rsidRDefault="00E2218A" w:rsidP="002E5CC7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E2218A" w:rsidRPr="007F7A83" w:rsidRDefault="00E2218A" w:rsidP="002E5CC7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7F7A83" w:rsidRPr="007F7A83" w:rsidRDefault="007F7A83" w:rsidP="002E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7A83" w:rsidRPr="007F7A83" w:rsidRDefault="007F7A83" w:rsidP="002E5CC7">
      <w:pPr>
        <w:numPr>
          <w:ilvl w:val="0"/>
          <w:numId w:val="2"/>
        </w:numPr>
        <w:shd w:val="clear" w:color="auto" w:fill="FFFFFF"/>
        <w:spacing w:after="0" w:line="240" w:lineRule="auto"/>
        <w:ind w:left="270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PROJECT OVERVIEW</w:t>
      </w:r>
    </w:p>
    <w:p w:rsidR="007F7A83" w:rsidRPr="007F7A83" w:rsidRDefault="007F7A83" w:rsidP="002E5CC7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  <w:u w:val="single"/>
        </w:rPr>
        <w:t>Business Problem:</w:t>
      </w:r>
      <w:r w:rsidR="002E5CC7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Investors and portfolio managers need to understand which stocks perform, whether price movements are predictable, and how to allocate capital to maximize risk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adjusted returns. The analysis reveals that daily returns of large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cap stocks (e.g., AAPL) are white noise – direction cannot be predicted – but volatility is highly predictable using GARCH models. Traditional trend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following rules (moving average crossover) severely underperform buy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and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hold.</w:t>
      </w:r>
    </w:p>
    <w:p w:rsidR="007F7A83" w:rsidRPr="007F7A83" w:rsidRDefault="002E5CC7" w:rsidP="002E5CC7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2E5CC7">
        <w:rPr>
          <w:rFonts w:ascii="Segoe UI" w:eastAsia="Times New Roman" w:hAnsi="Segoe UI" w:cs="Segoe UI"/>
          <w:color w:val="0F1115"/>
          <w:sz w:val="24"/>
          <w:szCs w:val="24"/>
          <w:u w:val="single"/>
        </w:rPr>
        <w:t>Goal: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 Provide</w:t>
      </w:r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 data</w:t>
      </w:r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driven insights and prescriptive asset allocation (risk parity) that reduces concentration risk and uses volatility forecasts for dynamic position sizing.</w:t>
      </w:r>
    </w:p>
    <w:p w:rsidR="007F7A83" w:rsidRPr="007F7A83" w:rsidRDefault="002E5CC7" w:rsidP="002E5CC7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2E5CC7">
        <w:rPr>
          <w:rFonts w:ascii="Segoe UI" w:eastAsia="Times New Roman" w:hAnsi="Segoe UI" w:cs="Segoe UI"/>
          <w:color w:val="0F1115"/>
          <w:sz w:val="24"/>
          <w:szCs w:val="24"/>
          <w:u w:val="single"/>
        </w:rPr>
        <w:t>Approach: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Full analytics maturity framework using Python (pandas, </w:t>
      </w:r>
      <w:proofErr w:type="spellStart"/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t>numpy</w:t>
      </w:r>
      <w:proofErr w:type="spellEnd"/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t>statsmodels</w:t>
      </w:r>
      <w:proofErr w:type="spellEnd"/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t>scikit</w:t>
      </w:r>
      <w:proofErr w:type="spellEnd"/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 xml:space="preserve">learn, arch, </w:t>
      </w:r>
      <w:proofErr w:type="spellStart"/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t>matplotlib</w:t>
      </w:r>
      <w:proofErr w:type="spellEnd"/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t>seaborn</w:t>
      </w:r>
      <w:proofErr w:type="spellEnd"/>
      <w:r w:rsidR="007F7A83" w:rsidRPr="007F7A83">
        <w:rPr>
          <w:rFonts w:ascii="Segoe UI" w:eastAsia="Times New Roman" w:hAnsi="Segoe UI" w:cs="Segoe UI"/>
          <w:color w:val="0F1115"/>
          <w:sz w:val="24"/>
          <w:szCs w:val="24"/>
        </w:rPr>
        <w:t>) – from descriptive to prescriptive.</w:t>
      </w:r>
    </w:p>
    <w:p w:rsidR="007F7A83" w:rsidRPr="007F7A83" w:rsidRDefault="007F7A83" w:rsidP="002E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7A83" w:rsidRPr="007F7A83" w:rsidRDefault="007F7A83" w:rsidP="002E5CC7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DATA PREPARATION</w:t>
      </w:r>
    </w:p>
    <w:p w:rsid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Source: US_Stock_Prices_daily.csv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Period: January 2020 – May 2026 (approx. 1,600 trading days)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Tickers: AAPL, MSFT, GOOGL, AMZN, META, NVDA, TSLA, AVGO, LLY, CAT, DIS, BA, NKE, BIIB, EL, ABBV, JNJ</w:t>
      </w:r>
    </w:p>
    <w:p w:rsidR="002E5CC7" w:rsidRPr="007F7A83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Preprocessing steps:</w:t>
      </w:r>
    </w:p>
    <w:p w:rsidR="007F7A83" w:rsidRPr="007F7A83" w:rsidRDefault="007F7A83" w:rsidP="002E5CC7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Parse dates and set as index.</w:t>
      </w:r>
    </w:p>
    <w:p w:rsidR="007F7A83" w:rsidRPr="007F7A83" w:rsidRDefault="007F7A83" w:rsidP="002E5CC7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Handle missing values (forward fill).</w:t>
      </w:r>
    </w:p>
    <w:p w:rsidR="007F7A83" w:rsidRPr="007F7A83" w:rsidRDefault="007F7A83" w:rsidP="002E5CC7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Pivot for correlation and portfolio construction.</w:t>
      </w:r>
    </w:p>
    <w:p w:rsidR="007F7A83" w:rsidRPr="007F7A83" w:rsidRDefault="007F7A83" w:rsidP="002E5CC7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Compute daily returns (pct_</w:t>
      </w:r>
      <w:r w:rsidR="002E5CC7" w:rsidRPr="007F7A83">
        <w:rPr>
          <w:rFonts w:ascii="Segoe UI" w:eastAsia="Times New Roman" w:hAnsi="Segoe UI" w:cs="Segoe UI"/>
          <w:color w:val="0F1115"/>
          <w:sz w:val="24"/>
          <w:szCs w:val="24"/>
        </w:rPr>
        <w:t>change (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)).</w:t>
      </w:r>
    </w:p>
    <w:p w:rsidR="007F7A83" w:rsidRPr="007F7A83" w:rsidRDefault="007F7A83" w:rsidP="002E5CC7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Stationarity checks (ADF test) and differencing where needed.</w:t>
      </w:r>
    </w:p>
    <w:p w:rsidR="007F7A83" w:rsidRPr="007F7A83" w:rsidRDefault="007F7A83" w:rsidP="002E5CC7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DESCRIPTIVE ANALYTICS</w:t>
      </w:r>
    </w:p>
    <w:p w:rsid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Objective: Understand what happened – historical returns, extremes, correlations, and volume patterns.</w:t>
      </w:r>
    </w:p>
    <w:p w:rsidR="002E5CC7" w:rsidRPr="007F7A83" w:rsidRDefault="002E5CC7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3.1 Total Returns &amp; Top/Bottom Performers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Top 5 performers:</w:t>
      </w:r>
    </w:p>
    <w:p w:rsidR="002E5CC7" w:rsidRPr="004A2D18" w:rsidRDefault="002E5CC7" w:rsidP="004A2D18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u w:val="single"/>
        </w:rPr>
      </w:pPr>
      <w:r w:rsidRPr="004A2D18">
        <w:rPr>
          <w:rFonts w:ascii="Segoe UI" w:eastAsia="Times New Roman" w:hAnsi="Segoe UI" w:cs="Segoe UI"/>
          <w:color w:val="0F1115"/>
          <w:sz w:val="24"/>
          <w:szCs w:val="24"/>
          <w:u w:val="single"/>
        </w:rPr>
        <w:t xml:space="preserve">Ticker </w:t>
      </w:r>
      <w:r w:rsidR="004A2D18" w:rsidRPr="004A2D18">
        <w:rPr>
          <w:rFonts w:ascii="Segoe UI" w:eastAsia="Times New Roman" w:hAnsi="Segoe UI" w:cs="Segoe UI"/>
          <w:color w:val="0F1115"/>
          <w:sz w:val="24"/>
          <w:szCs w:val="24"/>
          <w:u w:val="single"/>
        </w:rPr>
        <w:t xml:space="preserve">                 </w:t>
      </w:r>
      <w:r w:rsidRPr="004A2D18">
        <w:rPr>
          <w:rFonts w:ascii="Segoe UI" w:eastAsia="Times New Roman" w:hAnsi="Segoe UI" w:cs="Segoe UI"/>
          <w:color w:val="0F1115"/>
          <w:sz w:val="24"/>
          <w:szCs w:val="24"/>
          <w:u w:val="single"/>
        </w:rPr>
        <w:t>Total Return (%)</w:t>
      </w:r>
    </w:p>
    <w:p w:rsidR="002E5CC7" w:rsidRDefault="002E5CC7" w:rsidP="002E5CC7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NVDA </w:t>
      </w:r>
      <w:r w:rsidR="004A2D18">
        <w:rPr>
          <w:rFonts w:ascii="Segoe UI" w:eastAsia="Times New Roman" w:hAnsi="Segoe UI" w:cs="Segoe UI"/>
          <w:color w:val="0F1115"/>
          <w:sz w:val="24"/>
          <w:szCs w:val="24"/>
        </w:rPr>
        <w:t xml:space="preserve">                    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+3,134.6</w:t>
      </w:r>
    </w:p>
    <w:p w:rsidR="002E5CC7" w:rsidRDefault="002E5CC7" w:rsidP="002E5CC7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TSLA </w:t>
      </w:r>
      <w:r w:rsidR="004A2D18">
        <w:rPr>
          <w:rFonts w:ascii="Segoe UI" w:eastAsia="Times New Roman" w:hAnsi="Segoe UI" w:cs="Segoe UI"/>
          <w:color w:val="0F1115"/>
          <w:sz w:val="24"/>
          <w:szCs w:val="24"/>
        </w:rPr>
        <w:t xml:space="preserve">                      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+1,350.1</w:t>
      </w:r>
    </w:p>
    <w:p w:rsidR="002E5CC7" w:rsidRDefault="002E5CC7" w:rsidP="002E5CC7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AVGO</w:t>
      </w:r>
      <w:r w:rsidR="004A2D18">
        <w:rPr>
          <w:rFonts w:ascii="Segoe UI" w:eastAsia="Times New Roman" w:hAnsi="Segoe UI" w:cs="Segoe UI"/>
          <w:color w:val="0F1115"/>
          <w:sz w:val="24"/>
          <w:szCs w:val="24"/>
        </w:rPr>
        <w:t xml:space="preserve">                    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="004A2D18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+1,168.1</w:t>
      </w:r>
    </w:p>
    <w:p w:rsidR="002E5CC7" w:rsidRDefault="002E5CC7" w:rsidP="002E5CC7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LLY </w:t>
      </w:r>
      <w:r w:rsidR="004A2D18">
        <w:rPr>
          <w:rFonts w:ascii="Segoe UI" w:eastAsia="Times New Roman" w:hAnsi="Segoe UI" w:cs="Segoe UI"/>
          <w:color w:val="0F1115"/>
          <w:sz w:val="24"/>
          <w:szCs w:val="24"/>
        </w:rPr>
        <w:t xml:space="preserve">                         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+728.1</w:t>
      </w:r>
    </w:p>
    <w:p w:rsidR="007F7A83" w:rsidRPr="002E5CC7" w:rsidRDefault="007F7A83" w:rsidP="002E5CC7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E5CC7">
        <w:rPr>
          <w:rFonts w:ascii="Segoe UI" w:eastAsia="Times New Roman" w:hAnsi="Segoe UI" w:cs="Segoe UI"/>
          <w:color w:val="0F1115"/>
          <w:sz w:val="24"/>
          <w:szCs w:val="24"/>
        </w:rPr>
        <w:t xml:space="preserve">CAT </w:t>
      </w:r>
      <w:r w:rsidR="004A2D18">
        <w:rPr>
          <w:rFonts w:ascii="Segoe UI" w:eastAsia="Times New Roman" w:hAnsi="Segoe UI" w:cs="Segoe UI"/>
          <w:color w:val="0F1115"/>
          <w:sz w:val="24"/>
          <w:szCs w:val="24"/>
        </w:rPr>
        <w:t xml:space="preserve">                         </w:t>
      </w:r>
      <w:r w:rsidRPr="002E5CC7">
        <w:rPr>
          <w:rFonts w:ascii="Segoe UI" w:eastAsia="Times New Roman" w:hAnsi="Segoe UI" w:cs="Segoe UI"/>
          <w:color w:val="0F1115"/>
          <w:sz w:val="24"/>
          <w:szCs w:val="24"/>
        </w:rPr>
        <w:t>+492.9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Bottom 5 performers:</w:t>
      </w:r>
    </w:p>
    <w:p w:rsidR="00E2218A" w:rsidRPr="00E2218A" w:rsidRDefault="00E2218A" w:rsidP="00E2218A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u w:val="single"/>
        </w:rPr>
      </w:pPr>
      <w:r w:rsidRPr="00E2218A">
        <w:rPr>
          <w:rFonts w:ascii="Segoe UI" w:eastAsia="Times New Roman" w:hAnsi="Segoe UI" w:cs="Segoe UI"/>
          <w:color w:val="0F1115"/>
          <w:sz w:val="24"/>
          <w:szCs w:val="24"/>
          <w:u w:val="single"/>
        </w:rPr>
        <w:t>Ticker                 Total Return (%)</w:t>
      </w:r>
    </w:p>
    <w:p w:rsidR="00E2218A" w:rsidRDefault="00E2218A" w:rsidP="00E2218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EL                              –44.3</w:t>
      </w:r>
    </w:p>
    <w:p w:rsidR="00E2218A" w:rsidRDefault="00E2218A" w:rsidP="00E2218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BIIB                            –34.3</w:t>
      </w:r>
    </w:p>
    <w:p w:rsidR="00E2218A" w:rsidRDefault="00E2218A" w:rsidP="00E2218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NKE                           –33.7</w:t>
      </w:r>
    </w:p>
    <w:p w:rsidR="00E2218A" w:rsidRDefault="00E2218A" w:rsidP="00E2218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BA                             –28.6</w:t>
      </w:r>
    </w:p>
    <w:p w:rsidR="007F7A83" w:rsidRPr="00E2218A" w:rsidRDefault="007F7A83" w:rsidP="00E2218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2218A">
        <w:rPr>
          <w:rFonts w:ascii="Segoe UI" w:eastAsia="Times New Roman" w:hAnsi="Segoe UI" w:cs="Segoe UI"/>
          <w:color w:val="0F1115"/>
          <w:sz w:val="24"/>
          <w:szCs w:val="24"/>
        </w:rPr>
        <w:t xml:space="preserve">DIS </w:t>
      </w:r>
      <w:r w:rsidR="00E2218A">
        <w:rPr>
          <w:rFonts w:ascii="Segoe UI" w:eastAsia="Times New Roman" w:hAnsi="Segoe UI" w:cs="Segoe UI"/>
          <w:color w:val="0F1115"/>
          <w:sz w:val="24"/>
          <w:szCs w:val="24"/>
        </w:rPr>
        <w:t xml:space="preserve">                           </w:t>
      </w:r>
      <w:r w:rsidRPr="00E2218A">
        <w:rPr>
          <w:rFonts w:ascii="Segoe UI" w:eastAsia="Times New Roman" w:hAnsi="Segoe UI" w:cs="Segoe UI"/>
          <w:color w:val="0F1115"/>
          <w:sz w:val="24"/>
          <w:szCs w:val="24"/>
        </w:rPr>
        <w:t>–24.5</w:t>
      </w:r>
    </w:p>
    <w:p w:rsidR="0008480E" w:rsidRDefault="0008480E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08480E" w:rsidRDefault="0008480E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3.2 AAPL Daily Return Extremes</w:t>
      </w:r>
    </w:p>
    <w:p w:rsidR="007F7A83" w:rsidRPr="007F7A83" w:rsidRDefault="007F7A83" w:rsidP="0008480E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Worst day: 2020-03-16 (–12.86%) – COVID crash</w:t>
      </w:r>
    </w:p>
    <w:p w:rsidR="0008480E" w:rsidRDefault="007F7A83" w:rsidP="0008480E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Best day: 2025-04-09 (+15.33%) – sharp rebound after a 9% drop</w:t>
      </w:r>
    </w:p>
    <w:p w:rsidR="007F7A83" w:rsidRPr="007F7A83" w:rsidRDefault="007F7A83" w:rsidP="0008480E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Volatility is asymmetric: large losses are followed by even larger gains.</w:t>
      </w:r>
    </w:p>
    <w:p w:rsidR="0008480E" w:rsidRDefault="0008480E" w:rsidP="0008480E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</w:rPr>
      </w:pPr>
      <w:r w:rsidRPr="0008480E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>
            <wp:extent cx="5848350" cy="3128344"/>
            <wp:effectExtent l="19050" t="19050" r="19050" b="15240"/>
            <wp:docPr id="1" name="Picture 1" descr="C:\Users\Namiri\Pictures\US Stock market\US-Stock-Market-Analysis-ipynb-Colab-05-24-2026_11_26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Namiri\Pictures\US Stock market\US-Stock-Market-Analysis-ipynb-Colab-05-24-2026_11_26_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969" cy="31441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8480E" w:rsidRDefault="0008480E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3.3 Volume</w:t>
      </w: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>Price Divergence (AAPL)</w:t>
      </w:r>
    </w:p>
    <w:p w:rsidR="008E7BC5" w:rsidRDefault="008E7BC5" w:rsidP="008E7BC5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Signal % of Days</w:t>
      </w:r>
    </w:p>
    <w:p w:rsidR="008E7BC5" w:rsidRDefault="008E7BC5" w:rsidP="008E7BC5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Normal (no divergence) 45.6%</w:t>
      </w:r>
    </w:p>
    <w:p w:rsidR="008E7BC5" w:rsidRDefault="007F7A83" w:rsidP="008E7BC5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E7BC5">
        <w:rPr>
          <w:rFonts w:ascii="Segoe UI" w:eastAsia="Times New Roman" w:hAnsi="Segoe UI" w:cs="Segoe UI"/>
          <w:color w:val="0F1115"/>
          <w:sz w:val="24"/>
          <w:szCs w:val="24"/>
        </w:rPr>
        <w:t>Price Up /</w:t>
      </w:r>
      <w:r w:rsidR="008E7BC5">
        <w:rPr>
          <w:rFonts w:ascii="Segoe UI" w:eastAsia="Times New Roman" w:hAnsi="Segoe UI" w:cs="Segoe UI"/>
          <w:color w:val="0F1115"/>
          <w:sz w:val="24"/>
          <w:szCs w:val="24"/>
        </w:rPr>
        <w:t xml:space="preserve"> Volume Down (weak rally) 30.2%</w:t>
      </w:r>
    </w:p>
    <w:p w:rsidR="007F7A83" w:rsidRPr="008E7BC5" w:rsidRDefault="007F7A83" w:rsidP="008E7BC5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E7BC5">
        <w:rPr>
          <w:rFonts w:ascii="Segoe UI" w:eastAsia="Times New Roman" w:hAnsi="Segoe UI" w:cs="Segoe UI"/>
          <w:color w:val="0F1115"/>
          <w:sz w:val="24"/>
          <w:szCs w:val="24"/>
        </w:rPr>
        <w:t>Price Down / Volume Up (distribution) 24.2%</w:t>
      </w:r>
    </w:p>
    <w:p w:rsidR="007F7A83" w:rsidRDefault="0070285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02853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>
            <wp:extent cx="5848350" cy="2276362"/>
            <wp:effectExtent l="19050" t="19050" r="19050" b="10160"/>
            <wp:docPr id="3" name="Picture 3" descr="C:\Users\Namiri\Pictures\US Stock market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Namiri\Pictures\US Stock market\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503" cy="22861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02853" w:rsidRPr="007F7A83" w:rsidRDefault="00702853" w:rsidP="0070285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Insight: Over half of trading days show divergence. Recent price highs are accompanied by many “weak rally” signals – caution warranted.</w:t>
      </w:r>
    </w:p>
    <w:p w:rsidR="0008480E" w:rsidRDefault="0008480E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627714" w:rsidRDefault="00627714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627714" w:rsidRPr="007F7A83" w:rsidRDefault="00627714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3.4 Correlation </w:t>
      </w:r>
      <w:r w:rsidR="0063647A"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among</w:t>
      </w: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Tech Giants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Daily return correlation matrix (AAPL, MSFT, GOOGL, AMZN, META):</w:t>
      </w:r>
    </w:p>
    <w:p w:rsidR="0063647A" w:rsidRDefault="0063647A" w:rsidP="0063647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AAPL AMZN GOOGL META MSFT</w:t>
      </w:r>
    </w:p>
    <w:p w:rsidR="0063647A" w:rsidRDefault="0063647A" w:rsidP="0063647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AAPL 1.00 0.58 0.62 0.54 0.69</w:t>
      </w:r>
    </w:p>
    <w:p w:rsidR="0063647A" w:rsidRDefault="0063647A" w:rsidP="0063647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AMZN 0.58 1.00 0.63 0.61 0.66</w:t>
      </w:r>
    </w:p>
    <w:p w:rsidR="0063647A" w:rsidRDefault="0063647A" w:rsidP="0063647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GOOGL 0.62 0.63 1.00 0.61 0.68</w:t>
      </w:r>
    </w:p>
    <w:p w:rsidR="0063647A" w:rsidRDefault="0063647A" w:rsidP="0063647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META 0.54 0.61 0.61 1.00 0.60</w:t>
      </w:r>
    </w:p>
    <w:p w:rsidR="007F7A83" w:rsidRDefault="007F7A83" w:rsidP="0063647A">
      <w:pPr>
        <w:pStyle w:val="ListParagraph"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63647A">
        <w:rPr>
          <w:rFonts w:ascii="Segoe UI" w:eastAsia="Times New Roman" w:hAnsi="Segoe UI" w:cs="Segoe UI"/>
          <w:color w:val="0F1115"/>
          <w:sz w:val="24"/>
          <w:szCs w:val="24"/>
        </w:rPr>
        <w:t>MSFT 0.69 0.66 0.68 0.60 1.00</w:t>
      </w:r>
    </w:p>
    <w:p w:rsidR="0063647A" w:rsidRPr="0063647A" w:rsidRDefault="0063647A" w:rsidP="0063647A">
      <w:pPr>
        <w:pStyle w:val="ListParagraph"/>
        <w:shd w:val="clear" w:color="auto" w:fill="FFFFFF"/>
        <w:spacing w:after="0" w:line="240" w:lineRule="auto"/>
        <w:ind w:left="90" w:hanging="90"/>
        <w:rPr>
          <w:rFonts w:ascii="Segoe UI" w:eastAsia="Times New Roman" w:hAnsi="Segoe UI" w:cs="Segoe UI"/>
          <w:color w:val="0F1115"/>
          <w:sz w:val="24"/>
          <w:szCs w:val="24"/>
        </w:rPr>
      </w:pPr>
      <w:r w:rsidRPr="0063647A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>
            <wp:extent cx="5895975" cy="4610100"/>
            <wp:effectExtent l="19050" t="19050" r="28575" b="19050"/>
            <wp:docPr id="4" name="Picture 4" descr="C:\Users\Namiri\Pictures\US Stock market\US-Stock-Market-Analysis-ipynb-Colab-05-24-2026_03_01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Namiri\Pictures\US Stock market\US-Stock-Market-Analysis-ipynb-Colab-05-24-2026_03_01_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610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Insight: All correlations positive (0.54–0.69). No diversification within tech mega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caps. Cross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correlation (AAPL → MSFT) is significant only at lag 0 – no lead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lag relationship.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7F7A83" w:rsidRPr="007F7A83" w:rsidRDefault="007F7A83" w:rsidP="002E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7A83" w:rsidRPr="007F7A83" w:rsidRDefault="007F7A83" w:rsidP="00DC1E54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DIAGNOSTIC ANALYTICS</w:t>
      </w:r>
    </w:p>
    <w:p w:rsidR="007F7A83" w:rsidRDefault="007F7A83" w:rsidP="00DC1E54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Objective: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 Uncover root statistical properties – stationarity, autocorrelation, seasonal patterns, and event impact.</w:t>
      </w:r>
    </w:p>
    <w:p w:rsidR="00DC1E54" w:rsidRPr="007F7A83" w:rsidRDefault="00DC1E54" w:rsidP="00DC1E54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4.1 Stationarity &amp; White Noise</w:t>
      </w:r>
    </w:p>
    <w:p w:rsidR="007F7A83" w:rsidRPr="007F7A83" w:rsidRDefault="007F7A83" w:rsidP="00DC1E54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ADF test on AAPL closing price: p=0.78 → non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stationary (unit root).</w:t>
      </w:r>
    </w:p>
    <w:p w:rsidR="007F7A83" w:rsidRPr="007F7A83" w:rsidRDefault="007F7A83" w:rsidP="00DC1E54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ADF test on daily returns: p≈0.00 → stationary.</w:t>
      </w:r>
    </w:p>
    <w:p w:rsidR="007F7A83" w:rsidRPr="007F7A83" w:rsidRDefault="007F7A83" w:rsidP="00DC1E54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ACF/PACF of returns: no significant autocorrelation at any lag &gt;0 → white noise.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Implication: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 Past returns do not linearly predict future returns.</w:t>
      </w:r>
    </w:p>
    <w:p w:rsidR="007F7A83" w:rsidRDefault="007F7A83" w:rsidP="00DC1E5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DC1E54" w:rsidRDefault="00423DE1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23DE1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>
            <wp:extent cx="5895975" cy="4079875"/>
            <wp:effectExtent l="19050" t="19050" r="28575" b="15875"/>
            <wp:docPr id="9" name="Picture 9" descr="C:\Users\Namiri\Pictures\US Stock market\US-Stock-Market-Analysis-ipynb-Colab-05-25-2026_11_55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Namiri\Pictures\US Stock market\US-Stock-Market-Analysis-ipynb-Colab-05-25-2026_11_55_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9" cy="40798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C1E54" w:rsidRDefault="00DC1E54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DC1E54" w:rsidRPr="007F7A83" w:rsidRDefault="00DC1E54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4.2 Event Study – Worst Day (March 16, 2020)</w:t>
      </w:r>
    </w:p>
    <w:p w:rsidR="007F7A83" w:rsidRPr="007F7A83" w:rsidRDefault="007F7A83" w:rsidP="00DC1E54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Price fell from </w:t>
      </w:r>
      <w:r w:rsidRPr="007F7A83">
        <w:rPr>
          <w:rFonts w:ascii="Times New Roman" w:eastAsia="Times New Roman" w:hAnsi="Times New Roman" w:cs="Times New Roman"/>
          <w:color w:val="0F1115"/>
          <w:sz w:val="29"/>
          <w:szCs w:val="29"/>
        </w:rPr>
        <w:t>70</w:t>
      </w:r>
      <w:r w:rsidR="00DC1E54">
        <w:rPr>
          <w:rFonts w:ascii="Times New Roman" w:eastAsia="Times New Roman" w:hAnsi="Times New Roman" w:cs="Times New Roman"/>
          <w:color w:val="0F1115"/>
          <w:sz w:val="29"/>
          <w:szCs w:val="29"/>
        </w:rPr>
        <w:t xml:space="preserve"> </w:t>
      </w:r>
      <w:r w:rsidRPr="007F7A83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>to</w:t>
      </w:r>
      <w:r w:rsidR="00DC1E54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 xml:space="preserve"> 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60 on event day, bottomed near $55 a week later.</w:t>
      </w:r>
    </w:p>
    <w:p w:rsidR="007F7A83" w:rsidRPr="007F7A83" w:rsidRDefault="007F7A83" w:rsidP="00DC1E54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Volume peaked before the worst day (418M shares on March 12).</w:t>
      </w:r>
    </w:p>
    <w:p w:rsidR="007F7A83" w:rsidRDefault="007F7A83" w:rsidP="00DC1E54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Recovery began on March 24 (+10.03%) after Fed unlimited QE.</w:t>
      </w:r>
    </w:p>
    <w:p w:rsidR="00DC1E54" w:rsidRPr="007F7A83" w:rsidRDefault="00DC1E54" w:rsidP="00DC1E54">
      <w:pPr>
        <w:shd w:val="clear" w:color="auto" w:fill="FFFFFF"/>
        <w:spacing w:after="0" w:line="240" w:lineRule="auto"/>
        <w:ind w:left="-180" w:firstLine="180"/>
        <w:rPr>
          <w:rFonts w:ascii="Segoe UI" w:eastAsia="Times New Roman" w:hAnsi="Segoe UI" w:cs="Segoe UI"/>
          <w:color w:val="0F1115"/>
          <w:sz w:val="24"/>
          <w:szCs w:val="24"/>
        </w:rPr>
      </w:pPr>
      <w:r w:rsidRPr="00DC1E54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>
            <wp:extent cx="5895975" cy="2523490"/>
            <wp:effectExtent l="19050" t="19050" r="28575" b="10160"/>
            <wp:docPr id="5" name="Picture 5" descr="C:\Users\Namiri\Pictures\US Stock market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Namiri\Pictures\US Stock market\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3" cy="25300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5275E" w:rsidRDefault="00F5275E" w:rsidP="00DC1E5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5275E">
        <w:rPr>
          <w:rFonts w:ascii="Segoe UI" w:eastAsia="Times New Roman" w:hAnsi="Segoe UI" w:cs="Segoe UI"/>
          <w:noProof/>
          <w:color w:val="0F1115"/>
          <w:sz w:val="24"/>
          <w:szCs w:val="24"/>
        </w:rPr>
        <w:lastRenderedPageBreak/>
        <w:drawing>
          <wp:inline distT="0" distB="0" distL="0" distR="0">
            <wp:extent cx="5895975" cy="1188720"/>
            <wp:effectExtent l="19050" t="19050" r="28575" b="11430"/>
            <wp:docPr id="6" name="Picture 6" descr="C:\Users\Namiri\Pictures\US Stock market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Namiri\Pictures\US Stock market\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188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7A83" w:rsidRPr="007F7A83" w:rsidRDefault="007F7A83" w:rsidP="005E7B9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Insight: The worst day is rarely the best buying opportunity – wait for a strong follow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through day.</w:t>
      </w:r>
    </w:p>
    <w:p w:rsidR="00DC1E54" w:rsidRPr="007F7A83" w:rsidRDefault="00DC1E54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4.3 Seasonality &amp; Residual Analysis</w:t>
      </w:r>
    </w:p>
    <w:p w:rsidR="007F7A83" w:rsidRPr="007F7A83" w:rsidRDefault="007F7A83" w:rsidP="003954C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Seasonal decomposition (additive, period=252 trading days):</w:t>
      </w:r>
    </w:p>
    <w:p w:rsidR="007F7A83" w:rsidRPr="007F7A83" w:rsidRDefault="007F7A83" w:rsidP="003954C0">
      <w:pPr>
        <w:numPr>
          <w:ilvl w:val="1"/>
          <w:numId w:val="28"/>
        </w:numPr>
        <w:shd w:val="clear" w:color="auto" w:fill="FFFFFF"/>
        <w:tabs>
          <w:tab w:val="clear" w:pos="1440"/>
        </w:tabs>
        <w:spacing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Strong upward trend.</w:t>
      </w:r>
    </w:p>
    <w:p w:rsidR="007F7A83" w:rsidRPr="007F7A83" w:rsidRDefault="007F7A83" w:rsidP="003954C0">
      <w:pPr>
        <w:numPr>
          <w:ilvl w:val="1"/>
          <w:numId w:val="28"/>
        </w:numPr>
        <w:shd w:val="clear" w:color="auto" w:fill="FFFFFF"/>
        <w:tabs>
          <w:tab w:val="clear" w:pos="1440"/>
        </w:tabs>
        <w:spacing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Weak but stable annual seasonality (e.g., iPhone launch lift in Sept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Oct).</w:t>
      </w:r>
    </w:p>
    <w:p w:rsidR="007F7A83" w:rsidRPr="007F7A83" w:rsidRDefault="007F7A83" w:rsidP="003954C0">
      <w:pPr>
        <w:numPr>
          <w:ilvl w:val="1"/>
          <w:numId w:val="28"/>
        </w:numPr>
        <w:shd w:val="clear" w:color="auto" w:fill="FFFFFF"/>
        <w:tabs>
          <w:tab w:val="clear" w:pos="1440"/>
        </w:tabs>
        <w:spacing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Residuals show volatility clustering – justifies GARCH modeling.</w:t>
      </w:r>
    </w:p>
    <w:p w:rsidR="007F7A83" w:rsidRDefault="00722532" w:rsidP="007225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532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>
            <wp:extent cx="5867400" cy="2095500"/>
            <wp:effectExtent l="19050" t="19050" r="19050" b="19050"/>
            <wp:docPr id="7" name="Picture 7" descr="C:\Users\Namiri\Pictures\US Stock market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Namiri\Pictures\US Stock market\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86" cy="2095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2532" w:rsidRDefault="00722532" w:rsidP="007225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2532" w:rsidRDefault="00722532" w:rsidP="007225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2532" w:rsidRDefault="00722532" w:rsidP="007225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2532" w:rsidRPr="007F7A83" w:rsidRDefault="00722532" w:rsidP="007225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53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57875" cy="2125345"/>
            <wp:effectExtent l="19050" t="19050" r="28575" b="27305"/>
            <wp:docPr id="8" name="Picture 8" descr="C:\Users\Namiri\Pictures\US Stock market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Namiri\Pictures\US Stock market\1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994" cy="21257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22532" w:rsidRDefault="00722532" w:rsidP="00722532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8256E4" w:rsidRDefault="008256E4" w:rsidP="00722532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8256E4" w:rsidRDefault="008256E4" w:rsidP="00722532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8256E4" w:rsidRDefault="008256E4" w:rsidP="00722532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8256E4" w:rsidRDefault="008256E4" w:rsidP="00722532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8256E4" w:rsidRDefault="008256E4" w:rsidP="00722532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7F7A83" w:rsidRPr="007F7A83" w:rsidRDefault="007F7A83" w:rsidP="00722532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lastRenderedPageBreak/>
        <w:t>PREDICTIVE ANALYTICS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Objective: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 Forecast future prices, returns, and volatility.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5.1 ARIMA Price Forecast (AAPL)</w:t>
      </w:r>
    </w:p>
    <w:p w:rsidR="007F7A83" w:rsidRPr="007F7A83" w:rsidRDefault="007F7A83" w:rsidP="00181FF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Model: </w:t>
      </w:r>
      <w:r w:rsidR="00181FFA" w:rsidRPr="007F7A83">
        <w:rPr>
          <w:rFonts w:ascii="Segoe UI" w:eastAsia="Times New Roman" w:hAnsi="Segoe UI" w:cs="Segoe UI"/>
          <w:color w:val="0F1115"/>
          <w:sz w:val="24"/>
          <w:szCs w:val="24"/>
        </w:rPr>
        <w:t>ARIMA (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5</w:t>
      </w:r>
      <w:r w:rsidR="00181FFA" w:rsidRPr="007F7A83">
        <w:rPr>
          <w:rFonts w:ascii="Segoe UI" w:eastAsia="Times New Roman" w:hAnsi="Segoe UI" w:cs="Segoe UI"/>
          <w:color w:val="0F1115"/>
          <w:sz w:val="24"/>
          <w:szCs w:val="24"/>
        </w:rPr>
        <w:t>, 1, 0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) – all AR coefficients insignificant (p&gt;0.3).</w:t>
      </w:r>
    </w:p>
    <w:p w:rsidR="007F7A83" w:rsidRPr="007F7A83" w:rsidRDefault="007F7A83" w:rsidP="00181FF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Test MAE</w:t>
      </w:r>
      <w:r w:rsidR="00181FFA">
        <w:rPr>
          <w:rFonts w:ascii="Segoe UI" w:eastAsia="Times New Roman" w:hAnsi="Segoe UI" w:cs="Segoe UI"/>
          <w:color w:val="0F1115"/>
          <w:sz w:val="24"/>
          <w:szCs w:val="24"/>
        </w:rPr>
        <w:t>:</w:t>
      </w:r>
      <w:r w:rsidR="00181FFA" w:rsidRPr="007F7A83">
        <w:rPr>
          <w:rFonts w:ascii="Times New Roman" w:eastAsia="Times New Roman" w:hAnsi="Times New Roman" w:cs="Times New Roman"/>
          <w:color w:val="0F1115"/>
          <w:sz w:val="29"/>
          <w:szCs w:val="29"/>
        </w:rPr>
        <w:t xml:space="preserve"> 23.08;</w:t>
      </w:r>
      <w:r w:rsidR="00181FFA" w:rsidRPr="007F7A83">
        <w:rPr>
          <w:rFonts w:ascii="KaTeX_Math" w:eastAsia="Times New Roman" w:hAnsi="KaTeX_Math" w:cs="Times New Roman"/>
          <w:i/>
          <w:iCs/>
          <w:color w:val="0F1115"/>
          <w:sz w:val="29"/>
          <w:szCs w:val="29"/>
        </w:rPr>
        <w:t xml:space="preserve"> RMSE: 27.36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7F7A83" w:rsidRPr="007F7A83" w:rsidRDefault="007F7A83" w:rsidP="00181FF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Forecast lagged behind actual rising market.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Conclusion: ARIMA adds no value over a random walk.</w:t>
      </w:r>
    </w:p>
    <w:p w:rsidR="007F7A83" w:rsidRPr="007F7A83" w:rsidRDefault="008256E4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8256E4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>
            <wp:extent cx="5838825" cy="2867025"/>
            <wp:effectExtent l="19050" t="19050" r="28575" b="28575"/>
            <wp:docPr id="2" name="Picture 2" descr="C:\Users\Namiri\Pictures\US Stock market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amiri\Pictures\US Stock market\1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913" cy="28670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F7A83"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5.2 GARCH Volatility Forecast (AAPL Returns)</w:t>
      </w:r>
    </w:p>
    <w:p w:rsidR="007F7A83" w:rsidRPr="007F7A83" w:rsidRDefault="007F7A83" w:rsidP="008256E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Model: </w:t>
      </w:r>
      <w:r w:rsidR="008256E4" w:rsidRPr="007F7A83">
        <w:rPr>
          <w:rFonts w:ascii="Segoe UI" w:eastAsia="Times New Roman" w:hAnsi="Segoe UI" w:cs="Segoe UI"/>
          <w:color w:val="0F1115"/>
          <w:sz w:val="24"/>
          <w:szCs w:val="24"/>
        </w:rPr>
        <w:t>GARCH (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1</w:t>
      </w:r>
      <w:r w:rsidR="008256E4" w:rsidRPr="007F7A83">
        <w:rPr>
          <w:rFonts w:ascii="Segoe UI" w:eastAsia="Times New Roman" w:hAnsi="Segoe UI" w:cs="Segoe UI"/>
          <w:color w:val="0F1115"/>
          <w:sz w:val="24"/>
          <w:szCs w:val="24"/>
        </w:rPr>
        <w:t>, 1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7F7A83" w:rsidRPr="007F7A83" w:rsidRDefault="007F7A83" w:rsidP="008256E4">
      <w:pPr>
        <w:numPr>
          <w:ilvl w:val="1"/>
          <w:numId w:val="30"/>
        </w:numPr>
        <w:shd w:val="clear" w:color="auto" w:fill="FFFFFF"/>
        <w:tabs>
          <w:tab w:val="clear" w:pos="1440"/>
        </w:tabs>
        <w:spacing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α (shock persistence) = 0.0845 (p=0.010)</w:t>
      </w:r>
    </w:p>
    <w:p w:rsidR="007F7A83" w:rsidRPr="007F7A83" w:rsidRDefault="007F7A83" w:rsidP="008256E4">
      <w:pPr>
        <w:numPr>
          <w:ilvl w:val="1"/>
          <w:numId w:val="30"/>
        </w:numPr>
        <w:shd w:val="clear" w:color="auto" w:fill="FFFFFF"/>
        <w:tabs>
          <w:tab w:val="clear" w:pos="1440"/>
        </w:tabs>
        <w:spacing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β (volatility persistence) = 0.8841 (p&lt;0.001)</w:t>
      </w:r>
    </w:p>
    <w:p w:rsidR="007F7A83" w:rsidRPr="007F7A83" w:rsidRDefault="007F7A83" w:rsidP="008256E4">
      <w:pPr>
        <w:numPr>
          <w:ilvl w:val="1"/>
          <w:numId w:val="30"/>
        </w:numPr>
        <w:shd w:val="clear" w:color="auto" w:fill="FFFFFF"/>
        <w:tabs>
          <w:tab w:val="clear" w:pos="1440"/>
        </w:tabs>
        <w:spacing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α+</w:t>
      </w:r>
      <w:proofErr w:type="gramEnd"/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β = 0.9686 → high persistence, half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life ≈ 22 days.</w:t>
      </w:r>
    </w:p>
    <w:p w:rsidR="007F7A83" w:rsidRPr="007F7A83" w:rsidRDefault="007F7A83" w:rsidP="008256E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Out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of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sample forecast tracks 20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day realized volatility very well.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Conclusion: Volatility is highly predictable – use for risk management.</w:t>
      </w:r>
    </w:p>
    <w:p w:rsidR="008256E4" w:rsidRDefault="008256E4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8256E4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>
            <wp:extent cx="5848350" cy="2688590"/>
            <wp:effectExtent l="19050" t="19050" r="19050" b="16510"/>
            <wp:docPr id="10" name="Picture 10" descr="C:\Users\Namiri\Pictures\US Stock market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amiri\Pictures\US Stock market\1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060" cy="26889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256E4" w:rsidRDefault="008256E4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8256E4" w:rsidRDefault="008256E4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5.3 Random Forest Directional Model</w:t>
      </w:r>
    </w:p>
    <w:p w:rsidR="007F7A83" w:rsidRPr="007F7A83" w:rsidRDefault="007F7A83" w:rsidP="008256E4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Features: lagged return, volume change, 5d volatility, 20d volatility.</w:t>
      </w:r>
    </w:p>
    <w:p w:rsidR="007F7A83" w:rsidRPr="007F7A83" w:rsidRDefault="007F7A83" w:rsidP="008256E4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Target: next day up/down.</w:t>
      </w:r>
    </w:p>
    <w:p w:rsidR="007F7A83" w:rsidRPr="007F7A83" w:rsidRDefault="007F7A83" w:rsidP="008256E4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Accuracy: 50.8% (barely above coin flip).</w:t>
      </w:r>
    </w:p>
    <w:p w:rsidR="007F7A83" w:rsidRPr="007F7A83" w:rsidRDefault="007F7A83" w:rsidP="008256E4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Precision (Up): 0.54; F1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score (Up): 0.53.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Conclusion: Even non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linear models cannot predict daily direction for large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cap stocks.</w:t>
      </w:r>
    </w:p>
    <w:p w:rsidR="007F7A83" w:rsidRPr="007F7A83" w:rsidRDefault="008254A9" w:rsidP="00F00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4A9">
        <w:rPr>
          <w:rFonts w:ascii="Segoe UI" w:eastAsia="Times New Roman" w:hAnsi="Segoe UI" w:cs="Segoe UI"/>
          <w:noProof/>
          <w:color w:val="0F1115"/>
          <w:sz w:val="24"/>
          <w:szCs w:val="24"/>
        </w:rPr>
        <w:drawing>
          <wp:inline distT="0" distB="0" distL="0" distR="0">
            <wp:extent cx="5886450" cy="4181475"/>
            <wp:effectExtent l="19050" t="19050" r="19050" b="28575"/>
            <wp:docPr id="11" name="Picture 11" descr="C:\Users\Namiri\Pictures\US Stock market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amiri\Pictures\US Stock market\1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4181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7A83" w:rsidRPr="00AD065E" w:rsidRDefault="007F7A83" w:rsidP="00AD065E">
      <w:pPr>
        <w:numPr>
          <w:ilvl w:val="0"/>
          <w:numId w:val="15"/>
        </w:numPr>
        <w:shd w:val="clear" w:color="auto" w:fill="FFFFFF"/>
        <w:spacing w:after="0" w:line="240" w:lineRule="auto"/>
        <w:ind w:left="270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D065E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PRESCRIPTIVE ANALYTICS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Objective: Determine optimal portfolio allocation and trading rules.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D06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 Mean</w:t>
      </w:r>
      <w:r w:rsidRPr="00AD06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>Variance vs. Risk Parity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 (6 assets: AAPL, ABBV, AMZN, GOOGL, JNJ, MSFT)</w:t>
      </w:r>
    </w:p>
    <w:p w:rsidR="00AD065E" w:rsidRPr="00AD065E" w:rsidRDefault="007F7A83" w:rsidP="00AD06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D065E">
        <w:rPr>
          <w:rFonts w:ascii="Segoe UI" w:eastAsia="Times New Roman" w:hAnsi="Segoe UI" w:cs="Segoe UI"/>
          <w:color w:val="0F1115"/>
          <w:sz w:val="24"/>
          <w:szCs w:val="24"/>
        </w:rPr>
        <w:t>Max Sh</w:t>
      </w:r>
      <w:r w:rsidR="00AD065E" w:rsidRPr="00AD065E">
        <w:rPr>
          <w:rFonts w:ascii="Segoe UI" w:eastAsia="Times New Roman" w:hAnsi="Segoe UI" w:cs="Segoe UI"/>
          <w:color w:val="0F1115"/>
          <w:sz w:val="24"/>
          <w:szCs w:val="24"/>
        </w:rPr>
        <w:t>arpe (Mean</w:t>
      </w:r>
      <w:r w:rsidR="00AD065E" w:rsidRPr="00AD065E">
        <w:rPr>
          <w:rFonts w:ascii="Segoe UI" w:eastAsia="Times New Roman" w:hAnsi="Segoe UI" w:cs="Segoe UI"/>
          <w:color w:val="0F1115"/>
          <w:sz w:val="24"/>
          <w:szCs w:val="24"/>
        </w:rPr>
        <w:noBreakHyphen/>
        <w:t>Variance) portfolio:</w:t>
      </w:r>
    </w:p>
    <w:p w:rsidR="00AD065E" w:rsidRDefault="007F7A83" w:rsidP="00AD065E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D065E">
        <w:rPr>
          <w:rFonts w:ascii="Segoe UI" w:eastAsia="Times New Roman" w:hAnsi="Segoe UI" w:cs="Segoe UI"/>
          <w:color w:val="0F1115"/>
          <w:sz w:val="24"/>
          <w:szCs w:val="24"/>
        </w:rPr>
        <w:t xml:space="preserve">Weights: MSFT 41.8%, AMZN 31.7%, AAPL 14.5%, </w:t>
      </w:r>
      <w:r w:rsidR="00AD065E">
        <w:rPr>
          <w:rFonts w:ascii="Segoe UI" w:eastAsia="Times New Roman" w:hAnsi="Segoe UI" w:cs="Segoe UI"/>
          <w:color w:val="0F1115"/>
          <w:sz w:val="24"/>
          <w:szCs w:val="24"/>
        </w:rPr>
        <w:t>ABBV 12.0%, GOOGL 0%, JNJ 0%</w:t>
      </w:r>
    </w:p>
    <w:p w:rsidR="007F7A83" w:rsidRPr="00AD065E" w:rsidRDefault="007F7A83" w:rsidP="00AD065E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D065E">
        <w:rPr>
          <w:rFonts w:ascii="Segoe UI" w:eastAsia="Times New Roman" w:hAnsi="Segoe UI" w:cs="Segoe UI"/>
          <w:color w:val="0F1115"/>
          <w:sz w:val="24"/>
          <w:szCs w:val="24"/>
        </w:rPr>
        <w:t>Annual return: 24.5%, volatility: 20.5%, Sharpe: 1.19</w:t>
      </w:r>
    </w:p>
    <w:p w:rsidR="00AD065E" w:rsidRPr="00F00C33" w:rsidRDefault="007F7A83" w:rsidP="00F00C3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00C33">
        <w:rPr>
          <w:rFonts w:ascii="Segoe UI" w:eastAsia="Times New Roman" w:hAnsi="Segoe UI" w:cs="Segoe UI"/>
          <w:color w:val="0F1115"/>
          <w:sz w:val="24"/>
          <w:szCs w:val="24"/>
        </w:rPr>
        <w:t>Risk Parity (Equa</w:t>
      </w:r>
      <w:r w:rsidR="00AD065E" w:rsidRPr="00F00C33">
        <w:rPr>
          <w:rFonts w:ascii="Segoe UI" w:eastAsia="Times New Roman" w:hAnsi="Segoe UI" w:cs="Segoe UI"/>
          <w:color w:val="0F1115"/>
          <w:sz w:val="24"/>
          <w:szCs w:val="24"/>
        </w:rPr>
        <w:t>l risk contribution) portfolio:</w:t>
      </w:r>
    </w:p>
    <w:p w:rsidR="00AD065E" w:rsidRDefault="007F7A83" w:rsidP="00AD065E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D065E">
        <w:rPr>
          <w:rFonts w:ascii="Segoe UI" w:eastAsia="Times New Roman" w:hAnsi="Segoe UI" w:cs="Segoe UI"/>
          <w:color w:val="0F1115"/>
          <w:sz w:val="24"/>
          <w:szCs w:val="24"/>
        </w:rPr>
        <w:t>Weights: ABBV 26.8%, MSFT 21.3%, JNJ 13.2%, AMZN</w:t>
      </w:r>
      <w:r w:rsidR="00AD065E">
        <w:rPr>
          <w:rFonts w:ascii="Segoe UI" w:eastAsia="Times New Roman" w:hAnsi="Segoe UI" w:cs="Segoe UI"/>
          <w:color w:val="0F1115"/>
          <w:sz w:val="24"/>
          <w:szCs w:val="24"/>
        </w:rPr>
        <w:t xml:space="preserve"> 13.0%, GOOGL 12.9%, AAPL 12.8%</w:t>
      </w:r>
    </w:p>
    <w:p w:rsidR="007F7A83" w:rsidRPr="00AD065E" w:rsidRDefault="007F7A83" w:rsidP="00AD065E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D065E">
        <w:rPr>
          <w:rFonts w:ascii="Segoe UI" w:eastAsia="Times New Roman" w:hAnsi="Segoe UI" w:cs="Segoe UI"/>
          <w:color w:val="0F1115"/>
          <w:sz w:val="24"/>
          <w:szCs w:val="24"/>
        </w:rPr>
        <w:t>Annual return: ~22%, volatility: ~18%, Sharpe: ~1.22</w:t>
      </w:r>
    </w:p>
    <w:p w:rsidR="007F7A83" w:rsidRPr="00AD065E" w:rsidRDefault="007F7A83" w:rsidP="00AD065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D065E">
        <w:rPr>
          <w:rFonts w:ascii="Segoe UI" w:eastAsia="Times New Roman" w:hAnsi="Segoe UI" w:cs="Segoe UI"/>
          <w:color w:val="0F1115"/>
          <w:sz w:val="24"/>
          <w:szCs w:val="24"/>
        </w:rPr>
        <w:t>Insight: Risk parity is more robust and diversified (healthcare 40%, tech evenly split). Max Sharpe is extremely concentrated (73% in MSFT+AMZN) and sensitive to return estimates.</w:t>
      </w:r>
    </w:p>
    <w:p w:rsidR="00F00C33" w:rsidRDefault="00F00C3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F00C33" w:rsidRDefault="00F00C3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F00C33" w:rsidRDefault="00F00C3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D065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6.2 Efficient Frontier</w:t>
      </w:r>
    </w:p>
    <w:p w:rsidR="00F00C33" w:rsidRPr="00AD065E" w:rsidRDefault="00F00C3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7F7A83" w:rsidRPr="007F7A83" w:rsidRDefault="007F7A83" w:rsidP="00F00C33">
      <w:pPr>
        <w:numPr>
          <w:ilvl w:val="0"/>
          <w:numId w:val="34"/>
        </w:numPr>
        <w:shd w:val="clear" w:color="auto" w:fill="FFFFFF"/>
        <w:tabs>
          <w:tab w:val="clear" w:pos="720"/>
        </w:tabs>
        <w:spacing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5,000 random portfolios plotted; red star = max Sharpe on the upper boundary.</w:t>
      </w:r>
    </w:p>
    <w:p w:rsidR="007F7A83" w:rsidRPr="007F7A83" w:rsidRDefault="007F7A83" w:rsidP="00F00C33">
      <w:pPr>
        <w:numPr>
          <w:ilvl w:val="0"/>
          <w:numId w:val="34"/>
        </w:numPr>
        <w:shd w:val="clear" w:color="auto" w:fill="FFFFFF"/>
        <w:tabs>
          <w:tab w:val="clear" w:pos="720"/>
        </w:tabs>
        <w:spacing w:after="0" w:line="240" w:lineRule="auto"/>
        <w:ind w:left="360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Risk parity lies slightly left (lower risk, comparable Sharpe).</w:t>
      </w:r>
    </w:p>
    <w:p w:rsidR="007F7A83" w:rsidRPr="00F00C33" w:rsidRDefault="00F00C3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F00C33">
        <w:rPr>
          <w:rFonts w:ascii="Segoe UI" w:eastAsia="Times New Roman" w:hAnsi="Segoe UI" w:cs="Segoe UI"/>
          <w:b/>
          <w:bCs/>
          <w:noProof/>
          <w:color w:val="0F1115"/>
          <w:sz w:val="24"/>
          <w:szCs w:val="24"/>
        </w:rPr>
        <w:drawing>
          <wp:inline distT="0" distB="0" distL="0" distR="0">
            <wp:extent cx="5867400" cy="4008755"/>
            <wp:effectExtent l="19050" t="19050" r="19050" b="10795"/>
            <wp:docPr id="12" name="Picture 12" descr="C:\Users\Namiri\Pictures\US Stock market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amiri\Pictures\US Stock market\1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741" cy="40089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F7A83" w:rsidRPr="00F00C3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6.3 Trading Rule Evaluation – MA Crossover on AAPL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Rule: Long when 20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day SMA &gt; 50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day SMA; flat otherwise.</w:t>
      </w:r>
    </w:p>
    <w:p w:rsidR="00CB3C70" w:rsidRPr="00CB3C70" w:rsidRDefault="007F7A83" w:rsidP="00CB3C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B3C70">
        <w:rPr>
          <w:rFonts w:ascii="Segoe UI" w:eastAsia="Times New Roman" w:hAnsi="Segoe UI" w:cs="Segoe UI"/>
          <w:color w:val="0F1115"/>
          <w:sz w:val="24"/>
          <w:szCs w:val="24"/>
        </w:rPr>
        <w:t>Year Buy &amp; Hold (cumula</w:t>
      </w:r>
      <w:r w:rsidR="00CB3C70" w:rsidRPr="00CB3C70">
        <w:rPr>
          <w:rFonts w:ascii="Segoe UI" w:eastAsia="Times New Roman" w:hAnsi="Segoe UI" w:cs="Segoe UI"/>
          <w:color w:val="0F1115"/>
          <w:sz w:val="24"/>
          <w:szCs w:val="24"/>
        </w:rPr>
        <w:t>tive) MA Crossover (cumulative)</w:t>
      </w:r>
    </w:p>
    <w:p w:rsidR="00CB3C70" w:rsidRDefault="00CB3C70" w:rsidP="00CB3C70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2020 1.05 1.00</w:t>
      </w:r>
    </w:p>
    <w:p w:rsidR="00CB3C70" w:rsidRDefault="00CB3C70" w:rsidP="00CB3C70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2021 1.80 1.50</w:t>
      </w:r>
    </w:p>
    <w:p w:rsidR="00CB3C70" w:rsidRDefault="00CB3C70" w:rsidP="00CB3C70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2022 2.40 1.60</w:t>
      </w:r>
    </w:p>
    <w:p w:rsidR="00CB3C70" w:rsidRDefault="00CB3C70" w:rsidP="00CB3C70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2023 2.10 1.30</w:t>
      </w:r>
    </w:p>
    <w:p w:rsidR="00CB3C70" w:rsidRDefault="00CB3C70" w:rsidP="00CB3C70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2024 2.60 1.50</w:t>
      </w:r>
    </w:p>
    <w:p w:rsidR="00CB3C70" w:rsidRDefault="00CB3C70" w:rsidP="00CB3C70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2025 3.20 1.70</w:t>
      </w:r>
    </w:p>
    <w:p w:rsidR="007F7A83" w:rsidRPr="00CB3C70" w:rsidRDefault="007F7A83" w:rsidP="00CB3C70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left="450"/>
        <w:rPr>
          <w:rFonts w:ascii="Segoe UI" w:eastAsia="Times New Roman" w:hAnsi="Segoe UI" w:cs="Segoe UI"/>
          <w:color w:val="0F1115"/>
          <w:sz w:val="24"/>
          <w:szCs w:val="24"/>
        </w:rPr>
      </w:pPr>
      <w:r w:rsidRPr="00CB3C70">
        <w:rPr>
          <w:rFonts w:ascii="Segoe UI" w:eastAsia="Times New Roman" w:hAnsi="Segoe UI" w:cs="Segoe UI"/>
          <w:color w:val="0F1115"/>
          <w:sz w:val="24"/>
          <w:szCs w:val="24"/>
        </w:rPr>
        <w:t>2026 3.90 1.90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Total return: Buy &amp; hold +290% vs. MA crossover +90%.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Conclusion: Simple trend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following fails in strong bull markets – not recommended.</w:t>
      </w:r>
    </w:p>
    <w:p w:rsidR="007F7A83" w:rsidRPr="007F7A83" w:rsidRDefault="00CB3C70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B3C70">
        <w:rPr>
          <w:rFonts w:ascii="Segoe UI" w:eastAsia="Times New Roman" w:hAnsi="Segoe UI" w:cs="Segoe UI"/>
          <w:noProof/>
          <w:color w:val="0F1115"/>
          <w:sz w:val="24"/>
          <w:szCs w:val="24"/>
        </w:rPr>
        <w:lastRenderedPageBreak/>
        <w:drawing>
          <wp:inline distT="0" distB="0" distL="0" distR="0">
            <wp:extent cx="5867400" cy="3141345"/>
            <wp:effectExtent l="19050" t="19050" r="19050" b="20955"/>
            <wp:docPr id="13" name="Picture 13" descr="C:\Users\Namiri\Pictures\US Stock market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amiri\Pictures\US Stock market\16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908" cy="314161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F7A83" w:rsidRPr="00CB3C7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6.4 Final Portfolio Recommendations</w:t>
      </w:r>
    </w:p>
    <w:p w:rsidR="007F7A83" w:rsidRPr="007F7A83" w:rsidRDefault="007F7A83" w:rsidP="00CB3C70">
      <w:pPr>
        <w:numPr>
          <w:ilvl w:val="0"/>
          <w:numId w:val="3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Strategic allocation: Risk parity weights (as above). Rebalance semi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annually.</w:t>
      </w:r>
    </w:p>
    <w:p w:rsidR="007F7A83" w:rsidRPr="007F7A83" w:rsidRDefault="007F7A83" w:rsidP="00CB3C70">
      <w:pPr>
        <w:numPr>
          <w:ilvl w:val="0"/>
          <w:numId w:val="3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Volatility overlay: Target 15% annualized volatility. Use GARCH forecast to scale exposure</w:t>
      </w:r>
      <w:proofErr w:type="gramStart"/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:</w:t>
      </w:r>
      <w:proofErr w:type="gramEnd"/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br/>
        <w:t>Exposure = Target</w:t>
      </w:r>
      <w:r w:rsidR="0016749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Vol / Forecast</w:t>
      </w:r>
      <w:r w:rsidR="0016749C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PortVol</w:t>
      </w:r>
      <w:proofErr w:type="spellEnd"/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 (capped at 1.5x).</w:t>
      </w:r>
    </w:p>
    <w:p w:rsidR="007F7A83" w:rsidRPr="007F7A83" w:rsidRDefault="007F7A83" w:rsidP="00CB3C70">
      <w:pPr>
        <w:numPr>
          <w:ilvl w:val="0"/>
          <w:numId w:val="3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Stop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loss rule: For each position, entry – 2 × (daily GARCH σ × √holding days).</w:t>
      </w:r>
    </w:p>
    <w:p w:rsidR="007F7A83" w:rsidRPr="007F7A83" w:rsidRDefault="007F7A83" w:rsidP="00CB3C70">
      <w:pPr>
        <w:numPr>
          <w:ilvl w:val="0"/>
          <w:numId w:val="37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Avoid: Directional timing based on historical returns, simple MA crossovers, </w:t>
      </w:r>
      <w:r w:rsidR="00CB3C70" w:rsidRPr="007F7A83">
        <w:rPr>
          <w:rFonts w:ascii="Segoe UI" w:eastAsia="Times New Roman" w:hAnsi="Segoe UI" w:cs="Segoe UI"/>
          <w:color w:val="0F1115"/>
          <w:sz w:val="24"/>
          <w:szCs w:val="24"/>
        </w:rPr>
        <w:t>and concentrated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 xml:space="preserve"> mean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variance portfolios.</w:t>
      </w:r>
    </w:p>
    <w:p w:rsidR="007F7A83" w:rsidRPr="007F7A83" w:rsidRDefault="007F7A83" w:rsidP="002E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F7A83" w:rsidRPr="0016749C" w:rsidRDefault="007F7A83" w:rsidP="00E73208">
      <w:pPr>
        <w:numPr>
          <w:ilvl w:val="0"/>
          <w:numId w:val="18"/>
        </w:numPr>
        <w:shd w:val="clear" w:color="auto" w:fill="FFFFFF"/>
        <w:spacing w:after="0" w:line="240" w:lineRule="auto"/>
        <w:ind w:left="270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16749C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KEY RECOMMENDATIONS</w:t>
      </w:r>
    </w:p>
    <w:p w:rsidR="007F7A83" w:rsidRPr="007F7A83" w:rsidRDefault="007F7A83" w:rsidP="0016749C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Do not attempt to predict daily price direction for large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cap US stocks – no statistical edge.</w:t>
      </w:r>
    </w:p>
    <w:p w:rsidR="007F7A83" w:rsidRPr="007F7A83" w:rsidRDefault="007F7A83" w:rsidP="0016749C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Do forecast volatility using GARCH – use it for position sizing and stop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loss management.</w:t>
      </w:r>
    </w:p>
    <w:p w:rsidR="007F7A83" w:rsidRPr="007F7A83" w:rsidRDefault="007F7A83" w:rsidP="0016749C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Adopt risk parity as the core strategic allocation – it is robust to estimation error.</w:t>
      </w:r>
    </w:p>
    <w:p w:rsidR="007F7A83" w:rsidRPr="007F7A83" w:rsidRDefault="007F7A83" w:rsidP="0016749C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Avoid simple moving average crossover rules – they severely underperform buy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and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hold in trending markets.</w:t>
      </w:r>
    </w:p>
    <w:p w:rsidR="007F7A83" w:rsidRPr="007F7A83" w:rsidRDefault="007F7A83" w:rsidP="0016749C">
      <w:pPr>
        <w:numPr>
          <w:ilvl w:val="0"/>
          <w:numId w:val="38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Combine tech with healthcare (ABBV, JNJ) to reduce portfolio concentration and improve risk</w:t>
      </w: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noBreakHyphen/>
        <w:t>adjusted returns.</w:t>
      </w:r>
    </w:p>
    <w:p w:rsidR="007F7A83" w:rsidRPr="007F7A83" w:rsidRDefault="007F7A83" w:rsidP="002E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7A83" w:rsidRPr="007F7A83" w:rsidRDefault="007F7A83" w:rsidP="002E5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7A83" w:rsidRPr="00E73208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E7320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REPORT</w:t>
      </w:r>
    </w:p>
    <w:p w:rsidR="007F7A83" w:rsidRPr="007F7A83" w:rsidRDefault="007F7A83" w:rsidP="002E5CC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7F7A83">
        <w:rPr>
          <w:rFonts w:ascii="Segoe UI" w:eastAsia="Times New Roman" w:hAnsi="Segoe UI" w:cs="Segoe UI"/>
          <w:color w:val="0F1115"/>
          <w:sz w:val="24"/>
          <w:szCs w:val="24"/>
        </w:rPr>
        <w:t>This analysis is for informational purposes only. Past performance does not guarantee future results</w:t>
      </w:r>
    </w:p>
    <w:p w:rsidR="005777C1" w:rsidRDefault="00627714" w:rsidP="002E5CC7">
      <w:pPr>
        <w:spacing w:after="0"/>
      </w:pPr>
    </w:p>
    <w:sectPr w:rsidR="005777C1" w:rsidSect="00E2218A">
      <w:pgSz w:w="12240" w:h="15840"/>
      <w:pgMar w:top="99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67169"/>
    <w:multiLevelType w:val="multilevel"/>
    <w:tmpl w:val="192E3C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0511"/>
    <w:multiLevelType w:val="multilevel"/>
    <w:tmpl w:val="33CE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37C42"/>
    <w:multiLevelType w:val="multilevel"/>
    <w:tmpl w:val="884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84C74"/>
    <w:multiLevelType w:val="multilevel"/>
    <w:tmpl w:val="737A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457C4"/>
    <w:multiLevelType w:val="multilevel"/>
    <w:tmpl w:val="6CF68B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B4136"/>
    <w:multiLevelType w:val="multilevel"/>
    <w:tmpl w:val="D452DB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94522"/>
    <w:multiLevelType w:val="hybridMultilevel"/>
    <w:tmpl w:val="C25AA07A"/>
    <w:lvl w:ilvl="0" w:tplc="8028F6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C2CBD"/>
    <w:multiLevelType w:val="hybridMultilevel"/>
    <w:tmpl w:val="3782FF32"/>
    <w:lvl w:ilvl="0" w:tplc="8028F6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E0B25"/>
    <w:multiLevelType w:val="hybridMultilevel"/>
    <w:tmpl w:val="53B0F342"/>
    <w:lvl w:ilvl="0" w:tplc="8028F6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B555A"/>
    <w:multiLevelType w:val="hybridMultilevel"/>
    <w:tmpl w:val="5BFA020C"/>
    <w:lvl w:ilvl="0" w:tplc="8028F6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A1608"/>
    <w:multiLevelType w:val="multilevel"/>
    <w:tmpl w:val="A9B29E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623F2"/>
    <w:multiLevelType w:val="hybridMultilevel"/>
    <w:tmpl w:val="41D2725C"/>
    <w:lvl w:ilvl="0" w:tplc="8028F6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16A42"/>
    <w:multiLevelType w:val="multilevel"/>
    <w:tmpl w:val="54AA5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665FB4"/>
    <w:multiLevelType w:val="multilevel"/>
    <w:tmpl w:val="9A7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546F"/>
    <w:multiLevelType w:val="multilevel"/>
    <w:tmpl w:val="E676C0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F5315"/>
    <w:multiLevelType w:val="multilevel"/>
    <w:tmpl w:val="1F6246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A54CA"/>
    <w:multiLevelType w:val="multilevel"/>
    <w:tmpl w:val="4610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C0F5A"/>
    <w:multiLevelType w:val="hybridMultilevel"/>
    <w:tmpl w:val="6490727A"/>
    <w:lvl w:ilvl="0" w:tplc="8028F6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0520B5"/>
    <w:multiLevelType w:val="multilevel"/>
    <w:tmpl w:val="E0CA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96BDF"/>
    <w:multiLevelType w:val="multilevel"/>
    <w:tmpl w:val="2ED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31AA8"/>
    <w:multiLevelType w:val="multilevel"/>
    <w:tmpl w:val="C616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D31A4"/>
    <w:multiLevelType w:val="multilevel"/>
    <w:tmpl w:val="38F2F9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EC4DC9"/>
    <w:multiLevelType w:val="multilevel"/>
    <w:tmpl w:val="A768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E730E"/>
    <w:multiLevelType w:val="multilevel"/>
    <w:tmpl w:val="5B9499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732A3"/>
    <w:multiLevelType w:val="multilevel"/>
    <w:tmpl w:val="A0FEBD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5A2E22"/>
    <w:multiLevelType w:val="multilevel"/>
    <w:tmpl w:val="382C45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07DEA"/>
    <w:multiLevelType w:val="multilevel"/>
    <w:tmpl w:val="8C5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12CDD"/>
    <w:multiLevelType w:val="hybridMultilevel"/>
    <w:tmpl w:val="C06EC9FC"/>
    <w:lvl w:ilvl="0" w:tplc="8028F6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B31D3"/>
    <w:multiLevelType w:val="multilevel"/>
    <w:tmpl w:val="3A68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B33021"/>
    <w:multiLevelType w:val="multilevel"/>
    <w:tmpl w:val="39AE42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5735C3"/>
    <w:multiLevelType w:val="multilevel"/>
    <w:tmpl w:val="678CEE8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8236E"/>
    <w:multiLevelType w:val="multilevel"/>
    <w:tmpl w:val="F4CA72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E342D5"/>
    <w:multiLevelType w:val="multilevel"/>
    <w:tmpl w:val="3502E4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54334E"/>
    <w:multiLevelType w:val="multilevel"/>
    <w:tmpl w:val="0FD602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B5309C"/>
    <w:multiLevelType w:val="multilevel"/>
    <w:tmpl w:val="1C1A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8711A"/>
    <w:multiLevelType w:val="multilevel"/>
    <w:tmpl w:val="8300F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BE54E5"/>
    <w:multiLevelType w:val="multilevel"/>
    <w:tmpl w:val="3D40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77793"/>
    <w:multiLevelType w:val="hybridMultilevel"/>
    <w:tmpl w:val="0DE8E18E"/>
    <w:lvl w:ilvl="0" w:tplc="8028F6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35"/>
  </w:num>
  <w:num w:numId="4">
    <w:abstractNumId w:val="28"/>
  </w:num>
  <w:num w:numId="5">
    <w:abstractNumId w:val="33"/>
  </w:num>
  <w:num w:numId="6">
    <w:abstractNumId w:val="18"/>
  </w:num>
  <w:num w:numId="7">
    <w:abstractNumId w:val="15"/>
  </w:num>
  <w:num w:numId="8">
    <w:abstractNumId w:val="26"/>
  </w:num>
  <w:num w:numId="9">
    <w:abstractNumId w:val="20"/>
  </w:num>
  <w:num w:numId="10">
    <w:abstractNumId w:val="22"/>
  </w:num>
  <w:num w:numId="11">
    <w:abstractNumId w:val="29"/>
  </w:num>
  <w:num w:numId="12">
    <w:abstractNumId w:val="34"/>
  </w:num>
  <w:num w:numId="13">
    <w:abstractNumId w:val="2"/>
  </w:num>
  <w:num w:numId="14">
    <w:abstractNumId w:val="3"/>
  </w:num>
  <w:num w:numId="15">
    <w:abstractNumId w:val="4"/>
  </w:num>
  <w:num w:numId="16">
    <w:abstractNumId w:val="36"/>
  </w:num>
  <w:num w:numId="17">
    <w:abstractNumId w:val="16"/>
  </w:num>
  <w:num w:numId="18">
    <w:abstractNumId w:val="5"/>
  </w:num>
  <w:num w:numId="19">
    <w:abstractNumId w:val="21"/>
  </w:num>
  <w:num w:numId="20">
    <w:abstractNumId w:val="32"/>
  </w:num>
  <w:num w:numId="21">
    <w:abstractNumId w:val="8"/>
  </w:num>
  <w:num w:numId="22">
    <w:abstractNumId w:val="37"/>
  </w:num>
  <w:num w:numId="23">
    <w:abstractNumId w:val="14"/>
  </w:num>
  <w:num w:numId="24">
    <w:abstractNumId w:val="27"/>
  </w:num>
  <w:num w:numId="25">
    <w:abstractNumId w:val="9"/>
  </w:num>
  <w:num w:numId="26">
    <w:abstractNumId w:val="31"/>
  </w:num>
  <w:num w:numId="27">
    <w:abstractNumId w:val="0"/>
  </w:num>
  <w:num w:numId="28">
    <w:abstractNumId w:val="19"/>
  </w:num>
  <w:num w:numId="29">
    <w:abstractNumId w:val="24"/>
  </w:num>
  <w:num w:numId="30">
    <w:abstractNumId w:val="13"/>
  </w:num>
  <w:num w:numId="31">
    <w:abstractNumId w:val="23"/>
  </w:num>
  <w:num w:numId="32">
    <w:abstractNumId w:val="7"/>
  </w:num>
  <w:num w:numId="33">
    <w:abstractNumId w:val="11"/>
  </w:num>
  <w:num w:numId="34">
    <w:abstractNumId w:val="25"/>
  </w:num>
  <w:num w:numId="35">
    <w:abstractNumId w:val="6"/>
  </w:num>
  <w:num w:numId="36">
    <w:abstractNumId w:val="17"/>
  </w:num>
  <w:num w:numId="37">
    <w:abstractNumId w:val="30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A83"/>
    <w:rsid w:val="0008480E"/>
    <w:rsid w:val="0016749C"/>
    <w:rsid w:val="00181FFA"/>
    <w:rsid w:val="00220BD2"/>
    <w:rsid w:val="002E5CC7"/>
    <w:rsid w:val="003954C0"/>
    <w:rsid w:val="00423DE1"/>
    <w:rsid w:val="0044681C"/>
    <w:rsid w:val="004A2D18"/>
    <w:rsid w:val="005E7B93"/>
    <w:rsid w:val="00627714"/>
    <w:rsid w:val="0063647A"/>
    <w:rsid w:val="00702853"/>
    <w:rsid w:val="00722532"/>
    <w:rsid w:val="007F7A83"/>
    <w:rsid w:val="008254A9"/>
    <w:rsid w:val="008256E4"/>
    <w:rsid w:val="00874B96"/>
    <w:rsid w:val="008E7BC5"/>
    <w:rsid w:val="00AD065E"/>
    <w:rsid w:val="00CB3C70"/>
    <w:rsid w:val="00DC1E54"/>
    <w:rsid w:val="00E2218A"/>
    <w:rsid w:val="00E27BAD"/>
    <w:rsid w:val="00E7005E"/>
    <w:rsid w:val="00E73208"/>
    <w:rsid w:val="00F00C33"/>
    <w:rsid w:val="00F5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3EC4A"/>
  <w15:chartTrackingRefBased/>
  <w15:docId w15:val="{2ED8C75D-7033-41D2-B931-D4C75CCA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7A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s-markdown-paragraph">
    <w:name w:val="ds-markdown-paragraph"/>
    <w:basedOn w:val="Normal"/>
    <w:rsid w:val="007F7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F7A83"/>
  </w:style>
  <w:style w:type="character" w:customStyle="1" w:styleId="mord">
    <w:name w:val="mord"/>
    <w:basedOn w:val="DefaultParagraphFont"/>
    <w:rsid w:val="007F7A83"/>
  </w:style>
  <w:style w:type="character" w:customStyle="1" w:styleId="mpunct">
    <w:name w:val="mpunct"/>
    <w:basedOn w:val="DefaultParagraphFont"/>
    <w:rsid w:val="007F7A83"/>
  </w:style>
  <w:style w:type="character" w:customStyle="1" w:styleId="mrel">
    <w:name w:val="mrel"/>
    <w:basedOn w:val="DefaultParagraphFont"/>
    <w:rsid w:val="007F7A83"/>
  </w:style>
  <w:style w:type="paragraph" w:styleId="ListParagraph">
    <w:name w:val="List Paragraph"/>
    <w:basedOn w:val="Normal"/>
    <w:uiPriority w:val="34"/>
    <w:qFormat/>
    <w:rsid w:val="002E5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4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11</Pages>
  <Words>1238</Words>
  <Characters>7062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Nematullah Amiri</dc:creator>
  <cp:keywords/>
  <dc:description/>
  <cp:lastModifiedBy>Nematullah Amiri</cp:lastModifiedBy>
  <cp:revision>22</cp:revision>
  <dcterms:created xsi:type="dcterms:W3CDTF">2026-05-25T06:21:00Z</dcterms:created>
  <dcterms:modified xsi:type="dcterms:W3CDTF">2026-05-31T05:08:00Z</dcterms:modified>
</cp:coreProperties>
</file>