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360" w:lineRule="auto"/>
        <w:jc w:val="both"/>
        <w:rPr>
          <w:rFonts w:ascii="Times New Roman" w:hAnsi="Times New Roman" w:cs="Times New Roman" w:hint="cs"/>
          <w:sz w:val="28"/>
          <w:szCs w:val="28"/>
          <w:lang w:val="ru-RU"/>
        </w:rPr>
      </w:pPr>
      <w:r>
        <w:rPr>
          <w:rFonts w:ascii="Times New Roman" w:hAnsi="Times New Roman" w:cs="Times New Roman" w:hint="cs"/>
          <w:sz w:val="28"/>
          <w:szCs w:val="28"/>
          <w:lang w:val="ru-RU"/>
        </w:rPr>
        <w:t xml:space="preserve">УДК 621.311:004.852</w:t>
      </w:r>
    </w:p>
    <w:p>
      <w:pPr>
        <w:snapToGrid w:val="0"/>
        <w:spacing w:after="0" w:line="360" w:lineRule="auto"/>
        <w:ind w:left="6237"/>
        <w:jc w:val="both"/>
        <w:rPr>
          <w:rFonts w:ascii="Times New Roman" w:hAnsi="Times New Roman" w:cs="Times New Roman" w:hint="cs"/>
          <w:sz w:val="28"/>
          <w:szCs w:val="28"/>
          <w:lang w:val="en-US"/>
        </w:rPr>
      </w:pPr>
      <w:r>
        <w:rPr>
          <w:rFonts w:ascii="Times New Roman" w:hAnsi="Times New Roman" w:cs="Times New Roman" w:hint="cs"/>
          <w:sz w:val="28"/>
          <w:szCs w:val="28"/>
          <w:lang w:val="ru-RU"/>
        </w:rPr>
        <w:t xml:space="preserve">Нематжанов М. М.</w:t>
      </w:r>
    </w:p>
    <w:p>
      <w:pPr>
        <w:snapToGrid w:val="0"/>
        <w:spacing w:after="0" w:line="360" w:lineRule="auto"/>
        <w:ind w:left="6237"/>
        <w:jc w:val="both"/>
        <w:rPr>
          <w:rFonts w:ascii="Times New Roman" w:hAnsi="Times New Roman" w:cs="Times New Roman" w:hint="cs"/>
          <w:sz w:val="28"/>
          <w:szCs w:val="28"/>
          <w:lang w:val="en-US"/>
        </w:rPr>
      </w:pPr>
      <w:r>
        <w:rPr>
          <w:rFonts w:ascii="Times New Roman" w:hAnsi="Times New Roman" w:cs="Times New Roman" w:hint="cs"/>
          <w:sz w:val="28"/>
          <w:szCs w:val="28"/>
          <w:lang w:val="en-US"/>
        </w:rPr>
        <w:t xml:space="preserve">Nematzhanov M. M.</w:t>
      </w:r>
    </w:p>
    <w:p>
      <w:pPr>
        <w:shd w:val="clear" w:color="auto" w:fill="FFFFFF"/>
        <w:tabs>
          <w:tab w:val="left" w:pos="605"/>
        </w:tabs>
        <w:suppressAutoHyphens/>
        <w:spacing w:line="240" w:lineRule="auto"/>
        <w:ind w:right="-613"/>
        <w:jc w:val="center"/>
        <w:rPr>
          <w:rFonts w:ascii="Times New Roman" w:eastAsia="Times New Roman" w:hAnsi="Times New Roman" w:cs="Times New Roman" w:hint="cs"/>
          <w:b/>
          <w:bCs/>
          <w:caps/>
          <w:sz w:val="28"/>
          <w:szCs w:val="28"/>
          <w:lang w:eastAsia="ar-SA"/>
        </w:rPr>
      </w:pPr>
      <w:r>
        <w:rPr>
          <w:rFonts w:ascii="Times New Roman" w:eastAsia="Times New Roman" w:hAnsi="Times New Roman" w:cs="Times New Roman" w:hint="cs"/>
          <w:b/>
          <w:bCs/>
          <w:caps/>
          <w:sz w:val="28"/>
          <w:szCs w:val="28"/>
          <w:lang w:eastAsia="ar-SA"/>
        </w:rPr>
        <w:t xml:space="preserve">ПРОГНОЗИРОВАНИЕ ЭЛЕКТРОПОТРЕБЛЕНИЯ ОЭС СЕВЕРО-ЗАПАДА МЕТОДАМИ МАШИННОГО ОБУЧЕНИЯ С УЧЁТОМ ПОГОДНЫХ ФАКТОРОВ</w:t>
      </w:r>
    </w:p>
    <w:p>
      <w:pPr>
        <w:shd w:val="clear" w:color="auto" w:fill="FFFFFF"/>
        <w:tabs>
          <w:tab w:val="left" w:pos="605"/>
        </w:tabs>
        <w:suppressAutoHyphens/>
        <w:spacing w:line="240" w:lineRule="auto"/>
        <w:ind w:right="-613"/>
        <w:jc w:val="center"/>
        <w:rPr>
          <w:rFonts w:ascii="Times New Roman" w:eastAsia="Times New Roman" w:hAnsi="Times New Roman" w:cs="Times New Roman" w:hint="cs"/>
          <w:b/>
          <w:bCs/>
          <w:caps/>
          <w:sz w:val="28"/>
          <w:szCs w:val="28"/>
          <w:lang w:eastAsia="ar-SA"/>
        </w:rPr>
      </w:pPr>
      <w:r>
        <w:rPr>
          <w:rFonts w:ascii="Times New Roman" w:eastAsia="Times New Roman" w:hAnsi="Times New Roman" w:cs="Times New Roman" w:hint="cs"/>
          <w:b/>
          <w:bCs/>
          <w:caps/>
          <w:sz w:val="28"/>
          <w:szCs w:val="28"/>
          <w:lang w:eastAsia="ar-SA"/>
        </w:rPr>
        <w:t xml:space="preserve">FORECASTING ELECTRICITY CONSUMPTION OF THE NORTH-WEST POWER SYSTEM USING MACHINE LEARNING WITH WEATHER FACTORS</w:t>
      </w:r>
    </w:p>
    <w:p>
      <w:pPr>
        <w:shd w:val="clear" w:color="auto" w:fill="FFFFFF"/>
        <w:tabs>
          <w:tab w:val="left" w:pos="605"/>
        </w:tabs>
        <w:suppressAutoHyphens/>
        <w:spacing w:line="240" w:lineRule="auto"/>
        <w:ind w:right="-613"/>
        <w:jc w:val="center"/>
        <w:rPr>
          <w:rFonts w:ascii="Times New Roman" w:eastAsia="Times New Roman" w:hAnsi="Times New Roman" w:cs="Times New Roman" w:hint="cs"/>
          <w:caps/>
          <w:sz w:val="28"/>
          <w:szCs w:val="28"/>
          <w:lang w:eastAsia="ar-SA"/>
        </w:rPr>
      </w:pPr>
    </w:p>
    <w:p>
      <w:pPr>
        <w:spacing w:after="0" w:line="360" w:lineRule="auto"/>
        <w:ind w:firstLine="709"/>
        <w:jc w:val="both"/>
        <w:rPr>
          <w:rFonts w:ascii="Times New Roman" w:hAnsi="Times New Roman" w:cs="Times New Roman" w:hint="cs"/>
          <w:lang w:val="ru-RU"/>
        </w:rPr>
      </w:pPr>
      <w:r>
        <w:rPr>
          <w:rFonts w:ascii="Times New Roman" w:hAnsi="Times New Roman" w:cs="Times New Roman" w:hint="cs"/>
          <w:b/>
          <w:bCs/>
          <w:lang w:val="ru-RU"/>
        </w:rPr>
        <w:t xml:space="preserve">Аннотация.</w:t>
      </w:r>
      <w:r>
        <w:rPr>
          <w:rFonts w:ascii="Times New Roman" w:hAnsi="Times New Roman" w:cs="Times New Roman" w:hint="cs"/>
          <w:lang w:val="ru-RU"/>
        </w:rPr>
        <w:t xml:space="preserve"> Рассматривается прогнозирование почасового электропотребления ОЭС Северо-Запада на сутки вперёд с учётом погоды. По открытым данным АО «СО ЕЭС» за 2021–2026 гг. и прогнозам погоды для девяти городов региона сравниваются градиентный бустинг LightGBM и предобученная модель временных рядов Chronos-2. При проверке на целом годе с прогнозом погоды, выпущенным накануне, наименьшую ошибку показала модель Chronos-2, дообученная методом низкоранговой адаптации LoRA: 0,84 %, что в 3,3 раза меньше, чем у наивного прогноза. Учёт погоды снижает ошибку LightGBM на 30 %.</w:t>
      </w:r>
    </w:p>
    <w:p>
      <w:pPr>
        <w:spacing w:after="0" w:line="360" w:lineRule="auto"/>
        <w:ind w:firstLine="709"/>
        <w:jc w:val="both"/>
        <w:rPr>
          <w:rFonts w:ascii="Times New Roman" w:hAnsi="Times New Roman" w:cs="Times New Roman" w:hint="cs"/>
          <w:lang w:val="ru-RU"/>
        </w:rPr>
      </w:pPr>
    </w:p>
    <w:p>
      <w:pPr>
        <w:spacing w:after="0" w:line="360" w:lineRule="auto"/>
        <w:ind w:firstLine="709"/>
        <w:jc w:val="both"/>
        <w:rPr>
          <w:rFonts w:ascii="Times New Roman" w:hAnsi="Times New Roman" w:cs="Times New Roman" w:hint="cs"/>
          <w:lang w:val="en-US"/>
        </w:rPr>
      </w:pPr>
      <w:r>
        <w:rPr>
          <w:rFonts w:ascii="Times New Roman" w:hAnsi="Times New Roman" w:cs="Times New Roman" w:hint="cs"/>
          <w:b/>
          <w:bCs/>
          <w:lang w:val="en-US"/>
        </w:rPr>
        <w:t xml:space="preserve">Abstract.</w:t>
      </w:r>
      <w:r>
        <w:rPr>
          <w:rFonts w:ascii="Times New Roman" w:hAnsi="Times New Roman" w:cs="Times New Roman" w:hint="cs"/>
          <w:lang w:val="en-US"/>
        </w:rPr>
        <w:t xml:space="preserve"> The paper addresses day-ahead forecasting of hourly electricity consumption of the North-West power system of Russia taking weather into account. Using open data of the System Operator for 2021–2026 and weather forecasts for nine cities of the region, the LightGBM gradient boosting model and the pretrained time series model Chronos-2 are compared. In a full-year test with weather forecasts issued the day before, Chronos-2 fine-tuned with LoRA achieved the lowest error of 0.84 %, which is 3.3 times lower than that of the naive forecast. Weather data reduce the LightGBM error by 30 %.</w:t>
      </w:r>
    </w:p>
    <w:p>
      <w:pPr>
        <w:spacing w:after="0" w:line="360" w:lineRule="auto"/>
        <w:ind w:firstLine="709"/>
        <w:jc w:val="both"/>
        <w:rPr>
          <w:rFonts w:ascii="Times New Roman" w:hAnsi="Times New Roman" w:cs="Times New Roman" w:hint="cs"/>
          <w:lang w:val="ru-RU"/>
        </w:rPr>
      </w:pPr>
    </w:p>
    <w:p>
      <w:pPr>
        <w:spacing w:after="0" w:line="360" w:lineRule="auto"/>
        <w:ind w:firstLine="709"/>
        <w:jc w:val="both"/>
        <w:rPr>
          <w:rFonts w:ascii="Times New Roman" w:hAnsi="Times New Roman" w:cs="Times New Roman" w:hint="cs"/>
          <w:lang w:val="ru-RU"/>
        </w:rPr>
      </w:pPr>
      <w:r>
        <w:rPr>
          <w:rFonts w:ascii="Times New Roman" w:hAnsi="Times New Roman" w:cs="Times New Roman" w:hint="cs"/>
          <w:b/>
          <w:bCs/>
          <w:lang w:val="ru-RU"/>
        </w:rPr>
        <w:t xml:space="preserve">Ключевые слова:</w:t>
      </w:r>
      <w:r>
        <w:rPr>
          <w:rFonts w:ascii="Times New Roman" w:hAnsi="Times New Roman" w:cs="Times New Roman" w:hint="cs"/>
          <w:lang w:val="ru-RU"/>
        </w:rPr>
        <w:t xml:space="preserve"> прогнозирование электропотребления, машинное обучение, погодные факторы, ОЭС Северо-Запада, LightGBM, Chronos-2.</w:t>
      </w:r>
    </w:p>
    <w:p>
      <w:pPr>
        <w:spacing w:after="0" w:line="360" w:lineRule="auto"/>
        <w:ind w:firstLine="709"/>
        <w:jc w:val="both"/>
        <w:rPr>
          <w:rFonts w:ascii="Times New Roman" w:hAnsi="Times New Roman" w:cs="Times New Roman" w:hint="cs"/>
          <w:lang w:val="ru-RU"/>
        </w:rPr>
      </w:pPr>
    </w:p>
    <w:p>
      <w:pPr>
        <w:spacing w:after="0" w:line="360" w:lineRule="auto"/>
        <w:ind w:firstLine="709"/>
        <w:jc w:val="both"/>
        <w:rPr>
          <w:rFonts w:ascii="Times New Roman" w:hAnsi="Times New Roman" w:cs="Times New Roman" w:hint="cs"/>
          <w:lang w:val="en-US"/>
        </w:rPr>
      </w:pPr>
      <w:r>
        <w:rPr>
          <w:rFonts w:ascii="Times New Roman" w:hAnsi="Times New Roman" w:cs="Times New Roman" w:hint="cs"/>
          <w:b/>
          <w:bCs/>
          <w:lang w:val="en-US"/>
        </w:rPr>
        <w:t xml:space="preserve">Keywords:</w:t>
      </w:r>
      <w:r>
        <w:rPr>
          <w:rFonts w:ascii="Times New Roman" w:hAnsi="Times New Roman" w:cs="Times New Roman" w:hint="cs"/>
          <w:lang w:val="en-US"/>
        </w:rPr>
        <w:t xml:space="preserve"> electricity consumption forecasting, machine learning, weather factors, North-West power system, LightGBM, Chronos-2.</w:t>
      </w:r>
    </w:p>
    <w:p>
      <w:pPr>
        <w:keepNext/>
        <w:spacing w:after="480" w:line="360" w:lineRule="auto"/>
        <w:ind w:right="-612"/>
        <w:jc w:val="center"/>
        <w:outlineLvl w:val="0"/>
        <w:rPr>
          <w:rFonts w:ascii="Times New Roman" w:hAnsi="Times New Roman" w:cs="Times New Roman" w:hint="cs"/>
          <w:sz w:val="28"/>
          <w:szCs w:val="28"/>
          <w:lang w:val="ru-RU"/>
        </w:rPr>
      </w:pPr>
      <w:r>
        <w:rPr>
          <w:rFonts w:ascii="Times New Roman" w:hAnsi="Times New Roman" w:cs="Times New Roman" w:hint="cs"/>
          <w:sz w:val="28"/>
          <w:szCs w:val="28"/>
          <w:lang w:val="ru-RU"/>
        </w:rPr>
        <w:t xml:space="preserve">Введение</w:t>
      </w:r>
    </w:p>
    <w:p>
      <w:pPr>
        <w:spacing w:after="0" w:line="360" w:lineRule="auto"/>
        <w:ind w:right="-612" w:firstLine="709"/>
        <w:jc w:val="both"/>
        <w:rPr>
          <w:rFonts w:ascii="Times New Roman" w:hAnsi="Times New Roman" w:cs="Times New Roman" w:hint="cs"/>
          <w:sz w:val="28"/>
          <w:szCs w:val="28"/>
          <w:lang w:val="ru-RU"/>
        </w:rPr>
      </w:pPr>
      <w:r>
        <w:rPr>
          <w:rFonts w:ascii="Times New Roman" w:hAnsi="Times New Roman" w:cs="Times New Roman" w:hint="cs"/>
          <w:sz w:val="28"/>
          <w:szCs w:val="28"/>
          <w:lang w:val="ru-RU"/>
        </w:rPr>
        <w:t xml:space="preserve">Прогноз электропотребления на сутки вперёд лежит в основе планирования режимов энергосистемы и торговли на рынке на сутки вперёд</w:t>
      </w:r>
      <w:r>
        <w:rPr>
          <w:rFonts w:ascii="Times New Roman" w:hAnsi="Times New Roman" w:cs="Times New Roman" w:hint="cs"/>
          <w:sz w:val="28"/>
          <w:szCs w:val="28"/>
          <w:vertAlign w:val="superscript"/>
          <w:lang w:val="ru-RU"/>
        </w:rPr>
        <w:t xml:space="preserve">[1]</w:t>
      </w:r>
      <w:r>
        <w:rPr>
          <w:rFonts w:ascii="Times New Roman" w:hAnsi="Times New Roman" w:cs="Times New Roman" w:hint="cs"/>
          <w:sz w:val="28"/>
          <w:szCs w:val="28"/>
          <w:lang w:val="ru-RU"/>
        </w:rPr>
        <w:t xml:space="preserve">. Для ОЭС Северо-Запада задача осложняется климатом: значительная часть нагрузки связана с отоплением и освещением, поэтому потребление сильно зависит от температуры. Наряду с градиентным бустингом</w:t>
      </w:r>
      <w:r>
        <w:rPr>
          <w:rFonts w:ascii="Times New Roman" w:hAnsi="Times New Roman" w:cs="Times New Roman" w:hint="cs"/>
          <w:sz w:val="28"/>
          <w:szCs w:val="28"/>
          <w:vertAlign w:val="superscript"/>
          <w:lang w:val="ru-RU"/>
        </w:rPr>
        <w:t xml:space="preserve">[1; 2]</w:t>
      </w:r>
      <w:r>
        <w:rPr>
          <w:rFonts w:ascii="Times New Roman" w:hAnsi="Times New Roman" w:cs="Times New Roman" w:hint="cs"/>
          <w:sz w:val="28"/>
          <w:szCs w:val="28"/>
          <w:lang w:val="ru-RU"/>
        </w:rPr>
        <w:t xml:space="preserve"> появились предобученные модели временных рядов, среди которых выделяется Chronos-2, способная учитывать внешние факторы</w:t>
      </w:r>
      <w:r>
        <w:rPr>
          <w:rFonts w:ascii="Times New Roman" w:hAnsi="Times New Roman" w:cs="Times New Roman" w:hint="cs"/>
          <w:sz w:val="28"/>
          <w:szCs w:val="28"/>
          <w:vertAlign w:val="superscript"/>
          <w:lang w:val="ru-RU"/>
        </w:rPr>
        <w:t xml:space="preserve">[3]</w:t>
      </w:r>
      <w:r>
        <w:rPr>
          <w:rFonts w:ascii="Times New Roman" w:hAnsi="Times New Roman" w:cs="Times New Roman" w:hint="cs"/>
          <w:sz w:val="28"/>
          <w:szCs w:val="28"/>
          <w:lang w:val="ru-RU"/>
        </w:rPr>
        <w:t xml:space="preserve">; дообучение таких моделей на данных энергосистемы заметно повышает точность</w:t>
      </w:r>
      <w:r>
        <w:rPr>
          <w:rFonts w:ascii="Times New Roman" w:hAnsi="Times New Roman" w:cs="Times New Roman" w:hint="cs"/>
          <w:sz w:val="28"/>
          <w:szCs w:val="28"/>
          <w:vertAlign w:val="superscript"/>
          <w:lang w:val="ru-RU"/>
        </w:rPr>
        <w:t xml:space="preserve">[4]</w:t>
      </w:r>
      <w:r>
        <w:rPr>
          <w:rFonts w:ascii="Times New Roman" w:hAnsi="Times New Roman" w:cs="Times New Roman" w:hint="cs"/>
          <w:sz w:val="28"/>
          <w:szCs w:val="28"/>
          <w:lang w:val="ru-RU"/>
        </w:rPr>
        <w:t xml:space="preserve">. Цель работы — сравнить эти подходы на данных ОЭС Северо-Запада и оценить вклад погоды.</w:t>
      </w:r>
    </w:p>
    <w:p>
      <w:pPr>
        <w:keepNext/>
        <w:spacing w:after="0" w:line="360" w:lineRule="auto"/>
        <w:ind w:right="-612" w:firstLine="709"/>
        <w:jc w:val="center"/>
        <w:outlineLvl w:val="0"/>
        <w:rPr>
          <w:rFonts w:ascii="Times New Roman" w:hAnsi="Times New Roman" w:cs="Times New Roman" w:hint="cs"/>
          <w:b/>
          <w:bCs/>
          <w:sz w:val="28"/>
          <w:szCs w:val="28"/>
          <w:lang w:val="ru-RU"/>
        </w:rPr>
      </w:pPr>
      <w:r>
        <w:rPr>
          <w:rFonts w:ascii="Times New Roman" w:hAnsi="Times New Roman" w:cs="Times New Roman" w:hint="cs"/>
          <w:b/>
          <w:bCs/>
          <w:sz w:val="28"/>
          <w:szCs w:val="28"/>
          <w:lang w:val="ru-RU"/>
        </w:rPr>
        <w:t xml:space="preserve">Данные</w:t>
      </w:r>
    </w:p>
    <w:p>
      <w:pPr>
        <w:spacing w:after="0" w:line="360" w:lineRule="auto"/>
        <w:ind w:right="-612" w:firstLine="709"/>
        <w:jc w:val="both"/>
        <w:rPr>
          <w:rFonts w:ascii="Times New Roman" w:hAnsi="Times New Roman" w:cs="Times New Roman" w:hint="cs"/>
          <w:sz w:val="28"/>
          <w:szCs w:val="28"/>
          <w:lang w:val="ru-RU"/>
        </w:rPr>
      </w:pPr>
      <w:r>
        <w:rPr>
          <w:rFonts w:ascii="Times New Roman" w:hAnsi="Times New Roman" w:cs="Times New Roman" w:hint="cs"/>
          <w:sz w:val="28"/>
          <w:szCs w:val="28"/>
          <w:lang w:val="ru-RU"/>
        </w:rPr>
        <w:t xml:space="preserve">Использованы почасовые данные о потреблении ОЭС Северо-Запада с сайта АО «СО ЕЭС» за 01.01.2021–29.09.2026 (50 349 значений)</w:t>
      </w:r>
      <w:r>
        <w:rPr>
          <w:rFonts w:ascii="Times New Roman" w:hAnsi="Times New Roman" w:cs="Times New Roman" w:hint="cs"/>
          <w:sz w:val="28"/>
          <w:szCs w:val="28"/>
          <w:vertAlign w:val="superscript"/>
          <w:lang w:val="ru-RU"/>
        </w:rPr>
        <w:t xml:space="preserve">[5]</w:t>
      </w:r>
      <w:r>
        <w:rPr>
          <w:rFonts w:ascii="Times New Roman" w:hAnsi="Times New Roman" w:cs="Times New Roman" w:hint="cs"/>
          <w:sz w:val="28"/>
          <w:szCs w:val="28"/>
          <w:lang w:val="ru-RU"/>
        </w:rPr>
        <w:t xml:space="preserve">, погода для девяти городов региона из сервиса Open-Meteo</w:t>
      </w:r>
      <w:r>
        <w:rPr>
          <w:rFonts w:ascii="Times New Roman" w:hAnsi="Times New Roman" w:cs="Times New Roman" w:hint="cs"/>
          <w:sz w:val="28"/>
          <w:szCs w:val="28"/>
          <w:vertAlign w:val="superscript"/>
          <w:lang w:val="ru-RU"/>
        </w:rPr>
        <w:t xml:space="preserve">[6]</w:t>
      </w:r>
      <w:r>
        <w:rPr>
          <w:rFonts w:ascii="Times New Roman" w:hAnsi="Times New Roman" w:cs="Times New Roman" w:hint="cs"/>
          <w:sz w:val="28"/>
          <w:szCs w:val="28"/>
          <w:lang w:val="ru-RU"/>
        </w:rPr>
        <w:t xml:space="preserve">, усреднённая с весами по численности населения, и производственный календарь. Для обучения использован реанализ ERA5</w:t>
      </w:r>
      <w:r>
        <w:rPr>
          <w:rFonts w:ascii="Times New Roman" w:hAnsi="Times New Roman" w:cs="Times New Roman" w:hint="cs"/>
          <w:sz w:val="28"/>
          <w:szCs w:val="28"/>
          <w:vertAlign w:val="superscript"/>
          <w:lang w:val="ru-RU"/>
        </w:rPr>
        <w:t xml:space="preserve">[7]</w:t>
      </w:r>
      <w:r>
        <w:rPr>
          <w:rFonts w:ascii="Times New Roman" w:hAnsi="Times New Roman" w:cs="Times New Roman" w:hint="cs"/>
          <w:sz w:val="28"/>
          <w:szCs w:val="28"/>
          <w:lang w:val="ru-RU"/>
        </w:rPr>
        <w:t xml:space="preserve">, для проверки — прогноз погоды, выпущенный за сутки. Коэффициент корреляции потребления и температуры равен −0,94 (рисунок 1): в морозы ниже −10 °C потребление в среднем на 45 % выше, чем в дни теплее +15 °C.</w:t>
      </w:r>
    </w:p>
    <w:p>
      <w:pPr>
        <w:keepNext/>
        <w:spacing w:before="120" w:after="0" w:line="240" w:lineRule="auto"/>
        <w:jc w:val="center"/>
      </w:pPr>
      <w:r>
        <w:rPr>
          <w:noProof/>
        </w:rPr>
        <w:drawing>
          <wp:inline distT="0" distB="0" distL="0" distR="0">
            <wp:extent cx="4140000" cy="2014388"/>
            <wp:effectExtent l="0" t="0" r="0" b="0"/>
            <wp:docPr id="101" name="Рисунок 1" descr="Зависимость среднесуточного потребления ОЭС Северо-Запада от температуры воздуха, 2021–2026 г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ticle_fig1.png"/>
                    <pic:cNvPicPr/>
                  </pic:nvPicPr>
                  <pic:blipFill>
                    <a:blip r:embed="rIdImg1"/>
                    <a:stretch>
                      <a:fillRect/>
                    </a:stretch>
                  </pic:blipFill>
                  <pic:spPr>
                    <a:xfrm>
                      <a:off x="0" y="0"/>
                      <a:ext cx="4140000" cy="2014388"/>
                    </a:xfrm>
                    <a:prstGeom prst="rect">
                      <a:avLst/>
                    </a:prstGeom>
                  </pic:spPr>
                </pic:pic>
              </a:graphicData>
            </a:graphic>
          </wp:inline>
        </w:drawing>
      </w:r>
    </w:p>
    <w:p>
      <w:pPr>
        <w:spacing w:before="0" w:after="120" w:line="360" w:lineRule="auto"/>
        <w:jc w:val="center"/>
      </w:pPr>
      <w:r>
        <w:rPr>
          <w:rFonts w:ascii="Times New Roman" w:hAnsi="Times New Roman" w:cs="Times New Roman" w:hint="cs"/>
          <w:sz w:val="28"/>
          <w:szCs w:val="28"/>
          <w:lang w:val="ru-RU"/>
        </w:rPr>
        <w:t xml:space="preserve">Рисунок 1 – Зависимость среднесуточного потребления ОЭС Северо-Запада от температуры воздуха, 2021–2026 гг.</w:t>
      </w:r>
    </w:p>
    <w:p>
      <w:pPr>
        <w:keepNext/>
        <w:spacing w:after="0" w:line="360" w:lineRule="auto"/>
        <w:ind w:right="-612" w:firstLine="709"/>
        <w:jc w:val="center"/>
        <w:outlineLvl w:val="0"/>
        <w:rPr>
          <w:rFonts w:ascii="Times New Roman" w:hAnsi="Times New Roman" w:cs="Times New Roman" w:hint="cs"/>
          <w:b/>
          <w:bCs/>
          <w:sz w:val="28"/>
          <w:szCs w:val="28"/>
          <w:lang w:val="ru-RU"/>
        </w:rPr>
      </w:pPr>
      <w:r>
        <w:rPr>
          <w:rFonts w:ascii="Times New Roman" w:hAnsi="Times New Roman" w:cs="Times New Roman" w:hint="cs"/>
          <w:b/>
          <w:bCs/>
          <w:sz w:val="28"/>
          <w:szCs w:val="28"/>
          <w:lang w:val="ru-RU"/>
        </w:rPr>
        <w:t xml:space="preserve">Модели и методика проверки</w:t>
      </w:r>
    </w:p>
    <w:p>
      <w:pPr>
        <w:spacing w:after="0" w:line="360" w:lineRule="auto"/>
        <w:ind w:right="-612" w:firstLine="709"/>
        <w:jc w:val="both"/>
        <w:rPr>
          <w:rFonts w:ascii="Times New Roman" w:hAnsi="Times New Roman" w:cs="Times New Roman" w:hint="cs"/>
          <w:sz w:val="28"/>
          <w:szCs w:val="28"/>
          <w:lang w:val="ru-RU"/>
        </w:rPr>
      </w:pPr>
      <w:r>
        <w:rPr>
          <w:rFonts w:ascii="Times New Roman" w:hAnsi="Times New Roman" w:cs="Times New Roman" w:hint="cs"/>
          <w:sz w:val="28"/>
          <w:szCs w:val="28"/>
          <w:lang w:val="ru-RU"/>
        </w:rPr>
        <w:t xml:space="preserve">Прогноз на сутки D выпускается в 09:00 предыдущих суток; модель рассчитывает 24 часовых значения, точность оценивается средней абсолютной процентной ошибкой (MAPE). LightGBM</w:t>
      </w:r>
      <w:r>
        <w:rPr>
          <w:rFonts w:ascii="Times New Roman" w:hAnsi="Times New Roman" w:cs="Times New Roman" w:hint="cs"/>
          <w:sz w:val="28"/>
          <w:szCs w:val="28"/>
          <w:vertAlign w:val="superscript"/>
          <w:lang w:val="ru-RU"/>
        </w:rPr>
        <w:t xml:space="preserve">[2]</w:t>
      </w:r>
      <w:r>
        <w:rPr>
          <w:rFonts w:ascii="Times New Roman" w:hAnsi="Times New Roman" w:cs="Times New Roman" w:hint="cs"/>
          <w:sz w:val="28"/>
          <w:szCs w:val="28"/>
          <w:lang w:val="ru-RU"/>
        </w:rPr>
        <w:t xml:space="preserve"> использует потребление за 2–14 суток до целевого часа, прогноз погоды, градусо-часы отопления и тип дня и переобучается ежемесячно. Chronos-2 — предобученный трансформер со 120 млн параметров</w:t>
      </w:r>
      <w:r>
        <w:rPr>
          <w:rFonts w:ascii="Times New Roman" w:hAnsi="Times New Roman" w:cs="Times New Roman" w:hint="cs"/>
          <w:sz w:val="28"/>
          <w:szCs w:val="28"/>
          <w:vertAlign w:val="superscript"/>
          <w:lang w:val="ru-RU"/>
        </w:rPr>
        <w:t xml:space="preserve">[3]</w:t>
      </w:r>
      <w:r>
        <w:rPr>
          <w:rFonts w:ascii="Times New Roman" w:hAnsi="Times New Roman" w:cs="Times New Roman" w:hint="cs"/>
          <w:sz w:val="28"/>
          <w:szCs w:val="28"/>
          <w:lang w:val="ru-RU"/>
        </w:rPr>
        <w:t xml:space="preserve">, получающий погоду и календарь как внешние факторы; он дообучен методом низкоранговой адаптации LoRA</w:t>
      </w:r>
      <w:r>
        <w:rPr>
          <w:rFonts w:ascii="Times New Roman" w:hAnsi="Times New Roman" w:cs="Times New Roman" w:hint="cs"/>
          <w:sz w:val="28"/>
          <w:szCs w:val="28"/>
          <w:vertAlign w:val="superscript"/>
          <w:lang w:val="ru-RU"/>
        </w:rPr>
        <w:t xml:space="preserve">[8]</w:t>
      </w:r>
      <w:r>
        <w:rPr>
          <w:rFonts w:ascii="Times New Roman" w:hAnsi="Times New Roman" w:cs="Times New Roman" w:hint="cs"/>
          <w:sz w:val="28"/>
          <w:szCs w:val="28"/>
          <w:lang w:val="ru-RU"/>
        </w:rPr>
        <w:t xml:space="preserve"> на данных 2021 – сентября 2025 г. за 47 мин на ноутбуке Apple M3. Тестовый период — 01.10.2025–29.09.2026 (8 736 ч); при проверке использовался только прогноз погоды, известный накануне.</w:t>
      </w:r>
    </w:p>
    <w:p>
      <w:pPr>
        <w:keepNext/>
        <w:spacing w:after="0" w:line="360" w:lineRule="auto"/>
        <w:ind w:right="-612" w:firstLine="709"/>
        <w:jc w:val="center"/>
        <w:outlineLvl w:val="0"/>
        <w:rPr>
          <w:rFonts w:ascii="Times New Roman" w:hAnsi="Times New Roman" w:cs="Times New Roman" w:hint="cs"/>
          <w:b/>
          <w:bCs/>
          <w:sz w:val="28"/>
          <w:szCs w:val="28"/>
          <w:lang w:val="ru-RU"/>
        </w:rPr>
      </w:pPr>
      <w:r>
        <w:rPr>
          <w:rFonts w:ascii="Times New Roman" w:hAnsi="Times New Roman" w:cs="Times New Roman" w:hint="cs"/>
          <w:b/>
          <w:bCs/>
          <w:sz w:val="28"/>
          <w:szCs w:val="28"/>
          <w:lang w:val="ru-RU"/>
        </w:rPr>
        <w:t xml:space="preserve">Результаты</w:t>
      </w:r>
    </w:p>
    <w:p>
      <w:pPr>
        <w:spacing w:after="0" w:line="360" w:lineRule="auto"/>
        <w:ind w:right="-612" w:firstLine="709"/>
        <w:jc w:val="both"/>
        <w:rPr>
          <w:rFonts w:ascii="Times New Roman" w:hAnsi="Times New Roman" w:cs="Times New Roman" w:hint="cs"/>
          <w:sz w:val="28"/>
          <w:szCs w:val="28"/>
          <w:lang w:val="ru-RU"/>
        </w:rPr>
      </w:pPr>
      <w:r>
        <w:rPr>
          <w:rFonts w:ascii="Times New Roman" w:hAnsi="Times New Roman" w:cs="Times New Roman" w:hint="cs"/>
          <w:sz w:val="28"/>
          <w:szCs w:val="28"/>
          <w:lang w:val="ru-RU"/>
        </w:rPr>
        <w:t xml:space="preserve">Лучшую точность показала дообученная Chronos-2 (таблица 1): MAPE 0,84 %, средняя ошибка 96 МВт, что в 3,3 раза точнее наивного прогноза. Прогноз погоды снизил ошибку LightGBM с 1,39 до 0,97 %, то есть на 30 %; с фактической погодой ошибка составила бы 0,95 %, поэтому точности прогноза погоды достаточно.</w:t>
      </w:r>
    </w:p>
    <w:p>
      <w:pPr>
        <w:keepNext/>
        <w:spacing w:before="120" w:after="0" w:line="360" w:lineRule="auto"/>
        <w:jc w:val="left"/>
      </w:pPr>
      <w:r>
        <w:rPr>
          <w:rFonts w:ascii="Times New Roman" w:hAnsi="Times New Roman" w:cs="Times New Roman" w:hint="cs"/>
          <w:sz w:val="28"/>
          <w:szCs w:val="28"/>
          <w:lang w:val="ru-RU"/>
        </w:rPr>
        <w:t xml:space="preserve">Таблица 1 – Точность прогноза на сутки вперёд, 01.10.2025–29.09.2026</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Pr>
      <w:tblGrid>
        <w:gridCol w:w="5426"/>
        <w:gridCol w:w="1800"/>
        <w:gridCol w:w="1800"/>
      </w:tblGrid>
      <w:tr>
        <w:trPr>
          <w:tblHeader/>
        </w:trPr>
        <w:tc>
          <w:tcPr>
            <w:tcW w:w="5426" w:type="dxa"/>
            <w:vAlign w:val="center"/>
          </w:tcPr>
          <w:p>
            <w:pPr>
              <w:spacing w:after="0" w:line="240" w:lineRule="auto"/>
              <w:jc w:val="center"/>
            </w:pPr>
            <w:r>
              <w:rPr>
                <w:rFonts w:ascii="Times New Roman" w:hAnsi="Times New Roman" w:cs="Times New Roman" w:hint="cs"/>
                <w:b/>
                <w:bCs/>
                <w:sz w:val="24"/>
                <w:szCs w:val="24"/>
                <w:lang w:val="ru-RU"/>
              </w:rPr>
              <w:t xml:space="preserve">Модель</w:t>
            </w:r>
          </w:p>
        </w:tc>
        <w:tc>
          <w:tcPr>
            <w:tcW w:w="1800" w:type="dxa"/>
            <w:vAlign w:val="center"/>
          </w:tcPr>
          <w:p>
            <w:pPr>
              <w:spacing w:after="0" w:line="240" w:lineRule="auto"/>
              <w:jc w:val="center"/>
            </w:pPr>
            <w:r>
              <w:rPr>
                <w:rFonts w:ascii="Times New Roman" w:hAnsi="Times New Roman" w:cs="Times New Roman" w:hint="cs"/>
                <w:b/>
                <w:bCs/>
                <w:sz w:val="24"/>
                <w:szCs w:val="24"/>
                <w:lang w:val="ru-RU"/>
              </w:rPr>
              <w:t xml:space="preserve">MAPE, %</w:t>
            </w:r>
          </w:p>
        </w:tc>
        <w:tc>
          <w:tcPr>
            <w:tcW w:w="1800" w:type="dxa"/>
            <w:vAlign w:val="center"/>
          </w:tcPr>
          <w:p>
            <w:pPr>
              <w:spacing w:after="0" w:line="240" w:lineRule="auto"/>
              <w:jc w:val="center"/>
            </w:pPr>
            <w:r>
              <w:rPr>
                <w:rFonts w:ascii="Times New Roman" w:hAnsi="Times New Roman" w:cs="Times New Roman" w:hint="cs"/>
                <w:b/>
                <w:bCs/>
                <w:sz w:val="24"/>
                <w:szCs w:val="24"/>
                <w:lang w:val="ru-RU"/>
              </w:rPr>
              <w:t xml:space="preserve">MAE, МВт</w:t>
            </w:r>
          </w:p>
        </w:tc>
      </w:tr>
      <w:tr>
        <w:tc>
          <w:tcPr>
            <w:tcW w:w="5426" w:type="dxa"/>
            <w:vAlign w:val="center"/>
          </w:tcPr>
          <w:p>
            <w:pPr>
              <w:spacing w:after="0" w:line="240" w:lineRule="auto"/>
              <w:jc w:val="left"/>
            </w:pPr>
            <w:r>
              <w:rPr>
                <w:rFonts w:ascii="Times New Roman" w:hAnsi="Times New Roman" w:cs="Times New Roman" w:hint="cs"/>
                <w:sz w:val="24"/>
                <w:szCs w:val="24"/>
                <w:lang w:val="ru-RU"/>
              </w:rPr>
              <w:t xml:space="preserve">Наивный прогноз (неделю назад)</w:t>
            </w:r>
          </w:p>
        </w:tc>
        <w:tc>
          <w:tcPr>
            <w:tcW w:w="1800" w:type="dxa"/>
            <w:vAlign w:val="center"/>
          </w:tcPr>
          <w:p>
            <w:pPr>
              <w:spacing w:after="0" w:line="240" w:lineRule="auto"/>
              <w:jc w:val="center"/>
            </w:pPr>
            <w:r>
              <w:rPr>
                <w:rFonts w:ascii="Times New Roman" w:hAnsi="Times New Roman" w:cs="Times New Roman" w:hint="cs"/>
                <w:sz w:val="24"/>
                <w:szCs w:val="24"/>
                <w:lang w:val="ru-RU"/>
              </w:rPr>
              <w:t xml:space="preserve">2,81</w:t>
            </w:r>
          </w:p>
        </w:tc>
        <w:tc>
          <w:tcPr>
            <w:tcW w:w="1800" w:type="dxa"/>
            <w:vAlign w:val="center"/>
          </w:tcPr>
          <w:p>
            <w:pPr>
              <w:spacing w:after="0" w:line="240" w:lineRule="auto"/>
              <w:jc w:val="center"/>
            </w:pPr>
            <w:r>
              <w:rPr>
                <w:rFonts w:ascii="Times New Roman" w:hAnsi="Times New Roman" w:cs="Times New Roman" w:hint="cs"/>
                <w:sz w:val="24"/>
                <w:szCs w:val="24"/>
                <w:lang w:val="ru-RU"/>
              </w:rPr>
              <w:t xml:space="preserve">326</w:t>
            </w:r>
          </w:p>
        </w:tc>
      </w:tr>
      <w:tr>
        <w:tc>
          <w:tcPr>
            <w:tcW w:w="5426" w:type="dxa"/>
            <w:vAlign w:val="center"/>
          </w:tcPr>
          <w:p>
            <w:pPr>
              <w:spacing w:after="0" w:line="240" w:lineRule="auto"/>
              <w:jc w:val="left"/>
            </w:pPr>
            <w:r>
              <w:rPr>
                <w:rFonts w:ascii="Times New Roman" w:hAnsi="Times New Roman" w:cs="Times New Roman" w:hint="cs"/>
                <w:sz w:val="24"/>
                <w:szCs w:val="24"/>
                <w:lang w:val="ru-RU"/>
              </w:rPr>
              <w:t xml:space="preserve">LightGBM без погоды</w:t>
            </w:r>
          </w:p>
        </w:tc>
        <w:tc>
          <w:tcPr>
            <w:tcW w:w="1800" w:type="dxa"/>
            <w:vAlign w:val="center"/>
          </w:tcPr>
          <w:p>
            <w:pPr>
              <w:spacing w:after="0" w:line="240" w:lineRule="auto"/>
              <w:jc w:val="center"/>
            </w:pPr>
            <w:r>
              <w:rPr>
                <w:rFonts w:ascii="Times New Roman" w:hAnsi="Times New Roman" w:cs="Times New Roman" w:hint="cs"/>
                <w:sz w:val="24"/>
                <w:szCs w:val="24"/>
                <w:lang w:val="ru-RU"/>
              </w:rPr>
              <w:t xml:space="preserve">1,39</w:t>
            </w:r>
          </w:p>
        </w:tc>
        <w:tc>
          <w:tcPr>
            <w:tcW w:w="1800" w:type="dxa"/>
            <w:vAlign w:val="center"/>
          </w:tcPr>
          <w:p>
            <w:pPr>
              <w:spacing w:after="0" w:line="240" w:lineRule="auto"/>
              <w:jc w:val="center"/>
            </w:pPr>
            <w:r>
              <w:rPr>
                <w:rFonts w:ascii="Times New Roman" w:hAnsi="Times New Roman" w:cs="Times New Roman" w:hint="cs"/>
                <w:sz w:val="24"/>
                <w:szCs w:val="24"/>
                <w:lang w:val="ru-RU"/>
              </w:rPr>
              <w:t xml:space="preserve">163</w:t>
            </w:r>
          </w:p>
        </w:tc>
      </w:tr>
      <w:tr>
        <w:tc>
          <w:tcPr>
            <w:tcW w:w="5426" w:type="dxa"/>
            <w:vAlign w:val="center"/>
          </w:tcPr>
          <w:p>
            <w:pPr>
              <w:spacing w:after="0" w:line="240" w:lineRule="auto"/>
              <w:jc w:val="left"/>
            </w:pPr>
            <w:r>
              <w:rPr>
                <w:rFonts w:ascii="Times New Roman" w:hAnsi="Times New Roman" w:cs="Times New Roman" w:hint="cs"/>
                <w:sz w:val="24"/>
                <w:szCs w:val="24"/>
                <w:lang w:val="ru-RU"/>
              </w:rPr>
              <w:t xml:space="preserve">LightGBM + прогноз погоды</w:t>
            </w:r>
          </w:p>
        </w:tc>
        <w:tc>
          <w:tcPr>
            <w:tcW w:w="1800" w:type="dxa"/>
            <w:vAlign w:val="center"/>
          </w:tcPr>
          <w:p>
            <w:pPr>
              <w:spacing w:after="0" w:line="240" w:lineRule="auto"/>
              <w:jc w:val="center"/>
            </w:pPr>
            <w:r>
              <w:rPr>
                <w:rFonts w:ascii="Times New Roman" w:hAnsi="Times New Roman" w:cs="Times New Roman" w:hint="cs"/>
                <w:sz w:val="24"/>
                <w:szCs w:val="24"/>
                <w:lang w:val="ru-RU"/>
              </w:rPr>
              <w:t xml:space="preserve">0,97</w:t>
            </w:r>
          </w:p>
        </w:tc>
        <w:tc>
          <w:tcPr>
            <w:tcW w:w="1800" w:type="dxa"/>
            <w:vAlign w:val="center"/>
          </w:tcPr>
          <w:p>
            <w:pPr>
              <w:spacing w:after="0" w:line="240" w:lineRule="auto"/>
              <w:jc w:val="center"/>
            </w:pPr>
            <w:r>
              <w:rPr>
                <w:rFonts w:ascii="Times New Roman" w:hAnsi="Times New Roman" w:cs="Times New Roman" w:hint="cs"/>
                <w:sz w:val="24"/>
                <w:szCs w:val="24"/>
                <w:lang w:val="ru-RU"/>
              </w:rPr>
              <w:t xml:space="preserve">112</w:t>
            </w:r>
          </w:p>
        </w:tc>
      </w:tr>
      <w:tr>
        <w:tc>
          <w:tcPr>
            <w:tcW w:w="5426" w:type="dxa"/>
            <w:vAlign w:val="center"/>
          </w:tcPr>
          <w:p>
            <w:pPr>
              <w:spacing w:after="0" w:line="240" w:lineRule="auto"/>
              <w:jc w:val="left"/>
            </w:pPr>
            <w:r>
              <w:rPr>
                <w:rFonts w:ascii="Times New Roman" w:hAnsi="Times New Roman" w:cs="Times New Roman" w:hint="cs"/>
                <w:sz w:val="24"/>
                <w:szCs w:val="24"/>
                <w:lang w:val="ru-RU"/>
              </w:rPr>
              <w:t xml:space="preserve">Chronos-2 без дообучения</w:t>
            </w:r>
          </w:p>
        </w:tc>
        <w:tc>
          <w:tcPr>
            <w:tcW w:w="1800" w:type="dxa"/>
            <w:vAlign w:val="center"/>
          </w:tcPr>
          <w:p>
            <w:pPr>
              <w:spacing w:after="0" w:line="240" w:lineRule="auto"/>
              <w:jc w:val="center"/>
            </w:pPr>
            <w:r>
              <w:rPr>
                <w:rFonts w:ascii="Times New Roman" w:hAnsi="Times New Roman" w:cs="Times New Roman" w:hint="cs"/>
                <w:sz w:val="24"/>
                <w:szCs w:val="24"/>
                <w:lang w:val="ru-RU"/>
              </w:rPr>
              <w:t xml:space="preserve">0,97</w:t>
            </w:r>
          </w:p>
        </w:tc>
        <w:tc>
          <w:tcPr>
            <w:tcW w:w="1800" w:type="dxa"/>
            <w:vAlign w:val="center"/>
          </w:tcPr>
          <w:p>
            <w:pPr>
              <w:spacing w:after="0" w:line="240" w:lineRule="auto"/>
              <w:jc w:val="center"/>
            </w:pPr>
            <w:r>
              <w:rPr>
                <w:rFonts w:ascii="Times New Roman" w:hAnsi="Times New Roman" w:cs="Times New Roman" w:hint="cs"/>
                <w:sz w:val="24"/>
                <w:szCs w:val="24"/>
                <w:lang w:val="ru-RU"/>
              </w:rPr>
              <w:t xml:space="preserve">110</w:t>
            </w:r>
          </w:p>
        </w:tc>
      </w:tr>
      <w:tr>
        <w:tc>
          <w:tcPr>
            <w:tcW w:w="5426" w:type="dxa"/>
            <w:vAlign w:val="center"/>
          </w:tcPr>
          <w:p>
            <w:pPr>
              <w:spacing w:after="0" w:line="240" w:lineRule="auto"/>
              <w:jc w:val="left"/>
            </w:pPr>
            <w:r>
              <w:rPr>
                <w:rFonts w:ascii="Times New Roman" w:hAnsi="Times New Roman" w:cs="Times New Roman" w:hint="cs"/>
                <w:sz w:val="24"/>
                <w:szCs w:val="24"/>
                <w:lang w:val="ru-RU"/>
              </w:rPr>
              <w:t xml:space="preserve">Chronos-2 после дообучения</w:t>
            </w:r>
          </w:p>
        </w:tc>
        <w:tc>
          <w:tcPr>
            <w:tcW w:w="1800" w:type="dxa"/>
            <w:vAlign w:val="center"/>
          </w:tcPr>
          <w:p>
            <w:pPr>
              <w:spacing w:after="0" w:line="240" w:lineRule="auto"/>
              <w:jc w:val="center"/>
            </w:pPr>
            <w:r>
              <w:rPr>
                <w:rFonts w:ascii="Times New Roman" w:hAnsi="Times New Roman" w:cs="Times New Roman" w:hint="cs"/>
                <w:sz w:val="24"/>
                <w:szCs w:val="24"/>
                <w:lang w:val="ru-RU"/>
              </w:rPr>
              <w:t xml:space="preserve">0,84</w:t>
            </w:r>
          </w:p>
        </w:tc>
        <w:tc>
          <w:tcPr>
            <w:tcW w:w="1800" w:type="dxa"/>
            <w:vAlign w:val="center"/>
          </w:tcPr>
          <w:p>
            <w:pPr>
              <w:spacing w:after="0" w:line="240" w:lineRule="auto"/>
              <w:jc w:val="center"/>
            </w:pPr>
            <w:r>
              <w:rPr>
                <w:rFonts w:ascii="Times New Roman" w:hAnsi="Times New Roman" w:cs="Times New Roman" w:hint="cs"/>
                <w:sz w:val="24"/>
                <w:szCs w:val="24"/>
                <w:lang w:val="ru-RU"/>
              </w:rPr>
              <w:t xml:space="preserve">96</w:t>
            </w:r>
          </w:p>
        </w:tc>
      </w:tr>
    </w:tbl>
    <w:p>
      <w:pPr>
        <w:spacing w:after="0" w:line="360" w:lineRule="auto"/>
        <w:ind w:right="-612" w:firstLine="709"/>
        <w:jc w:val="both"/>
        <w:rPr>
          <w:rFonts w:ascii="Times New Roman" w:hAnsi="Times New Roman" w:cs="Times New Roman" w:hint="cs"/>
          <w:sz w:val="28"/>
          <w:szCs w:val="28"/>
          <w:lang w:val="ru-RU"/>
        </w:rPr>
      </w:pPr>
      <w:r>
        <w:rPr>
          <w:rFonts w:ascii="Times New Roman" w:hAnsi="Times New Roman" w:cs="Times New Roman" w:hint="cs"/>
          <w:sz w:val="28"/>
          <w:szCs w:val="28"/>
          <w:lang w:val="ru-RU"/>
        </w:rPr>
        <w:t xml:space="preserve">Преимущество Chronos-2 особенно заметно в морозы: в самую холодную неделю (26.01–01.02.2026, −14,9 °C) её ошибка составила 0,53 %, а LightGBM, не способный экстраполировать за пределы обучающих данных, ошибался на 1,08 % (рисунок 2).</w:t>
      </w:r>
    </w:p>
    <w:p>
      <w:pPr>
        <w:keepNext/>
        <w:spacing w:before="120" w:after="0" w:line="240" w:lineRule="auto"/>
        <w:jc w:val="center"/>
      </w:pPr>
      <w:r>
        <w:rPr>
          <w:noProof/>
        </w:rPr>
        <w:drawing>
          <wp:inline distT="0" distB="0" distL="0" distR="0">
            <wp:extent cx="4140000" cy="2082358"/>
            <wp:effectExtent l="0" t="0" r="0" b="0"/>
            <wp:docPr id="102" name="Рисунок 2" descr="Фактическое и прогнозное потребление ОЭС Северо-Запада, 26.01–01.02.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rticle_fig2.png"/>
                    <pic:cNvPicPr/>
                  </pic:nvPicPr>
                  <pic:blipFill>
                    <a:blip r:embed="rIdImg2"/>
                    <a:stretch>
                      <a:fillRect/>
                    </a:stretch>
                  </pic:blipFill>
                  <pic:spPr>
                    <a:xfrm>
                      <a:off x="0" y="0"/>
                      <a:ext cx="4140000" cy="2082358"/>
                    </a:xfrm>
                    <a:prstGeom prst="rect">
                      <a:avLst/>
                    </a:prstGeom>
                  </pic:spPr>
                </pic:pic>
              </a:graphicData>
            </a:graphic>
          </wp:inline>
        </w:drawing>
      </w:r>
    </w:p>
    <w:p>
      <w:pPr>
        <w:spacing w:before="0" w:after="120" w:line="360" w:lineRule="auto"/>
        <w:jc w:val="center"/>
      </w:pPr>
      <w:r>
        <w:rPr>
          <w:rFonts w:ascii="Times New Roman" w:hAnsi="Times New Roman" w:cs="Times New Roman" w:hint="cs"/>
          <w:sz w:val="28"/>
          <w:szCs w:val="28"/>
          <w:lang w:val="ru-RU"/>
        </w:rPr>
        <w:t xml:space="preserve">Рисунок 2 – Фактическое и прогнозное потребление ОЭС Северо-Запада, 26.01–01.02.2026</w:t>
      </w:r>
    </w:p>
    <w:p>
      <w:pPr>
        <w:keepNext/>
        <w:spacing w:after="0" w:line="360" w:lineRule="auto"/>
        <w:ind w:right="-612" w:firstLine="709"/>
        <w:jc w:val="center"/>
        <w:outlineLvl w:val="0"/>
        <w:rPr>
          <w:rFonts w:ascii="Times New Roman" w:hAnsi="Times New Roman" w:cs="Times New Roman" w:hint="cs"/>
          <w:b/>
          <w:bCs/>
          <w:sz w:val="28"/>
          <w:szCs w:val="28"/>
          <w:lang w:val="ru-RU"/>
        </w:rPr>
      </w:pPr>
      <w:r>
        <w:rPr>
          <w:rFonts w:ascii="Times New Roman" w:hAnsi="Times New Roman" w:cs="Times New Roman" w:hint="cs"/>
          <w:b/>
          <w:bCs/>
          <w:sz w:val="28"/>
          <w:szCs w:val="28"/>
          <w:lang w:val="ru-RU"/>
        </w:rPr>
        <w:t xml:space="preserve">Заключение</w:t>
      </w:r>
    </w:p>
    <w:p>
      <w:pPr>
        <w:spacing w:after="0" w:line="360" w:lineRule="auto"/>
        <w:ind w:right="-612" w:firstLine="709"/>
        <w:jc w:val="both"/>
        <w:rPr>
          <w:rFonts w:ascii="Times New Roman" w:hAnsi="Times New Roman" w:cs="Times New Roman" w:hint="cs"/>
          <w:sz w:val="28"/>
          <w:szCs w:val="28"/>
          <w:lang w:val="ru-RU"/>
        </w:rPr>
      </w:pPr>
      <w:r>
        <w:rPr>
          <w:rFonts w:ascii="Times New Roman" w:hAnsi="Times New Roman" w:cs="Times New Roman" w:hint="cs"/>
          <w:sz w:val="28"/>
          <w:szCs w:val="28"/>
          <w:lang w:val="ru-RU"/>
        </w:rPr>
        <w:t xml:space="preserve">Дообученная модель Chronos-2 обеспечила наилучший прогноз потребления ОЭС Северо-Запада на сутки вперёд (MAPE 0,84 %), учёт погоды снизил ошибку на 30 %, а расчёты выполняются на персональном компьютере. Дальнейшее развитие — распространение подхода на другие ОЭС и федеральные округа.</w:t>
      </w:r>
    </w:p>
    <w:p>
      <w:pPr>
        <w:spacing w:after="0" w:line="360" w:lineRule="auto"/>
        <w:ind w:right="-612"/>
        <w:jc w:val="center"/>
        <w:outlineLvl w:val="0"/>
        <w:rPr>
          <w:rFonts w:ascii="Times New Roman" w:hAnsi="Times New Roman" w:cs="Times New Roman" w:hint="cs"/>
          <w:b/>
          <w:bCs/>
          <w:lang w:val="ru-RU"/>
        </w:rPr>
      </w:pPr>
      <w:r>
        <w:rPr>
          <w:rFonts w:ascii="Times New Roman" w:hAnsi="Times New Roman" w:cs="Times New Roman" w:hint="cs"/>
          <w:b/>
          <w:bCs/>
          <w:lang w:val="ru-RU"/>
        </w:rPr>
        <w:t xml:space="preserve">Список литературы</w:t>
      </w:r>
    </w:p>
    <w:p>
      <w:pPr>
        <w:spacing w:after="0" w:line="360" w:lineRule="auto"/>
        <w:ind w:right="-612" w:firstLine="709"/>
        <w:rPr>
          <w:rFonts w:ascii="Times New Roman" w:hAnsi="Times New Roman" w:cs="Times New Roman" w:hint="cs"/>
          <w:lang w:val="ru-RU"/>
        </w:rPr>
      </w:pPr>
      <w:r>
        <w:rPr>
          <w:rFonts w:ascii="Times New Roman" w:hAnsi="Times New Roman" w:cs="Times New Roman" w:hint="cs"/>
          <w:lang w:val="ru-RU"/>
        </w:rPr>
        <w:t xml:space="preserve">1. Hong T., Fan S. Probabilistic electric load forecasting: A tutorial review // International Journal of Forecasting. 2016. Vol. 32, № 3. P. 914–938.</w:t>
      </w:r>
    </w:p>
    <w:p>
      <w:pPr>
        <w:spacing w:after="0" w:line="360" w:lineRule="auto"/>
        <w:ind w:right="-612" w:firstLine="709"/>
        <w:rPr>
          <w:rFonts w:ascii="Times New Roman" w:hAnsi="Times New Roman" w:cs="Times New Roman" w:hint="cs"/>
          <w:lang w:val="ru-RU"/>
        </w:rPr>
      </w:pPr>
      <w:r>
        <w:rPr>
          <w:rFonts w:ascii="Times New Roman" w:hAnsi="Times New Roman" w:cs="Times New Roman" w:hint="cs"/>
          <w:lang w:val="ru-RU"/>
        </w:rPr>
        <w:t xml:space="preserve">2. Ke G., Meng Q., Finley T. [et al.] LightGBM: A Highly Efficient Gradient Boosting Decision Tree // Advances in Neural Information Processing Systems 30 (NIPS 2017). 2017. P. 3146–3154.</w:t>
      </w:r>
    </w:p>
    <w:p>
      <w:pPr>
        <w:spacing w:after="0" w:line="360" w:lineRule="auto"/>
        <w:ind w:right="-612" w:firstLine="709"/>
        <w:rPr>
          <w:rFonts w:ascii="Times New Roman" w:hAnsi="Times New Roman" w:cs="Times New Roman" w:hint="cs"/>
          <w:lang w:val="ru-RU"/>
        </w:rPr>
      </w:pPr>
      <w:r>
        <w:rPr>
          <w:rFonts w:ascii="Times New Roman" w:hAnsi="Times New Roman" w:cs="Times New Roman" w:hint="cs"/>
          <w:lang w:val="ru-RU"/>
        </w:rPr>
        <w:t xml:space="preserve">3. Chronos-2: From Univariate to Universal Forecasting : препринт. 2025. URL: https://arxiv.org/abs/2510.15821 (дата обращения: 28.09.2026).</w:t>
      </w:r>
    </w:p>
    <w:p>
      <w:pPr>
        <w:spacing w:after="0" w:line="360" w:lineRule="auto"/>
        <w:ind w:right="-612" w:firstLine="709"/>
        <w:rPr>
          <w:rFonts w:ascii="Times New Roman" w:hAnsi="Times New Roman" w:cs="Times New Roman" w:hint="cs"/>
          <w:lang w:val="ru-RU"/>
        </w:rPr>
      </w:pPr>
      <w:r>
        <w:rPr>
          <w:rFonts w:ascii="Times New Roman" w:hAnsi="Times New Roman" w:cs="Times New Roman" w:hint="cs"/>
          <w:lang w:val="ru-RU"/>
        </w:rPr>
        <w:t xml:space="preserve">4. Assessing Covariate-Informed Grid Load Forecasting with a Time-Series Foundation Model : препринт. 2026. URL: https://arxiv.org/abs/2609.06656 (дата обращения: 28.09.2026).</w:t>
      </w:r>
    </w:p>
    <w:p>
      <w:pPr>
        <w:spacing w:after="0" w:line="360" w:lineRule="auto"/>
        <w:ind w:right="-612" w:firstLine="709"/>
        <w:rPr>
          <w:rFonts w:ascii="Times New Roman" w:hAnsi="Times New Roman" w:cs="Times New Roman" w:hint="cs"/>
          <w:lang w:val="ru-RU"/>
        </w:rPr>
      </w:pPr>
      <w:r>
        <w:rPr>
          <w:rFonts w:ascii="Times New Roman" w:hAnsi="Times New Roman" w:cs="Times New Roman" w:hint="cs"/>
          <w:lang w:val="ru-RU"/>
        </w:rPr>
        <w:t xml:space="preserve">5. АО «СО ЕЭС». Генерация (час). URL: https://www.so-ups.ru/functioning/ees/ees-indicators/ees-gen-consump-hour/ (дата обращения: 28.09.2026).</w:t>
      </w:r>
    </w:p>
    <w:p>
      <w:pPr>
        <w:spacing w:after="0" w:line="360" w:lineRule="auto"/>
        <w:ind w:right="-612" w:firstLine="709"/>
        <w:rPr>
          <w:rFonts w:ascii="Times New Roman" w:hAnsi="Times New Roman" w:cs="Times New Roman" w:hint="cs"/>
          <w:lang w:val="ru-RU"/>
        </w:rPr>
      </w:pPr>
      <w:r>
        <w:rPr>
          <w:rFonts w:ascii="Times New Roman" w:hAnsi="Times New Roman" w:cs="Times New Roman" w:hint="cs"/>
          <w:lang w:val="ru-RU"/>
        </w:rPr>
        <w:t xml:space="preserve">6. Open-Meteo. Free Weather API. URL: https://open-meteo.com/ (дата обращения: 30.09.2026).</w:t>
      </w:r>
    </w:p>
    <w:p>
      <w:pPr>
        <w:spacing w:after="0" w:line="360" w:lineRule="auto"/>
        <w:ind w:right="-612" w:firstLine="709"/>
        <w:rPr>
          <w:rFonts w:ascii="Times New Roman" w:hAnsi="Times New Roman" w:cs="Times New Roman" w:hint="cs"/>
          <w:lang w:val="ru-RU"/>
        </w:rPr>
      </w:pPr>
      <w:r>
        <w:rPr>
          <w:rFonts w:ascii="Times New Roman" w:hAnsi="Times New Roman" w:cs="Times New Roman" w:hint="cs"/>
          <w:lang w:val="ru-RU"/>
        </w:rPr>
        <w:t xml:space="preserve">7. Hersbach H., Bell B., Berrisford P. [et al.] The ERA5 global reanalysis // Quarterly Journal of the Royal Meteorological Society. 2020. Vol. 146, № 730. P. 1999–2049.</w:t>
      </w:r>
    </w:p>
    <w:p>
      <w:pPr>
        <w:spacing w:after="0" w:line="360" w:lineRule="auto"/>
        <w:ind w:right="-612" w:firstLine="709"/>
        <w:rPr>
          <w:rFonts w:ascii="Times New Roman" w:hAnsi="Times New Roman" w:cs="Times New Roman" w:hint="cs"/>
          <w:lang w:val="ru-RU"/>
        </w:rPr>
      </w:pPr>
      <w:r>
        <w:rPr>
          <w:rFonts w:ascii="Times New Roman" w:hAnsi="Times New Roman" w:cs="Times New Roman" w:hint="cs"/>
          <w:lang w:val="ru-RU"/>
        </w:rPr>
        <w:t xml:space="preserve">8. Hu E. J., Shen Y., Wallis P. [et al.] LoRA: Low-Rank Adaptation of Large Language Models // International Conference on Learning Representations (ICLR 2022). 2022. URL: https://arxiv.org/abs/2106.09685 (дата обращения: 28.09.2026).</w:t>
      </w:r>
    </w:p>
    <w:p>
      <w:pPr>
        <w:spacing w:after="0" w:line="360" w:lineRule="auto"/>
        <w:ind w:firstLine="709"/>
        <w:jc w:val="center"/>
        <w:rPr>
          <w:rFonts w:ascii="Times New Roman" w:hAnsi="Times New Roman" w:cs="Times New Roman" w:hint="cs"/>
          <w:b/>
          <w:bCs/>
          <w:lang w:val="en-US"/>
        </w:rPr>
      </w:pPr>
      <w:r>
        <w:rPr>
          <w:rFonts w:ascii="Times New Roman" w:hAnsi="Times New Roman" w:cs="Times New Roman" w:hint="cs"/>
          <w:b/>
          <w:bCs/>
          <w:lang w:val="en-US"/>
        </w:rPr>
        <w:t xml:space="preserve">References</w:t>
      </w:r>
    </w:p>
    <w:p>
      <w:pPr>
        <w:spacing w:after="0" w:line="360" w:lineRule="auto"/>
        <w:ind w:firstLine="709"/>
        <w:jc w:val="both"/>
        <w:rPr>
          <w:rFonts w:ascii="Times New Roman" w:hAnsi="Times New Roman" w:cs="Times New Roman" w:hint="cs"/>
          <w:lang w:val="en-US"/>
        </w:rPr>
      </w:pPr>
      <w:r>
        <w:rPr>
          <w:rFonts w:ascii="Times New Roman" w:hAnsi="Times New Roman" w:cs="Times New Roman" w:hint="cs"/>
          <w:lang w:val="en-US"/>
        </w:rPr>
        <w:t xml:space="preserve">1. Hong T., Fan S. Probabilistic electric load forecasting: A tutorial review // International Journal of Forecasting. 2016. Vol. 32, no. 3. P. 914–938.</w:t>
      </w:r>
    </w:p>
    <w:p>
      <w:pPr>
        <w:spacing w:after="0" w:line="360" w:lineRule="auto"/>
        <w:ind w:firstLine="709"/>
        <w:jc w:val="both"/>
        <w:rPr>
          <w:rFonts w:ascii="Times New Roman" w:hAnsi="Times New Roman" w:cs="Times New Roman" w:hint="cs"/>
          <w:lang w:val="en-US"/>
        </w:rPr>
      </w:pPr>
      <w:r>
        <w:rPr>
          <w:rFonts w:ascii="Times New Roman" w:hAnsi="Times New Roman" w:cs="Times New Roman" w:hint="cs"/>
          <w:lang w:val="en-US"/>
        </w:rPr>
        <w:t xml:space="preserve">2. Ke G., Meng Q., Finley T. [et al.] LightGBM: A Highly Efficient Gradient Boosting Decision Tree // Advances in Neural Information Processing Systems 30 (NIPS 2017). 2017. P. 3146–3154.</w:t>
      </w:r>
    </w:p>
    <w:p>
      <w:pPr>
        <w:spacing w:after="0" w:line="360" w:lineRule="auto"/>
        <w:ind w:firstLine="709"/>
        <w:jc w:val="both"/>
        <w:rPr>
          <w:rFonts w:ascii="Times New Roman" w:hAnsi="Times New Roman" w:cs="Times New Roman" w:hint="cs"/>
          <w:lang w:val="en-US"/>
        </w:rPr>
      </w:pPr>
      <w:r>
        <w:rPr>
          <w:rFonts w:ascii="Times New Roman" w:hAnsi="Times New Roman" w:cs="Times New Roman" w:hint="cs"/>
          <w:lang w:val="en-US"/>
        </w:rPr>
        <w:t xml:space="preserve">3. Chronos-2: From Univariate to Universal Forecasting : preprint. 2025. URL: https://arxiv.org/abs/2510.15821 (accessed: 28.09.2026).</w:t>
      </w:r>
    </w:p>
    <w:p>
      <w:pPr>
        <w:spacing w:after="0" w:line="360" w:lineRule="auto"/>
        <w:ind w:firstLine="709"/>
        <w:jc w:val="both"/>
        <w:rPr>
          <w:rFonts w:ascii="Times New Roman" w:hAnsi="Times New Roman" w:cs="Times New Roman" w:hint="cs"/>
          <w:lang w:val="en-US"/>
        </w:rPr>
      </w:pPr>
      <w:r>
        <w:rPr>
          <w:rFonts w:ascii="Times New Roman" w:hAnsi="Times New Roman" w:cs="Times New Roman" w:hint="cs"/>
          <w:lang w:val="en-US"/>
        </w:rPr>
        <w:t xml:space="preserve">4. Assessing Covariate-Informed Grid Load Forecasting with a Time-Series Foundation Model : preprint. 2026. URL: https://arxiv.org/abs/2609.06656 (accessed: 28.09.2026).</w:t>
      </w:r>
    </w:p>
    <w:p>
      <w:pPr>
        <w:spacing w:after="0" w:line="360" w:lineRule="auto"/>
        <w:ind w:firstLine="709"/>
        <w:jc w:val="both"/>
        <w:rPr>
          <w:rFonts w:ascii="Times New Roman" w:hAnsi="Times New Roman" w:cs="Times New Roman" w:hint="cs"/>
          <w:lang w:val="en-US"/>
        </w:rPr>
      </w:pPr>
      <w:r>
        <w:rPr>
          <w:rFonts w:ascii="Times New Roman" w:hAnsi="Times New Roman" w:cs="Times New Roman" w:hint="cs"/>
          <w:lang w:val="en-US"/>
        </w:rPr>
        <w:t xml:space="preserve">5. SO UPS. Generatsiya (chas). URL: https://www.so-ups.ru/functioning/ees/ees-indicators/ees-gen-consump-hour/ (accessed: 28.09.2026).</w:t>
      </w:r>
    </w:p>
    <w:p>
      <w:pPr>
        <w:spacing w:after="0" w:line="360" w:lineRule="auto"/>
        <w:ind w:firstLine="709"/>
        <w:jc w:val="both"/>
        <w:rPr>
          <w:rFonts w:ascii="Times New Roman" w:hAnsi="Times New Roman" w:cs="Times New Roman" w:hint="cs"/>
          <w:lang w:val="en-US"/>
        </w:rPr>
      </w:pPr>
      <w:r>
        <w:rPr>
          <w:rFonts w:ascii="Times New Roman" w:hAnsi="Times New Roman" w:cs="Times New Roman" w:hint="cs"/>
          <w:lang w:val="en-US"/>
        </w:rPr>
        <w:t xml:space="preserve">6. Open-Meteo. Free Weather API. URL: https://open-meteo.com/ (accessed: 30.09.2026).</w:t>
      </w:r>
    </w:p>
    <w:p>
      <w:pPr>
        <w:spacing w:after="0" w:line="360" w:lineRule="auto"/>
        <w:ind w:firstLine="709"/>
        <w:jc w:val="both"/>
        <w:rPr>
          <w:rFonts w:ascii="Times New Roman" w:hAnsi="Times New Roman" w:cs="Times New Roman" w:hint="cs"/>
          <w:lang w:val="en-US"/>
        </w:rPr>
      </w:pPr>
      <w:r>
        <w:rPr>
          <w:rFonts w:ascii="Times New Roman" w:hAnsi="Times New Roman" w:cs="Times New Roman" w:hint="cs"/>
          <w:lang w:val="en-US"/>
        </w:rPr>
        <w:t xml:space="preserve">7. Hersbach H., Bell B., Berrisford P. [et al.] The ERA5 global reanalysis // Quarterly Journal of the Royal Meteorological Society. 2020. Vol. 146, no. 730. P. 1999–2049.</w:t>
      </w:r>
    </w:p>
    <w:p>
      <w:pPr>
        <w:spacing w:after="0" w:line="360" w:lineRule="auto"/>
        <w:ind w:firstLine="709"/>
        <w:jc w:val="both"/>
        <w:rPr>
          <w:rFonts w:ascii="Times New Roman" w:hAnsi="Times New Roman" w:cs="Times New Roman" w:hint="cs"/>
          <w:lang w:val="en-US"/>
        </w:rPr>
      </w:pPr>
      <w:r>
        <w:rPr>
          <w:rFonts w:ascii="Times New Roman" w:hAnsi="Times New Roman" w:cs="Times New Roman" w:hint="cs"/>
          <w:lang w:val="en-US"/>
        </w:rPr>
        <w:t xml:space="preserve">8. Hu E. J., Shen Y., Wallis P. [et al.] LoRA: Low-Rank Adaptation of Large Language Models // International Conference on Learning Representations (ICLR 2022). 2022. URL: https://arxiv.org/abs/2106.09685 (accessed: 28.09.2026).</w:t>
      </w:r>
    </w:p>
    <w:p>
      <w:pPr>
        <w:spacing w:after="0" w:line="360" w:lineRule="auto"/>
        <w:ind w:firstLine="709"/>
        <w:jc w:val="center"/>
        <w:rPr>
          <w:rFonts w:ascii="Times New Roman" w:hAnsi="Times New Roman" w:cs="Times New Roman"/>
          <w:b/>
          <w:bCs/>
          <w:sz w:val="28"/>
          <w:szCs w:val="28"/>
          <w:lang w:val="ru-RU"/>
        </w:rPr>
      </w:pPr>
      <w:r>
        <w:rPr>
          <w:rFonts w:ascii="Times New Roman" w:hAnsi="Times New Roman" w:cs="Times New Roman" w:hint="cs"/>
          <w:b/>
          <w:bCs/>
          <w:sz w:val="28"/>
          <w:szCs w:val="28"/>
          <w:lang w:val="ru-RU"/>
        </w:rPr>
        <w:t xml:space="preserve">Информация об авторах</w:t>
      </w:r>
    </w:p>
    <w:p>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hint="cs"/>
          <w:sz w:val="28"/>
          <w:szCs w:val="28"/>
          <w:lang w:val="ru-RU"/>
        </w:rPr>
        <w:t xml:space="preserve">Нематжанов Мухаммадзохид Мухаммаджонович – студент, Новгородский государственный университет имени Ярослава Мудрого, Политехнический институт (Великий Новгород, Россия), e-mail: nematzhanov.m@gmail.com</w:t>
      </w:r>
    </w:p>
    <w:p>
      <w:pPr>
        <w:spacing w:after="0" w:line="360" w:lineRule="auto"/>
        <w:ind w:firstLine="709"/>
        <w:jc w:val="center"/>
        <w:rPr>
          <w:rFonts w:ascii="Times New Roman" w:hAnsi="Times New Roman" w:cs="Times New Roman"/>
          <w:b/>
          <w:bCs/>
          <w:sz w:val="28"/>
          <w:szCs w:val="28"/>
          <w:lang w:val="en-US"/>
        </w:rPr>
      </w:pPr>
      <w:r>
        <w:rPr>
          <w:rFonts w:ascii="Times New Roman" w:hAnsi="Times New Roman" w:cs="Times New Roman" w:hint="cs"/>
          <w:b/>
          <w:bCs/>
          <w:sz w:val="28"/>
          <w:szCs w:val="28"/>
          <w:lang w:val="en-US"/>
        </w:rPr>
        <w:t xml:space="preserve">Information about the authors</w:t>
      </w:r>
    </w:p>
    <w:p>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hint="cs"/>
          <w:sz w:val="28"/>
          <w:szCs w:val="28"/>
          <w:lang w:val="en-US"/>
        </w:rPr>
        <w:t xml:space="preserve">Nematzhanov Mukhammadzokhid Mukhammadjonovich – student, Yaroslav-the-Wise Novgorod State University, Polytechnic Institute (Veliky Novgorod, Russia), e-mail: nematzhanov.m@gmail.com</w:t>
      </w:r>
    </w:p>
    <w:sectPr w:rsidR="009B60C2" w:rsidRPr="009550D3" w:rsidSect="004E0325">
      <w:footerReference w:type="even" r:id="rId7"/>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FEA92" w14:textId="77777777" w:rsidR="007E6482" w:rsidRDefault="007E6482" w:rsidP="00263E36">
      <w:pPr>
        <w:spacing w:after="0" w:line="240" w:lineRule="auto"/>
      </w:pPr>
      <w:r>
        <w:separator/>
      </w:r>
    </w:p>
  </w:endnote>
  <w:endnote w:type="continuationSeparator" w:id="0">
    <w:p w14:paraId="1CFE997B" w14:textId="77777777" w:rsidR="007E6482" w:rsidRDefault="007E6482" w:rsidP="00263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677710618"/>
      <w:docPartObj>
        <w:docPartGallery w:val="Page Numbers (Bottom of Page)"/>
        <w:docPartUnique/>
      </w:docPartObj>
    </w:sdtPr>
    <w:sdtContent>
      <w:p w14:paraId="65CAAE3C" w14:textId="129C609C" w:rsidR="00971481" w:rsidRDefault="00971481" w:rsidP="003F1F9A">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end"/>
        </w:r>
      </w:p>
    </w:sdtContent>
  </w:sdt>
  <w:p w14:paraId="06257373" w14:textId="77777777" w:rsidR="00971481" w:rsidRDefault="00971481">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1512912641"/>
      <w:docPartObj>
        <w:docPartGallery w:val="Page Numbers (Bottom of Page)"/>
        <w:docPartUnique/>
      </w:docPartObj>
    </w:sdtPr>
    <w:sdtContent>
      <w:p w14:paraId="6BC1E8F7" w14:textId="48D7A079" w:rsidR="00971481" w:rsidRDefault="00971481" w:rsidP="003F1F9A">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3</w:t>
        </w:r>
        <w:r>
          <w:rPr>
            <w:rStyle w:val="af3"/>
          </w:rPr>
          <w:fldChar w:fldCharType="end"/>
        </w:r>
      </w:p>
    </w:sdtContent>
  </w:sdt>
  <w:p w14:paraId="5ACC5411" w14:textId="77777777" w:rsidR="00971481" w:rsidRDefault="0097148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C8BA4" w14:textId="77777777" w:rsidR="007E6482" w:rsidRDefault="007E6482" w:rsidP="00263E36">
      <w:pPr>
        <w:spacing w:after="0" w:line="240" w:lineRule="auto"/>
      </w:pPr>
      <w:r>
        <w:separator/>
      </w:r>
    </w:p>
  </w:footnote>
  <w:footnote w:type="continuationSeparator" w:id="0">
    <w:p w14:paraId="185A6E07" w14:textId="77777777" w:rsidR="007E6482" w:rsidRDefault="007E6482" w:rsidP="00263E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2CA"/>
    <w:rsid w:val="0000354B"/>
    <w:rsid w:val="000162CA"/>
    <w:rsid w:val="00080741"/>
    <w:rsid w:val="001366E4"/>
    <w:rsid w:val="001C00B1"/>
    <w:rsid w:val="001E3A5E"/>
    <w:rsid w:val="00263E36"/>
    <w:rsid w:val="002A4317"/>
    <w:rsid w:val="002E1439"/>
    <w:rsid w:val="00362DAA"/>
    <w:rsid w:val="0036616D"/>
    <w:rsid w:val="00392A99"/>
    <w:rsid w:val="003D5E31"/>
    <w:rsid w:val="004114F0"/>
    <w:rsid w:val="00456FE9"/>
    <w:rsid w:val="004E0325"/>
    <w:rsid w:val="005437DD"/>
    <w:rsid w:val="00596F3D"/>
    <w:rsid w:val="00664B73"/>
    <w:rsid w:val="006A1A75"/>
    <w:rsid w:val="006F752D"/>
    <w:rsid w:val="006F75E8"/>
    <w:rsid w:val="00725CE6"/>
    <w:rsid w:val="007B39DA"/>
    <w:rsid w:val="007E6482"/>
    <w:rsid w:val="008358B3"/>
    <w:rsid w:val="00835CAB"/>
    <w:rsid w:val="00854C23"/>
    <w:rsid w:val="00921E07"/>
    <w:rsid w:val="00925CCD"/>
    <w:rsid w:val="009550D3"/>
    <w:rsid w:val="00971481"/>
    <w:rsid w:val="009B60C2"/>
    <w:rsid w:val="009C1FF3"/>
    <w:rsid w:val="009E7066"/>
    <w:rsid w:val="00A40996"/>
    <w:rsid w:val="00AA5739"/>
    <w:rsid w:val="00AF6364"/>
    <w:rsid w:val="00B91D78"/>
    <w:rsid w:val="00C314C1"/>
    <w:rsid w:val="00CC088D"/>
    <w:rsid w:val="00D538DA"/>
    <w:rsid w:val="00DE0047"/>
    <w:rsid w:val="00E02402"/>
    <w:rsid w:val="00E45B85"/>
    <w:rsid w:val="00E912BC"/>
    <w:rsid w:val="00E95C06"/>
    <w:rsid w:val="00EB5AA1"/>
    <w:rsid w:val="00F858F6"/>
    <w:rsid w:val="00F87099"/>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71120"/>
  <w15:chartTrackingRefBased/>
  <w15:docId w15:val="{3A7020AF-FF2E-AB45-9D49-07DEFB959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16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16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162C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162C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162C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162C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162C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162C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162C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62C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162C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162C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162C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162C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162C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162CA"/>
    <w:rPr>
      <w:rFonts w:eastAsiaTheme="majorEastAsia" w:cstheme="majorBidi"/>
      <w:color w:val="595959" w:themeColor="text1" w:themeTint="A6"/>
    </w:rPr>
  </w:style>
  <w:style w:type="character" w:customStyle="1" w:styleId="80">
    <w:name w:val="Заголовок 8 Знак"/>
    <w:basedOn w:val="a0"/>
    <w:link w:val="8"/>
    <w:uiPriority w:val="9"/>
    <w:semiHidden/>
    <w:rsid w:val="000162C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162CA"/>
    <w:rPr>
      <w:rFonts w:eastAsiaTheme="majorEastAsia" w:cstheme="majorBidi"/>
      <w:color w:val="272727" w:themeColor="text1" w:themeTint="D8"/>
    </w:rPr>
  </w:style>
  <w:style w:type="paragraph" w:styleId="a3">
    <w:name w:val="Title"/>
    <w:basedOn w:val="a"/>
    <w:next w:val="a"/>
    <w:link w:val="a4"/>
    <w:uiPriority w:val="10"/>
    <w:qFormat/>
    <w:rsid w:val="00016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162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62C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162C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162CA"/>
    <w:pPr>
      <w:spacing w:before="160"/>
      <w:jc w:val="center"/>
    </w:pPr>
    <w:rPr>
      <w:i/>
      <w:iCs/>
      <w:color w:val="404040" w:themeColor="text1" w:themeTint="BF"/>
    </w:rPr>
  </w:style>
  <w:style w:type="character" w:customStyle="1" w:styleId="22">
    <w:name w:val="Цитата 2 Знак"/>
    <w:basedOn w:val="a0"/>
    <w:link w:val="21"/>
    <w:uiPriority w:val="29"/>
    <w:rsid w:val="000162CA"/>
    <w:rPr>
      <w:i/>
      <w:iCs/>
      <w:color w:val="404040" w:themeColor="text1" w:themeTint="BF"/>
    </w:rPr>
  </w:style>
  <w:style w:type="paragraph" w:styleId="a7">
    <w:name w:val="List Paragraph"/>
    <w:basedOn w:val="a"/>
    <w:uiPriority w:val="34"/>
    <w:qFormat/>
    <w:rsid w:val="000162CA"/>
    <w:pPr>
      <w:ind w:left="720"/>
      <w:contextualSpacing/>
    </w:pPr>
  </w:style>
  <w:style w:type="character" w:styleId="a8">
    <w:name w:val="Intense Emphasis"/>
    <w:basedOn w:val="a0"/>
    <w:uiPriority w:val="21"/>
    <w:qFormat/>
    <w:rsid w:val="000162CA"/>
    <w:rPr>
      <w:i/>
      <w:iCs/>
      <w:color w:val="0F4761" w:themeColor="accent1" w:themeShade="BF"/>
    </w:rPr>
  </w:style>
  <w:style w:type="paragraph" w:styleId="a9">
    <w:name w:val="Intense Quote"/>
    <w:basedOn w:val="a"/>
    <w:next w:val="a"/>
    <w:link w:val="aa"/>
    <w:uiPriority w:val="30"/>
    <w:qFormat/>
    <w:rsid w:val="00016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162CA"/>
    <w:rPr>
      <w:i/>
      <w:iCs/>
      <w:color w:val="0F4761" w:themeColor="accent1" w:themeShade="BF"/>
    </w:rPr>
  </w:style>
  <w:style w:type="character" w:styleId="ab">
    <w:name w:val="Intense Reference"/>
    <w:basedOn w:val="a0"/>
    <w:uiPriority w:val="32"/>
    <w:qFormat/>
    <w:rsid w:val="000162CA"/>
    <w:rPr>
      <w:b/>
      <w:bCs/>
      <w:smallCaps/>
      <w:color w:val="0F4761" w:themeColor="accent1" w:themeShade="BF"/>
      <w:spacing w:val="5"/>
    </w:rPr>
  </w:style>
  <w:style w:type="paragraph" w:styleId="ac">
    <w:name w:val="Revision"/>
    <w:hidden/>
    <w:uiPriority w:val="99"/>
    <w:semiHidden/>
    <w:rsid w:val="00392A99"/>
    <w:pPr>
      <w:spacing w:after="0" w:line="240" w:lineRule="auto"/>
    </w:pPr>
  </w:style>
  <w:style w:type="paragraph" w:styleId="ad">
    <w:name w:val="footnote text"/>
    <w:basedOn w:val="a"/>
    <w:link w:val="ae"/>
    <w:uiPriority w:val="99"/>
    <w:semiHidden/>
    <w:unhideWhenUsed/>
    <w:rsid w:val="00263E36"/>
    <w:pPr>
      <w:spacing w:after="0" w:line="240" w:lineRule="auto"/>
    </w:pPr>
    <w:rPr>
      <w:sz w:val="20"/>
      <w:szCs w:val="20"/>
    </w:rPr>
  </w:style>
  <w:style w:type="character" w:customStyle="1" w:styleId="ae">
    <w:name w:val="Текст сноски Знак"/>
    <w:basedOn w:val="a0"/>
    <w:link w:val="ad"/>
    <w:uiPriority w:val="99"/>
    <w:semiHidden/>
    <w:rsid w:val="00263E36"/>
    <w:rPr>
      <w:sz w:val="20"/>
      <w:szCs w:val="20"/>
    </w:rPr>
  </w:style>
  <w:style w:type="character" w:styleId="af">
    <w:name w:val="footnote reference"/>
    <w:basedOn w:val="a0"/>
    <w:uiPriority w:val="99"/>
    <w:semiHidden/>
    <w:unhideWhenUsed/>
    <w:rsid w:val="00263E36"/>
    <w:rPr>
      <w:vertAlign w:val="superscript"/>
    </w:rPr>
  </w:style>
  <w:style w:type="character" w:styleId="af0">
    <w:name w:val="Placeholder Text"/>
    <w:basedOn w:val="a0"/>
    <w:uiPriority w:val="99"/>
    <w:semiHidden/>
    <w:rsid w:val="001E3A5E"/>
    <w:rPr>
      <w:color w:val="666666"/>
    </w:rPr>
  </w:style>
  <w:style w:type="paragraph" w:styleId="af1">
    <w:name w:val="footer"/>
    <w:basedOn w:val="a"/>
    <w:link w:val="af2"/>
    <w:uiPriority w:val="99"/>
    <w:unhideWhenUsed/>
    <w:rsid w:val="00971481"/>
    <w:pPr>
      <w:tabs>
        <w:tab w:val="center" w:pos="4513"/>
        <w:tab w:val="right" w:pos="9026"/>
      </w:tabs>
      <w:spacing w:after="0" w:line="240" w:lineRule="auto"/>
    </w:pPr>
  </w:style>
  <w:style w:type="character" w:customStyle="1" w:styleId="af2">
    <w:name w:val="Нижний колонтитул Знак"/>
    <w:basedOn w:val="a0"/>
    <w:link w:val="af1"/>
    <w:uiPriority w:val="99"/>
    <w:rsid w:val="00971481"/>
  </w:style>
  <w:style w:type="character" w:styleId="af3">
    <w:name w:val="page number"/>
    <w:basedOn w:val="a0"/>
    <w:uiPriority w:val="99"/>
    <w:semiHidden/>
    <w:unhideWhenUsed/>
    <w:rsid w:val="00971481"/>
  </w:style>
  <w:style w:type="paragraph" w:styleId="af4">
    <w:name w:val="header"/>
    <w:basedOn w:val="a"/>
    <w:link w:val="af5"/>
    <w:uiPriority w:val="99"/>
    <w:unhideWhenUsed/>
    <w:rsid w:val="00971481"/>
    <w:pPr>
      <w:tabs>
        <w:tab w:val="center" w:pos="4513"/>
        <w:tab w:val="right" w:pos="9026"/>
      </w:tabs>
      <w:spacing w:after="0" w:line="240" w:lineRule="auto"/>
    </w:pPr>
  </w:style>
  <w:style w:type="character" w:customStyle="1" w:styleId="af5">
    <w:name w:val="Верхний колонтитул Знак"/>
    <w:basedOn w:val="a0"/>
    <w:link w:val="af4"/>
    <w:uiPriority w:val="99"/>
    <w:rsid w:val="009714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Img1" Type="http://schemas.openxmlformats.org/officeDocument/2006/relationships/image" Target="media/article_fig1.png"/><Relationship Id="rIdImg2" Type="http://schemas.openxmlformats.org/officeDocument/2006/relationships/image" Target="media/article_fig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8D3D8-E52C-2A4A-A55B-3ADE965A2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1449</Words>
  <Characters>8265</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Прогнозирование электропотребления ОЭС Северо-Запада</dc:title>
  <dc:subject/>
  <dc:creator>k769</dc:creator>
  <cp:keywords/>
  <dc:description/>
  <cp:lastModifiedBy>k769</cp:lastModifiedBy>
  <cp:revision>45</cp:revision>
  <dcterms:created xsi:type="dcterms:W3CDTF">2026-05-09T09:17:00Z</dcterms:created>
  <dcterms:modified xsi:type="dcterms:W3CDTF">2026-05-09T10:51:00Z</dcterms:modified>
</cp:coreProperties>
</file>