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TayabasCare — Defense Prep Q&amp;A</w:t>
      </w:r>
    </w:p>
    <w:p>
      <w:r>
        <w:rPr>
          <w:b w:val="0"/>
          <w:i/>
          <w:sz w:val="22"/>
        </w:rPr>
        <w:t>STI College Lucena · BSCS · Mock Oral Defense · November 2026</w:t>
      </w:r>
    </w:p>
    <w:p>
      <w:r>
        <w:rPr>
          <w:b w:val="0"/>
          <w:i/>
          <w:sz w:val="22"/>
        </w:rPr>
        <w:t>Answers are grounded in the manuscript and the real system. Tag shows where to point the panel: [Paper §] or [System: file].</w:t>
      </w:r>
    </w:p>
    <w:p>
      <w:pPr>
        <w:pStyle w:val="Heading1"/>
      </w:pPr>
      <w:r>
        <w:t>Hard Questions — rehearse these first</w:t>
      </w:r>
    </w:p>
    <w:p>
      <w:r>
        <w:rPr>
          <w:b w:val="0"/>
          <w:i/>
          <w:sz w:val="22"/>
        </w:rPr>
        <w:t>These are the highest-risk panel questions. Know these cold before anything else.</w:t>
      </w:r>
    </w:p>
    <w:p>
      <w:r>
        <w:rPr>
          <w:b/>
          <w:sz w:val="22"/>
        </w:rPr>
        <w:t>1. “You only risk-scored about 10 of ~3,000 establishments — how is this prescriptive?”</w:t>
      </w:r>
    </w:p>
    <w:p>
      <w:pPr>
        <w:spacing w:after="160"/>
      </w:pPr>
      <w:r>
        <w:rPr>
          <w:sz w:val="22"/>
        </w:rPr>
        <w:t>The pilot sample is intentional. The five-factor risk formula is rule-based and needs no large n to run; the pilot proves the pipeline end-to-end (import → score → alert → report). Full establishment load and statistical validation are documented as next steps under Limitations (Pilot Data Sample) — we do not claim citywide generalization from the pilot.</w:t>
      </w:r>
    </w:p>
    <w:p>
      <w:r>
        <w:rPr>
          <w:b/>
          <w:sz w:val="22"/>
        </w:rPr>
        <w:t>2. “Where are your formal test results?”</w:t>
      </w:r>
    </w:p>
    <w:p>
      <w:pPr>
        <w:spacing w:after="160"/>
      </w:pPr>
      <w:r>
        <w:rPr>
          <w:sz w:val="22"/>
        </w:rPr>
        <w:t>Honest answer: formal user-acceptance testing has not been conducted yet. What we ran was internal QA — functional checks and unit/integration/system test cases documented in the manuscript. This is stated explicitly in Limitations (Testing Status). UAT with City Health Office staff is a recommendation, not a claimed result.</w:t>
      </w:r>
    </w:p>
    <w:p>
      <w:r>
        <w:rPr>
          <w:b/>
          <w:sz w:val="22"/>
        </w:rPr>
        <w:t>3. “Does the AI feature actually work?”</w:t>
      </w:r>
    </w:p>
    <w:p>
      <w:pPr>
        <w:spacing w:after="160"/>
      </w:pPr>
      <w:r>
        <w:rPr>
          <w:sz w:val="22"/>
        </w:rPr>
        <w:t>The AI narrative is an optional layer on top of the deterministic risk engine. It calls OpenRouter and needs OPENROUTER_API_KEY plus internet (php/ai_analyze.php). The core scoring does not depend on AI — if the key is missing, risk scores and alerts still work. For the demo, prepare a fallback: show a previously generated narrative or turn off the AI panel and focus on the rule-based engine.</w:t>
      </w:r>
    </w:p>
    <w:p>
      <w:r>
        <w:rPr>
          <w:b/>
          <w:sz w:val="22"/>
        </w:rPr>
        <w:t>4. “Can we verify these references?”</w:t>
      </w:r>
    </w:p>
    <w:p>
      <w:pPr>
        <w:spacing w:after="160"/>
      </w:pPr>
      <w:r>
        <w:rPr>
          <w:sz w:val="22"/>
        </w:rPr>
        <w:t>Yes. The bibliography was repaired and re-checked: peer-reviewed entries carry DOIs that resolve to the correct papers; normative sources (DOH AOs, WHO strategy, Pressman textbook) are legitimate without DOIs. All scholarly citations are within roughly the last 5–6 years (2021–2025), per the recency requirement for the Review of Related Literature.</w:t>
      </w:r>
    </w:p>
    <w:p>
      <w:r>
        <w:rPr>
          <w:b/>
          <w:sz w:val="22"/>
        </w:rPr>
        <w:t>5. “Where is 2FA / the third user role / permit issuance you mentioned earlier?”</w:t>
      </w:r>
    </w:p>
    <w:p>
      <w:pPr>
        <w:spacing w:after="160"/>
      </w:pPr>
      <w:r>
        <w:rPr>
          <w:sz w:val="22"/>
        </w:rPr>
        <w:t>The Scope and Limitations now match the system exactly: two roles only (admin and inspector); no login 2FA (OTP exists only for password reset); sanitary permits are a printable template, not an issuance/tracking registry with renewal reminders. Claims that the code does not support were corrected in the manuscript.</w:t>
      </w:r>
    </w:p>
    <w:p>
      <w:pPr>
        <w:pStyle w:val="Heading1"/>
      </w:pPr>
      <w:r>
        <w:t>1. Problem and Motivation</w:t>
      </w:r>
    </w:p>
    <w:p>
      <w:r>
        <w:rPr>
          <w:b/>
          <w:sz w:val="22"/>
        </w:rPr>
        <w:t>Q1. What problem does TayabasCare solve?</w:t>
      </w:r>
    </w:p>
    <w:p>
      <w:pPr>
        <w:spacing w:after="160"/>
      </w:pPr>
      <w:r>
        <w:rPr>
          <w:sz w:val="22"/>
        </w:rPr>
        <w:t>The City Health Office still relies on paper-based sanitary inspection records. Manual encoding is slow, inconsistent, and makes it hard to see which establishments are highest risk. The system digitizes records and prescribes inspection priority from historical data.</w:t>
      </w:r>
      <w:r>
        <w:rPr>
          <w:i/>
          <w:color w:val="555555"/>
          <w:sz w:val="18"/>
        </w:rPr>
        <w:t xml:space="preserve">  [Paper §Introduction/Background]</w:t>
      </w:r>
    </w:p>
    <w:p>
      <w:r>
        <w:rPr>
          <w:b/>
          <w:sz w:val="22"/>
        </w:rPr>
        <w:t>Q2. Why is this a problem for Tayabas City specifically?</w:t>
      </w:r>
    </w:p>
    <w:p>
      <w:pPr>
        <w:spacing w:after="160"/>
      </w:pPr>
      <w:r>
        <w:rPr>
          <w:sz w:val="22"/>
        </w:rPr>
        <w:t>CHO manages thousands of establishments across 66 barangays. Without a single digital registry and a transparent risk score, follow-ups and re-inspections depend on memory and paper files rather than evidence.</w:t>
      </w:r>
      <w:r>
        <w:rPr>
          <w:i/>
          <w:color w:val="555555"/>
          <w:sz w:val="18"/>
        </w:rPr>
        <w:t xml:space="preserve">  [Paper §Background]</w:t>
      </w:r>
    </w:p>
    <w:p>
      <w:r>
        <w:rPr>
          <w:b/>
          <w:sz w:val="22"/>
        </w:rPr>
        <w:t>Q3. Why “prescriptive” instead of just a dashboard?</w:t>
      </w:r>
    </w:p>
    <w:p>
      <w:pPr>
        <w:spacing w:after="160"/>
      </w:pPr>
      <w:r>
        <w:rPr>
          <w:sz w:val="22"/>
        </w:rPr>
        <w:t>The system does not only display data: it scores risk (0–100), classifies HIGH/MODERATE/LOW, and prescribes inspection intervals and actions so inspectors know who to visit next.</w:t>
      </w:r>
      <w:r>
        <w:rPr>
          <w:i/>
          <w:color w:val="555555"/>
          <w:sz w:val="18"/>
        </w:rPr>
        <w:t xml:space="preserve">  [Paper §Objectives · System: php/risk_utils.php]</w:t>
      </w:r>
    </w:p>
    <w:p>
      <w:r>
        <w:rPr>
          <w:b/>
          <w:sz w:val="22"/>
        </w:rPr>
        <w:t>Q4. Why now — what changed?</w:t>
      </w:r>
    </w:p>
    <w:p>
      <w:pPr>
        <w:spacing w:after="160"/>
      </w:pPr>
      <w:r>
        <w:rPr>
          <w:sz w:val="22"/>
        </w:rPr>
        <w:t>Digital health and LGU inspection literature (2021–2025) shows structured electronic entry improves data completeness and decision use; Philippine WASH work stresses aligning local tools with DOH formats and real LGU capacity.</w:t>
      </w:r>
      <w:r>
        <w:rPr>
          <w:i/>
          <w:color w:val="555555"/>
          <w:sz w:val="18"/>
        </w:rPr>
        <w:t xml:space="preserve">  [Paper §RRL · References]</w:t>
      </w:r>
    </w:p>
    <w:p>
      <w:pPr>
        <w:pStyle w:val="Heading1"/>
      </w:pPr>
      <w:r>
        <w:t>2. Objectives</w:t>
      </w:r>
    </w:p>
    <w:p>
      <w:r>
        <w:rPr>
          <w:b/>
          <w:sz w:val="22"/>
        </w:rPr>
        <w:t>Q5. What are the five objectives?</w:t>
      </w:r>
    </w:p>
    <w:p>
      <w:pPr>
        <w:spacing w:after="160"/>
      </w:pPr>
      <w:r>
        <w:rPr>
          <w:sz w:val="22"/>
        </w:rPr>
        <w:t>1) Digitize establishment and inspection records; 2) Predict violation risk from historical data; 3) Support structured inspection reporting with history and role controls; 4) Generate alerts/notifications from thresholds; 5) Provide dashboards and exportable reports for CHO.</w:t>
      </w:r>
      <w:r>
        <w:rPr>
          <w:i/>
          <w:color w:val="555555"/>
          <w:sz w:val="18"/>
        </w:rPr>
        <w:t xml:space="preserve">  [Paper §Objectives]</w:t>
      </w:r>
    </w:p>
    <w:p>
      <w:r>
        <w:rPr>
          <w:b/>
          <w:sz w:val="22"/>
        </w:rPr>
        <w:t>Q6. Which objective is the core contribution?</w:t>
      </w:r>
    </w:p>
    <w:p>
      <w:pPr>
        <w:spacing w:after="160"/>
      </w:pPr>
      <w:r>
        <w:rPr>
          <w:sz w:val="22"/>
        </w:rPr>
        <w:t>Objective 2 — prescriptive risk scoring — is the core: a transparent five-factor formula (not a black-box ML model) that turns inspection history into an actionable priority list.</w:t>
      </w:r>
      <w:r>
        <w:rPr>
          <w:i/>
          <w:color w:val="555555"/>
          <w:sz w:val="18"/>
        </w:rPr>
        <w:t xml:space="preserve">  [Paper §Objectives · System: php/risk_utils.php]</w:t>
      </w:r>
    </w:p>
    <w:p>
      <w:r>
        <w:rPr>
          <w:b/>
          <w:sz w:val="22"/>
        </w:rPr>
        <w:t>Q7. Were objectives changed during editing?</w:t>
      </w:r>
    </w:p>
    <w:p>
      <w:pPr>
        <w:spacing w:after="160"/>
      </w:pPr>
      <w:r>
        <w:rPr>
          <w:sz w:val="22"/>
        </w:rPr>
        <w:t>No. Objectives were only corrected for grammar and tense. Their meaning, order, and count are unchanged so they still match results and conclusions 1:1.</w:t>
      </w:r>
      <w:r>
        <w:rPr>
          <w:i/>
          <w:color w:val="555555"/>
          <w:sz w:val="18"/>
        </w:rPr>
        <w:t xml:space="preserve">  [Paper §Objectives]</w:t>
      </w:r>
    </w:p>
    <w:p>
      <w:r>
        <w:rPr>
          <w:b/>
          <w:sz w:val="22"/>
        </w:rPr>
        <w:t>Q8. How do objectives map to system modules?</w:t>
      </w:r>
    </w:p>
    <w:p>
      <w:pPr>
        <w:spacing w:after="160"/>
      </w:pPr>
      <w:r>
        <w:rPr>
          <w:sz w:val="22"/>
        </w:rPr>
        <w:t>Obj1 → import + sanitary registry; Obj2 → risk engine; Obj3 → inspection form + history + roles; Obj4 → in-app and threshold alerts; Obj5 → dashboards + PDF/Excel/CSV export. This mapping is in Methodology → System design specification.</w:t>
      </w:r>
      <w:r>
        <w:rPr>
          <w:i/>
          <w:color w:val="555555"/>
          <w:sz w:val="18"/>
        </w:rPr>
        <w:t xml:space="preserve">  [Paper §Methodology]</w:t>
      </w:r>
    </w:p>
    <w:p>
      <w:pPr>
        <w:pStyle w:val="Heading1"/>
      </w:pPr>
      <w:r>
        <w:t>3. Methodology and Agile</w:t>
      </w:r>
    </w:p>
    <w:p>
      <w:r>
        <w:rPr>
          <w:b/>
          <w:sz w:val="22"/>
        </w:rPr>
        <w:t>Q9. What development methodology did you use?</w:t>
      </w:r>
    </w:p>
    <w:p>
      <w:pPr>
        <w:spacing w:after="160"/>
      </w:pPr>
      <w:r>
        <w:rPr>
          <w:sz w:val="22"/>
        </w:rPr>
        <w:t>Agile with sprint-based iterations: requirements → design → implement → test → review, repeated across project sprints. Waterfall was considered but Agile fit the iterative prototype cycles better.</w:t>
      </w:r>
      <w:r>
        <w:rPr>
          <w:i/>
          <w:color w:val="555555"/>
          <w:sz w:val="18"/>
        </w:rPr>
        <w:t xml:space="preserve">  [Paper §Methodology · Thesing 2021]</w:t>
      </w:r>
    </w:p>
    <w:p>
      <w:r>
        <w:rPr>
          <w:b/>
          <w:sz w:val="22"/>
        </w:rPr>
        <w:t>Q10. Why not Waterfall?</w:t>
      </w:r>
    </w:p>
    <w:p>
      <w:pPr>
        <w:spacing w:after="160"/>
      </w:pPr>
      <w:r>
        <w:rPr>
          <w:sz w:val="22"/>
        </w:rPr>
        <w:t>Requirements for CHO workflows evolved as we inspected real records and forms; Agile allowed scope to be refined each sprint without freezing a full specification up front.</w:t>
      </w:r>
      <w:r>
        <w:rPr>
          <w:i/>
          <w:color w:val="555555"/>
          <w:sz w:val="18"/>
        </w:rPr>
        <w:t xml:space="preserve">  [Paper §Methodology]</w:t>
      </w:r>
    </w:p>
    <w:p>
      <w:r>
        <w:rPr>
          <w:b/>
          <w:sz w:val="22"/>
        </w:rPr>
        <w:t>Q11. Is the risk model machine learning?</w:t>
      </w:r>
    </w:p>
    <w:p>
      <w:pPr>
        <w:spacing w:after="160"/>
      </w:pPr>
      <w:r>
        <w:rPr>
          <w:sz w:val="22"/>
        </w:rPr>
        <w:t>No. It is a deterministic rule-based scoring engine with fixed weights (violations, time since last inspection, establishment category, compliance rate, pending follow-ups). This keeps results auditable for the health office.</w:t>
      </w:r>
      <w:r>
        <w:rPr>
          <w:i/>
          <w:color w:val="555555"/>
          <w:sz w:val="18"/>
        </w:rPr>
        <w:t xml:space="preserve">  [Paper §System design specification · System: php/risk_utils.php]</w:t>
      </w:r>
    </w:p>
    <w:p>
      <w:r>
        <w:rPr>
          <w:b/>
          <w:sz w:val="22"/>
        </w:rPr>
        <w:t>Q12. What is the normative basis for risk tiers?</w:t>
      </w:r>
    </w:p>
    <w:p>
      <w:pPr>
        <w:spacing w:after="160"/>
      </w:pPr>
      <w:r>
        <w:rPr>
          <w:sz w:val="22"/>
        </w:rPr>
        <w:t>PD 856 (Sanitary Code of the Philippines) risk tiers informed the HIGH/MODERATE/LOW thresholds and prescribed actions, alongside CHO practice.</w:t>
      </w:r>
      <w:r>
        <w:rPr>
          <w:i/>
          <w:color w:val="555555"/>
          <w:sz w:val="18"/>
        </w:rPr>
        <w:t xml:space="preserve">  [Paper §Methodology · Table 16]</w:t>
      </w:r>
    </w:p>
    <w:p>
      <w:pPr>
        <w:pStyle w:val="Heading1"/>
      </w:pPr>
      <w:r>
        <w:t>4. Risk Formula and PD 856</w:t>
      </w:r>
    </w:p>
    <w:p>
      <w:r>
        <w:rPr>
          <w:b/>
          <w:sz w:val="22"/>
        </w:rPr>
        <w:t>Q13. What are the five factors and weights?</w:t>
      </w:r>
    </w:p>
    <w:p>
      <w:pPr>
        <w:spacing w:after="160"/>
      </w:pPr>
      <w:r>
        <w:rPr>
          <w:sz w:val="22"/>
        </w:rPr>
        <w:t>Previous violations (0–25), time since last inspection (0–20), establishment category (0–20), compliance history (0–20), pending follow-ups (0–15). Total 0–100. HIGH ≥ 60, MODERATE ≥ 30, LOW &lt; 30.</w:t>
      </w:r>
      <w:r>
        <w:rPr>
          <w:i/>
          <w:color w:val="555555"/>
          <w:sz w:val="18"/>
        </w:rPr>
        <w:t xml:space="preserve">  [Paper §Results · System: php/risk_utils.php]</w:t>
      </w:r>
    </w:p>
    <w:p>
      <w:r>
        <w:rPr>
          <w:b/>
          <w:sz w:val="22"/>
        </w:rPr>
        <w:t>Q14. How do you avoid inflating risk when the same report is edited?</w:t>
      </w:r>
    </w:p>
    <w:p>
      <w:pPr>
        <w:spacing w:after="160"/>
      </w:pPr>
      <w:r>
        <w:rPr>
          <w:sz w:val="22"/>
        </w:rPr>
        <w:t>Inspection revisions are deduplicated by report_date before scoring — editing one report N times does not add N violations.</w:t>
      </w:r>
      <w:r>
        <w:rPr>
          <w:i/>
          <w:color w:val="555555"/>
          <w:sz w:val="18"/>
        </w:rPr>
        <w:t xml:space="preserve">  [System: php/risk_utils.php]</w:t>
      </w:r>
    </w:p>
    <w:p>
      <w:r>
        <w:rPr>
          <w:b/>
          <w:sz w:val="22"/>
        </w:rPr>
        <w:t>Q15. Are the weights scientifically validated?</w:t>
      </w:r>
    </w:p>
    <w:p>
      <w:pPr>
        <w:spacing w:after="160"/>
      </w:pPr>
      <w:r>
        <w:rPr>
          <w:sz w:val="22"/>
        </w:rPr>
        <w:t>Weights are heuristic and transparent, grounded in PD 856 risk tiers and CHO priorities — not fitted from a large labeled dataset. Formal expert validation is future work (stated honestly, not claimed as done).</w:t>
      </w:r>
      <w:r>
        <w:rPr>
          <w:i/>
          <w:color w:val="555555"/>
          <w:sz w:val="18"/>
        </w:rPr>
        <w:t xml:space="preserve">  [Paper §Limitations/weights note]</w:t>
      </w:r>
    </w:p>
    <w:p>
      <w:r>
        <w:rPr>
          <w:b/>
          <w:sz w:val="22"/>
        </w:rPr>
        <w:t>Q16. What does “prescribed action” mean in the output?</w:t>
      </w:r>
    </w:p>
    <w:p>
      <w:pPr>
        <w:spacing w:after="160"/>
      </w:pPr>
      <w:r>
        <w:rPr>
          <w:sz w:val="22"/>
        </w:rPr>
        <w:t>For each risk band the system suggests an inspection interval and follow-up action (e.g. priority re-inspection for HIGH). The inspector still executes; the system prioritizes.</w:t>
      </w:r>
      <w:r>
        <w:rPr>
          <w:i/>
          <w:color w:val="555555"/>
          <w:sz w:val="18"/>
        </w:rPr>
        <w:t xml:space="preserve">  [Paper §Tables 15–16]</w:t>
      </w:r>
    </w:p>
    <w:p>
      <w:pPr>
        <w:pStyle w:val="Heading1"/>
      </w:pPr>
      <w:r>
        <w:t>5. Data and Sample</w:t>
      </w:r>
    </w:p>
    <w:p>
      <w:r>
        <w:rPr>
          <w:b/>
          <w:sz w:val="22"/>
        </w:rPr>
        <w:t>Q17. What data does the system use?</w:t>
      </w:r>
    </w:p>
    <w:p>
      <w:pPr>
        <w:spacing w:after="160"/>
      </w:pPr>
      <w:r>
        <w:rPr>
          <w:sz w:val="22"/>
        </w:rPr>
        <w:t>Historical sanitary records and inspection reports (establishment profile, violations, compliance, dates), imported and entered through the app.</w:t>
      </w:r>
      <w:r>
        <w:rPr>
          <w:i/>
          <w:color w:val="555555"/>
          <w:sz w:val="18"/>
        </w:rPr>
        <w:t xml:space="preserve">  [Paper §Scope · System: php/sanitary.php, php/inspection.php]</w:t>
      </w:r>
    </w:p>
    <w:p>
      <w:r>
        <w:rPr>
          <w:b/>
          <w:sz w:val="22"/>
        </w:rPr>
        <w:t>Q18. How many establishments are in the city vs the pilot?</w:t>
      </w:r>
    </w:p>
    <w:p>
      <w:pPr>
        <w:spacing w:after="160"/>
      </w:pPr>
      <w:r>
        <w:rPr>
          <w:sz w:val="22"/>
        </w:rPr>
        <w:t>Roughly 3,000 establishments citywide; the pilot risk distribution was computed on a small subset (~9–10) to validate the pipeline. This is disclosed as the Pilot Data Sample limitation — not presented as a citywide statistical result.</w:t>
      </w:r>
      <w:r>
        <w:rPr>
          <w:i/>
          <w:color w:val="555555"/>
          <w:sz w:val="18"/>
        </w:rPr>
        <w:t xml:space="preserve">  [Paper §Limitations (Pilot Data Sample)]</w:t>
      </w:r>
    </w:p>
    <w:p>
      <w:r>
        <w:rPr>
          <w:b/>
          <w:sz w:val="22"/>
        </w:rPr>
        <w:t>Q19. Why are Tables 4 and 15 counts slightly different?</w:t>
      </w:r>
    </w:p>
    <w:p>
      <w:pPr>
        <w:spacing w:after="160"/>
      </w:pPr>
      <w:r>
        <w:rPr>
          <w:sz w:val="22"/>
        </w:rPr>
        <w:t>Different cuts of the pilot data (category breakdown vs risk-band totals after dedupe). If asked, say the pilot is illustrative; full reconciliation happens when the complete registry is loaded.</w:t>
      </w:r>
      <w:r>
        <w:rPr>
          <w:i/>
          <w:color w:val="555555"/>
          <w:sz w:val="18"/>
        </w:rPr>
        <w:t xml:space="preserve">  [Paper §Results]</w:t>
      </w:r>
    </w:p>
    <w:p>
      <w:pPr>
        <w:pStyle w:val="Heading1"/>
      </w:pPr>
      <w:r>
        <w:t>6. Testing and QA</w:t>
      </w:r>
    </w:p>
    <w:p>
      <w:r>
        <w:rPr>
          <w:b/>
          <w:sz w:val="22"/>
        </w:rPr>
        <w:t>Q20. What testing was actually done?</w:t>
      </w:r>
    </w:p>
    <w:p>
      <w:pPr>
        <w:spacing w:after="160"/>
      </w:pPr>
      <w:r>
        <w:rPr>
          <w:sz w:val="22"/>
        </w:rPr>
        <w:t>Internal QA: functional checks of modules, unit/integration/system test cases, and stress observations as documented. Formal UAT with end users has not been run yet.</w:t>
      </w:r>
      <w:r>
        <w:rPr>
          <w:i/>
          <w:color w:val="555555"/>
          <w:sz w:val="18"/>
        </w:rPr>
        <w:t xml:space="preserve">  [Paper §Limitations (Testing Status) · Tables 11–12]</w:t>
      </w:r>
    </w:p>
    <w:p>
      <w:r>
        <w:rPr>
          <w:b/>
          <w:sz w:val="22"/>
        </w:rPr>
        <w:t>Q21. Can you show a pass/fail matrix for all test cases?</w:t>
      </w:r>
    </w:p>
    <w:p>
      <w:pPr>
        <w:spacing w:after="160"/>
      </w:pPr>
      <w:r>
        <w:rPr>
          <w:sz w:val="22"/>
        </w:rPr>
        <w:t>Only the executed cases are reported. We do not invent completion percentages for tests that were not run; pending formal execution is acknowledged.</w:t>
      </w:r>
      <w:r>
        <w:rPr>
          <w:i/>
          <w:color w:val="555555"/>
          <w:sz w:val="18"/>
        </w:rPr>
        <w:t xml:space="preserve">  [Paper §Results/Testing]</w:t>
      </w:r>
    </w:p>
    <w:p>
      <w:r>
        <w:rPr>
          <w:b/>
          <w:sz w:val="22"/>
        </w:rPr>
        <w:t>Q22. How do you know alerts fire?</w:t>
      </w:r>
    </w:p>
    <w:p>
      <w:pPr>
        <w:spacing w:after="160"/>
      </w:pPr>
      <w:r>
        <w:rPr>
          <w:sz w:val="22"/>
        </w:rPr>
        <w:t>Threshold rules (e.g. violation count ≥ 3) and in-app alerts are implemented and were exercised in internal checks; email dispatch is a manual admin action (no cron), so production automation is future work.</w:t>
      </w:r>
      <w:r>
        <w:rPr>
          <w:i/>
          <w:color w:val="555555"/>
          <w:sz w:val="18"/>
        </w:rPr>
        <w:t xml:space="preserve">  [System: php/alerts.php, php/notification_runner.php]</w:t>
      </w:r>
    </w:p>
    <w:p>
      <w:r>
        <w:rPr>
          <w:b/>
          <w:sz w:val="22"/>
        </w:rPr>
        <w:t>Q23. What is your QA process before release?</w:t>
      </w:r>
    </w:p>
    <w:p>
      <w:pPr>
        <w:spacing w:after="160"/>
      </w:pPr>
      <w:r>
        <w:rPr>
          <w:sz w:val="22"/>
        </w:rPr>
        <w:t>Code review among proponents, regression on critical paths (login, import, score, export), and browser checks on the XAMPP stack. A written UAT protocol is recommended next.</w:t>
      </w:r>
      <w:r>
        <w:rPr>
          <w:i/>
          <w:color w:val="555555"/>
          <w:sz w:val="18"/>
        </w:rPr>
        <w:t xml:space="preserve">  [Paper §Recommendation]</w:t>
      </w:r>
    </w:p>
    <w:p>
      <w:pPr>
        <w:pStyle w:val="Heading1"/>
      </w:pPr>
      <w:r>
        <w:t>7. Security</w:t>
      </w:r>
    </w:p>
    <w:p>
      <w:r>
        <w:rPr>
          <w:b/>
          <w:sz w:val="22"/>
        </w:rPr>
        <w:t>Q24. How are passwords stored?</w:t>
      </w:r>
    </w:p>
    <w:p>
      <w:pPr>
        <w:spacing w:after="160"/>
      </w:pPr>
      <w:r>
        <w:rPr>
          <w:sz w:val="22"/>
        </w:rPr>
        <w:t>Salted bcrypt hashes (PASSWORD_DEFAULT). Legacy MD5/plaintext rows auto-migrate to bcrypt on successful login.</w:t>
      </w:r>
      <w:r>
        <w:rPr>
          <w:i/>
          <w:color w:val="555555"/>
          <w:sz w:val="18"/>
        </w:rPr>
        <w:t xml:space="preserve">  [System: php/auth.php]</w:t>
      </w:r>
    </w:p>
    <w:p>
      <w:r>
        <w:rPr>
          <w:b/>
          <w:sz w:val="22"/>
        </w:rPr>
        <w:t>Q25. Is there CSRF protection?</w:t>
      </w:r>
    </w:p>
    <w:p>
      <w:pPr>
        <w:spacing w:after="160"/>
      </w:pPr>
      <w:r>
        <w:rPr>
          <w:sz w:val="22"/>
        </w:rPr>
        <w:t>Yes — all mutating endpoints require an X-CSRF-Token; the JS fetch interceptor attaches it automatically.</w:t>
      </w:r>
      <w:r>
        <w:rPr>
          <w:i/>
          <w:color w:val="555555"/>
          <w:sz w:val="18"/>
        </w:rPr>
        <w:t xml:space="preserve">  [System: php/csrf.php, js/*]</w:t>
      </w:r>
    </w:p>
    <w:p>
      <w:r>
        <w:rPr>
          <w:b/>
          <w:sz w:val="22"/>
        </w:rPr>
        <w:t>Q26. Do you have two-factor authentication?</w:t>
      </w:r>
    </w:p>
    <w:p>
      <w:pPr>
        <w:spacing w:after="160"/>
      </w:pPr>
      <w:r>
        <w:rPr>
          <w:sz w:val="22"/>
        </w:rPr>
        <w:t>Not at login. OTP is used only for password reset. Scope wording was corrected so we do not overclaim.</w:t>
      </w:r>
      <w:r>
        <w:rPr>
          <w:i/>
          <w:color w:val="555555"/>
          <w:sz w:val="18"/>
        </w:rPr>
        <w:t xml:space="preserve">  [System: php/forgot_password.php · Paper §Scope]</w:t>
      </w:r>
    </w:p>
    <w:p>
      <w:r>
        <w:rPr>
          <w:b/>
          <w:sz w:val="22"/>
        </w:rPr>
        <w:t>Q27. Who can access what?</w:t>
      </w:r>
    </w:p>
    <w:p>
      <w:pPr>
        <w:spacing w:after="160"/>
      </w:pPr>
      <w:r>
        <w:rPr>
          <w:sz w:val="22"/>
        </w:rPr>
        <w:t>Two roles: admin (full management, reports, inspector accounts) and inspector (cluster-scoped inspections and field entry). Session auth with idle timeout; audit trail via activity log.</w:t>
      </w:r>
      <w:r>
        <w:rPr>
          <w:i/>
          <w:color w:val="555555"/>
          <w:sz w:val="18"/>
        </w:rPr>
        <w:t xml:space="preserve">  [System: php/auth_check.php, php/activity_log.php]</w:t>
      </w:r>
    </w:p>
    <w:p>
      <w:pPr>
        <w:pStyle w:val="Heading1"/>
      </w:pPr>
      <w:r>
        <w:t>8. Differentiation vs Related Systems</w:t>
      </w:r>
    </w:p>
    <w:p>
      <w:r>
        <w:rPr>
          <w:b/>
          <w:sz w:val="22"/>
        </w:rPr>
        <w:t>Q28. How is this different from a generic health information system?</w:t>
      </w:r>
    </w:p>
    <w:p>
      <w:pPr>
        <w:spacing w:after="160"/>
      </w:pPr>
      <w:r>
        <w:rPr>
          <w:sz w:val="22"/>
        </w:rPr>
        <w:t>Prior work mainly digitizes reporting. TayabasCare is prescriptive: it scores violation risk from inspection history and tells the CHO where to inspect next — tailored to LGU sanitary inspection, not hospital HMIS.</w:t>
      </w:r>
      <w:r>
        <w:rPr>
          <w:i/>
          <w:color w:val="555555"/>
          <w:sz w:val="18"/>
        </w:rPr>
        <w:t xml:space="preserve">  [Paper §RRL/Synthesis]</w:t>
      </w:r>
    </w:p>
    <w:p>
      <w:r>
        <w:rPr>
          <w:b/>
          <w:sz w:val="22"/>
        </w:rPr>
        <w:t>Q29. Why not just use Excel?</w:t>
      </w:r>
    </w:p>
    <w:p>
      <w:pPr>
        <w:spacing w:after="160"/>
      </w:pPr>
      <w:r>
        <w:rPr>
          <w:sz w:val="22"/>
        </w:rPr>
        <w:t>Excel does not enforce roles, audit trails, cluster scoping, threshold alerts, or a reproducible risk formula. The system centralizes CHO workflow with accountability.</w:t>
      </w:r>
      <w:r>
        <w:rPr>
          <w:i/>
          <w:color w:val="555555"/>
          <w:sz w:val="18"/>
        </w:rPr>
        <w:t xml:space="preserve">  [Paper §Introduction]</w:t>
      </w:r>
    </w:p>
    <w:p>
      <w:r>
        <w:rPr>
          <w:b/>
          <w:sz w:val="22"/>
        </w:rPr>
        <w:t>Q30. Is this related to Philippine LGU food-service inspection studies?</w:t>
      </w:r>
    </w:p>
    <w:p>
      <w:pPr>
        <w:spacing w:after="160"/>
      </w:pPr>
      <w:r>
        <w:rPr>
          <w:sz w:val="22"/>
        </w:rPr>
        <w:t>Yes — Atif &amp; MacDonald (2021) found limited inspector capacity and need for simpler recording tools in a PH LGU; our work targets that gap with a full digital + risk-prioritization loop.</w:t>
      </w:r>
      <w:r>
        <w:rPr>
          <w:i/>
          <w:color w:val="555555"/>
          <w:sz w:val="18"/>
        </w:rPr>
        <w:t xml:space="preserve">  [Paper §RRL Local · References]</w:t>
      </w:r>
    </w:p>
    <w:p>
      <w:pPr>
        <w:pStyle w:val="Heading1"/>
      </w:pPr>
      <w:r>
        <w:t>9. Limitations and Future Work</w:t>
      </w:r>
    </w:p>
    <w:p>
      <w:r>
        <w:rPr>
          <w:b/>
          <w:sz w:val="22"/>
        </w:rPr>
        <w:t>Q31. What are the main limitations?</w:t>
      </w:r>
    </w:p>
    <w:p>
      <w:pPr>
        <w:spacing w:after="160"/>
      </w:pPr>
      <w:r>
        <w:rPr>
          <w:sz w:val="22"/>
        </w:rPr>
        <w:t>(1) Internal QA only — no formal UAT yet; (2) pilot data sample — not statistically generalizable; (3) rule-based weights need expert validation; (4) AI narrative needs API key/internet; (5) email is manual dispatch.</w:t>
      </w:r>
      <w:r>
        <w:rPr>
          <w:i/>
          <w:color w:val="555555"/>
          <w:sz w:val="18"/>
        </w:rPr>
        <w:t xml:space="preserve">  [Paper §Limitations]</w:t>
      </w:r>
    </w:p>
    <w:p>
      <w:r>
        <w:rPr>
          <w:b/>
          <w:sz w:val="22"/>
        </w:rPr>
        <w:t>Q32. What would you do next?</w:t>
      </w:r>
    </w:p>
    <w:p>
      <w:pPr>
        <w:spacing w:after="160"/>
      </w:pPr>
      <w:r>
        <w:rPr>
          <w:sz w:val="22"/>
        </w:rPr>
        <w:t>Load the full registry, run UAT with CHO staff, validate weights with sanitarians, automate email/cron if needed, and track risk score trends over time.</w:t>
      </w:r>
      <w:r>
        <w:rPr>
          <w:i/>
          <w:color w:val="555555"/>
          <w:sz w:val="18"/>
        </w:rPr>
        <w:t xml:space="preserve">  [Paper §Recommendation]</w:t>
      </w:r>
    </w:p>
    <w:p>
      <w:r>
        <w:rPr>
          <w:b/>
          <w:sz w:val="22"/>
        </w:rPr>
        <w:t>Q33. If you had more time, what one feature?</w:t>
      </w:r>
    </w:p>
    <w:p>
      <w:pPr>
        <w:spacing w:after="160"/>
      </w:pPr>
      <w:r>
        <w:rPr>
          <w:sz w:val="22"/>
        </w:rPr>
        <w:t>Longitudinal risk trend dashboards + scheduled re-inspection workflows driven by the score history already stored in risk_scores.</w:t>
      </w:r>
      <w:r>
        <w:rPr>
          <w:i/>
          <w:color w:val="555555"/>
          <w:sz w:val="18"/>
        </w:rPr>
        <w:t xml:space="preserve">  [Paper §Recommendation · System: php/risk_history.php]</w:t>
      </w:r>
    </w:p>
    <w:p>
      <w:pPr>
        <w:pStyle w:val="Heading1"/>
      </w:pPr>
      <w:r>
        <w:t>Demo risk checklist (before you present)</w:t>
      </w:r>
    </w:p>
    <w:p>
      <w:r>
        <w:rPr>
          <w:b w:val="0"/>
          <w:i w:val="0"/>
          <w:sz w:val="22"/>
        </w:rPr>
        <w:t>• Default login admin/admin123 — change it if projecting a live demo in a shared room.</w:t>
      </w:r>
    </w:p>
    <w:p>
      <w:r>
        <w:rPr>
          <w:b w:val="0"/>
          <w:i w:val="0"/>
          <w:sz w:val="22"/>
        </w:rPr>
        <w:t>• AI narrative: confirm OPENROUTER_API_KEY in php/.env or hide that button.</w:t>
      </w:r>
    </w:p>
    <w:p>
      <w:r>
        <w:rPr>
          <w:b w:val="0"/>
          <w:i w:val="0"/>
          <w:sz w:val="22"/>
        </w:rPr>
        <w:t>• Email: say “manual dispatch” — do not claim cron.</w:t>
      </w:r>
    </w:p>
    <w:p>
      <w:r>
        <w:rPr>
          <w:b w:val="0"/>
          <w:i w:val="0"/>
          <w:sz w:val="22"/>
        </w:rPr>
        <w:t>• Drafts are browser localStorage only — do not say “sync across devices.”</w:t>
      </w:r>
    </w:p>
    <w:p>
      <w:r>
        <w:rPr>
          <w:b w:val="0"/>
          <w:i w:val="0"/>
          <w:sz w:val="22"/>
        </w:rPr>
        <w:t>• Permit screen: printable template only — do not demonstrate “renewal reminders.”</w:t>
      </w:r>
    </w:p>
    <w:p>
      <w:r>
        <w:rPr>
          <w:b w:val="0"/>
          <w:i w:val="0"/>
          <w:sz w:val="22"/>
        </w:rPr>
        <w:t>• If offline: risk engine and reports still work; only AI/email need external services.</w:t>
      </w:r>
    </w:p>
    <w:p>
      <w:pPr>
        <w:pStyle w:val="Heading1"/>
      </w:pPr>
      <w:r>
        <w:t>One-line pitch (open with this)</w:t>
      </w:r>
    </w:p>
    <w:p>
      <w:r>
        <w:rPr>
          <w:b w:val="0"/>
          <w:i/>
          <w:sz w:val="22"/>
        </w:rPr>
        <w:t>TayabasCare turns the City Health Office’s paper inspection history into a transparent, rule-based risk score so inspectors know which of Tayabas’s establishments to visit first — with full audit trails, alerts, and exportable reports, built for real LGU constraints.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