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shd w:fill="1F3B4D" w:val="clear"/>
            <w:tcMar>
              <w:top w:type="dxa" w:w="240"/>
              <w:left w:type="dxa" w:w="320"/>
              <w:bottom w:type="dxa" w:w="240"/>
              <w:right w:type="dxa" w:w="320"/>
            </w:tcMar>
            <w:vAlign w:val="center"/>
          </w:tcPr>
          <w:p>
            <w:pPr>
              <w:spacing w:after="20"/>
            </w:pPr>
            <w:r>
              <w:rPr>
                <w:b/>
                <w:bCs/>
                <w:color w:val="FFFFFF"/>
                <w:sz w:val="40"/>
                <w:szCs w:val="40"/>
              </w:rPr>
              <w:t xml:space="preserve">BIBELARBEIT</w:t>
            </w:r>
          </w:p>
          <w:p>
            <w:r>
              <w:rPr>
                <w:b/>
                <w:bCs/>
                <w:color w:val="C98B2B"/>
                <w:spacing w:val="15"/>
                <w:sz w:val="22"/>
                <w:szCs w:val="22"/>
              </w:rPr>
              <w:t xml:space="preserve">„ALT“-GRUPPE · 5. TAG</w:t>
            </w:r>
          </w:p>
        </w:tc>
      </w:tr>
    </w:tbl>
    <w:p>
      <w:pPr>
        <w:spacing w:after="200"/>
      </w:pPr>
    </w:p>
    <w:p>
      <w:pPr>
        <w:spacing w:after="220"/>
      </w:pPr>
      <w:r>
        <w:rPr>
          <w:i/>
          <w:iCs/>
          <w:color w:val="666666"/>
          <w:sz w:val="19"/>
          <w:szCs w:val="19"/>
        </w:rPr>
        <w:t xml:space="preserve">Jungscharlager „Jo und die starken 7“ · Freitag, 14.08.2026 · morgens (nach der gemeinsamen Szene)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7506"/>
      </w:tblGrid>
      <w:tr>
        <w:trPr>
          <w:cantSplit/>
        </w:trPr>
        <w:tc>
          <w:tcPr>
            <w:tcW w:type="dxa" w:w="2600"/>
            <w:shd w:fill="F7F7F5" w:val="clear"/>
            <w:tcMar>
              <w:top w:type="dxa" w:w="100"/>
              <w:left w:type="dxa" w:w="160"/>
              <w:bottom w:type="dxa" w:w="100"/>
              <w:right w:type="dxa" w:w="120"/>
            </w:tcMar>
            <w:vAlign w:val="center"/>
          </w:tcPr>
          <w:p>
            <w:r>
              <w:rPr>
                <w:b/>
                <w:bCs/>
                <w:color w:val="1F3B4D"/>
                <w:sz w:val="19"/>
                <w:szCs w:val="19"/>
              </w:rPr>
              <w:t xml:space="preserve">Thema</w:t>
            </w:r>
          </w:p>
        </w:tc>
        <w:tc>
          <w:tcPr>
            <w:tcW w:type="dxa" w:w="7506"/>
            <w:shd w:fill="F7F7F5" w:val="clear"/>
            <w:tcMar>
              <w:top w:type="dxa" w:w="100"/>
              <w:left w:type="dxa" w:w="160"/>
              <w:bottom w:type="dxa" w:w="100"/>
              <w:right w:type="dxa" w:w="120"/>
            </w:tcMar>
            <w:vAlign w:val="center"/>
          </w:tcPr>
          <w:p>
            <w:r>
              <w:rPr>
                <w:color w:val="222222"/>
                <w:sz w:val="19"/>
                <w:szCs w:val="19"/>
              </w:rPr>
              <w:t xml:space="preserve">Das Licht der Welt</w:t>
            </w:r>
          </w:p>
        </w:tc>
      </w:tr>
      <w:tr>
        <w:trPr>
          <w:cantSplit/>
        </w:trPr>
        <w:tc>
          <w:tcPr>
            <w:tcW w:type="dxa" w:w="2600"/>
            <w:shd w:fill="FFFFFF" w:val="clear"/>
            <w:tcMar>
              <w:top w:type="dxa" w:w="100"/>
              <w:left w:type="dxa" w:w="160"/>
              <w:bottom w:type="dxa" w:w="100"/>
              <w:right w:type="dxa" w:w="120"/>
            </w:tcMar>
            <w:vAlign w:val="center"/>
          </w:tcPr>
          <w:p>
            <w:r>
              <w:rPr>
                <w:b/>
                <w:bCs/>
                <w:color w:val="1F3B4D"/>
                <w:sz w:val="19"/>
                <w:szCs w:val="19"/>
              </w:rPr>
              <w:t xml:space="preserve">Bibelstelle</w:t>
            </w:r>
          </w:p>
        </w:tc>
        <w:tc>
          <w:tcPr>
            <w:tcW w:type="dxa" w:w="7506"/>
            <w:shd w:fill="FFFFFF" w:val="clear"/>
            <w:tcMar>
              <w:top w:type="dxa" w:w="100"/>
              <w:left w:type="dxa" w:w="160"/>
              <w:bottom w:type="dxa" w:w="100"/>
              <w:right w:type="dxa" w:w="120"/>
            </w:tcMar>
            <w:vAlign w:val="center"/>
          </w:tcPr>
          <w:p>
            <w:r>
              <w:rPr>
                <w:color w:val="222222"/>
                <w:sz w:val="19"/>
                <w:szCs w:val="19"/>
              </w:rPr>
              <w:t xml:space="preserve">Johannes 8,12–18</w:t>
            </w:r>
          </w:p>
        </w:tc>
      </w:tr>
      <w:tr>
        <w:trPr>
          <w:cantSplit/>
        </w:trPr>
        <w:tc>
          <w:tcPr>
            <w:tcW w:type="dxa" w:w="2600"/>
            <w:shd w:fill="F7F7F5" w:val="clear"/>
            <w:tcMar>
              <w:top w:type="dxa" w:w="100"/>
              <w:left w:type="dxa" w:w="160"/>
              <w:bottom w:type="dxa" w:w="100"/>
              <w:right w:type="dxa" w:w="120"/>
            </w:tcMar>
            <w:vAlign w:val="center"/>
          </w:tcPr>
          <w:p>
            <w:r>
              <w:rPr>
                <w:b/>
                <w:bCs/>
                <w:color w:val="1F3B4D"/>
                <w:sz w:val="19"/>
                <w:szCs w:val="19"/>
              </w:rPr>
              <w:t xml:space="preserve">Kernaussage</w:t>
            </w:r>
          </w:p>
        </w:tc>
        <w:tc>
          <w:tcPr>
            <w:tcW w:type="dxa" w:w="7506"/>
            <w:shd w:fill="F7F7F5" w:val="clear"/>
            <w:tcMar>
              <w:top w:type="dxa" w:w="100"/>
              <w:left w:type="dxa" w:w="160"/>
              <w:bottom w:type="dxa" w:w="100"/>
              <w:right w:type="dxa" w:w="120"/>
            </w:tcMar>
            <w:vAlign w:val="center"/>
          </w:tcPr>
          <w:p>
            <w:r>
              <w:rPr>
                <w:color w:val="222222"/>
                <w:sz w:val="19"/>
                <w:szCs w:val="19"/>
              </w:rPr>
              <w:t xml:space="preserve">Jesus nimmt mir meine Angst und gibt Orientierung</w:t>
            </w:r>
          </w:p>
        </w:tc>
      </w:tr>
      <w:tr>
        <w:trPr>
          <w:cantSplit/>
        </w:trPr>
        <w:tc>
          <w:tcPr>
            <w:tcW w:type="dxa" w:w="2600"/>
            <w:shd w:fill="FFFFFF" w:val="clear"/>
            <w:tcMar>
              <w:top w:type="dxa" w:w="100"/>
              <w:left w:type="dxa" w:w="160"/>
              <w:bottom w:type="dxa" w:w="100"/>
              <w:right w:type="dxa" w:w="120"/>
            </w:tcMar>
            <w:vAlign w:val="center"/>
          </w:tcPr>
          <w:p>
            <w:r>
              <w:rPr>
                <w:b/>
                <w:bCs/>
                <w:color w:val="1F3B4D"/>
                <w:sz w:val="19"/>
                <w:szCs w:val="19"/>
              </w:rPr>
              <w:t xml:space="preserve">Zielgruppe</w:t>
            </w:r>
          </w:p>
        </w:tc>
        <w:tc>
          <w:tcPr>
            <w:tcW w:type="dxa" w:w="7506"/>
            <w:shd w:fill="FFFFFF" w:val="clear"/>
            <w:tcMar>
              <w:top w:type="dxa" w:w="100"/>
              <w:left w:type="dxa" w:w="160"/>
              <w:bottom w:type="dxa" w:w="100"/>
              <w:right w:type="dxa" w:w="120"/>
            </w:tcMar>
            <w:vAlign w:val="center"/>
          </w:tcPr>
          <w:p>
            <w:r>
              <w:rPr>
                <w:color w:val="222222"/>
                <w:sz w:val="19"/>
                <w:szCs w:val="19"/>
              </w:rPr>
              <w:t xml:space="preserve">„Alt“-Gruppe (ältere Teilnehmende)</w:t>
            </w:r>
          </w:p>
        </w:tc>
      </w:tr>
      <w:tr>
        <w:trPr>
          <w:cantSplit/>
        </w:trPr>
        <w:tc>
          <w:tcPr>
            <w:tcW w:type="dxa" w:w="2600"/>
            <w:shd w:fill="F7F7F5" w:val="clear"/>
            <w:tcMar>
              <w:top w:type="dxa" w:w="100"/>
              <w:left w:type="dxa" w:w="160"/>
              <w:bottom w:type="dxa" w:w="100"/>
              <w:right w:type="dxa" w:w="120"/>
            </w:tcMar>
            <w:vAlign w:val="center"/>
          </w:tcPr>
          <w:p>
            <w:r>
              <w:rPr>
                <w:b/>
                <w:bCs/>
                <w:color w:val="1F3B4D"/>
                <w:sz w:val="19"/>
                <w:szCs w:val="19"/>
              </w:rPr>
              <w:t xml:space="preserve">Dauer</w:t>
            </w:r>
          </w:p>
        </w:tc>
        <w:tc>
          <w:tcPr>
            <w:tcW w:type="dxa" w:w="7506"/>
            <w:shd w:fill="F7F7F5" w:val="clear"/>
            <w:tcMar>
              <w:top w:type="dxa" w:w="100"/>
              <w:left w:type="dxa" w:w="160"/>
              <w:bottom w:type="dxa" w:w="100"/>
              <w:right w:type="dxa" w:w="120"/>
            </w:tcMar>
            <w:vAlign w:val="center"/>
          </w:tcPr>
          <w:p>
            <w:r>
              <w:rPr>
                <w:color w:val="222222"/>
                <w:sz w:val="19"/>
                <w:szCs w:val="19"/>
              </w:rPr>
              <w:t xml:space="preserve">ca. 35–40 Minuten (Kurzversion ca. 15 Minuten, siehe Ende)</w:t>
            </w:r>
          </w:p>
        </w:tc>
      </w:tr>
      <w:tr>
        <w:trPr>
          <w:cantSplit/>
        </w:trPr>
        <w:tc>
          <w:tcPr>
            <w:tcW w:type="dxa" w:w="2600"/>
            <w:shd w:fill="FFFFFF" w:val="clear"/>
            <w:tcMar>
              <w:top w:type="dxa" w:w="100"/>
              <w:left w:type="dxa" w:w="160"/>
              <w:bottom w:type="dxa" w:w="100"/>
              <w:right w:type="dxa" w:w="120"/>
            </w:tcMar>
            <w:vAlign w:val="center"/>
          </w:tcPr>
          <w:p>
            <w:r>
              <w:rPr>
                <w:b/>
                <w:bCs/>
                <w:color w:val="1F3B4D"/>
                <w:sz w:val="19"/>
                <w:szCs w:val="19"/>
              </w:rPr>
              <w:t xml:space="preserve">Leitung</w:t>
            </w:r>
          </w:p>
        </w:tc>
        <w:tc>
          <w:tcPr>
            <w:tcW w:type="dxa" w:w="7506"/>
            <w:shd w:fill="FFFFFF" w:val="clear"/>
            <w:tcMar>
              <w:top w:type="dxa" w:w="100"/>
              <w:left w:type="dxa" w:w="160"/>
              <w:bottom w:type="dxa" w:w="100"/>
              <w:right w:type="dxa" w:w="120"/>
            </w:tcMar>
            <w:vAlign w:val="center"/>
          </w:tcPr>
          <w:p>
            <w:r>
              <w:rPr>
                <w:color w:val="222222"/>
                <w:sz w:val="19"/>
                <w:szCs w:val="19"/>
              </w:rPr>
              <w:t xml:space="preserve">Niklas</w:t>
            </w:r>
          </w:p>
        </w:tc>
      </w:tr>
    </w:tbl>
    <w:p>
      <w:pPr>
        <w:spacing w:after="18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trPr>
        <w:tc>
          <w:tcPr>
            <w:tcW w:type="dxa" w:w="10106"/>
            <w:tcBorders>
              <w:top w:val="single" w:color="CCCCCC" w:sz="4"/>
              <w:left w:val="single" w:color="CCCCCC" w:sz="4"/>
              <w:bottom w:val="single" w:color="CCCCCC" w:sz="4"/>
              <w:right w:val="single" w:color="CCCCCC" w:sz="4"/>
            </w:tcBorders>
            <w:shd w:fill="F7F7F5" w:val="clear"/>
            <w:tcMar>
              <w:top w:type="dxa" w:w="160"/>
              <w:left w:type="dxa" w:w="220"/>
              <w:bottom w:type="dxa" w:w="160"/>
              <w:right w:type="dxa" w:w="220"/>
            </w:tcMar>
          </w:tcPr>
          <w:p>
            <w:pPr>
              <w:spacing w:after="80"/>
            </w:pPr>
            <w:r>
              <w:rPr>
                <w:b/>
                <w:bCs/>
                <w:color w:val="C98B2B"/>
                <w:spacing w:val="10"/>
                <w:sz w:val="17"/>
                <w:szCs w:val="17"/>
              </w:rPr>
              <w:t xml:space="preserve">MATERIAL</w:t>
            </w:r>
          </w:p>
          <w:p>
            <w:pPr>
              <w:pStyle w:val="ListParagraph"/>
              <w:numPr>
                <w:ilvl w:val="0"/>
                <w:numId w:val="2"/>
              </w:numPr>
              <w:spacing w:after="40"/>
            </w:pPr>
            <w:r>
              <w:rPr>
                <w:color w:val="222222"/>
                <w:sz w:val="20"/>
                <w:szCs w:val="20"/>
              </w:rPr>
              <w:t xml:space="preserve">Augenbinden oder Schals (für 2er-Teams)</w:t>
            </w:r>
          </w:p>
          <w:p>
            <w:pPr>
              <w:pStyle w:val="ListParagraph"/>
              <w:numPr>
                <w:ilvl w:val="0"/>
                <w:numId w:val="2"/>
              </w:numPr>
              <w:spacing w:after="40"/>
            </w:pPr>
            <w:r>
              <w:rPr>
                <w:color w:val="222222"/>
                <w:sz w:val="20"/>
                <w:szCs w:val="20"/>
              </w:rPr>
              <w:t xml:space="preserve">Bibeln (eine pro Person oder Kleingruppe)</w:t>
            </w:r>
          </w:p>
          <w:p>
            <w:pPr>
              <w:pStyle w:val="ListParagraph"/>
              <w:numPr>
                <w:ilvl w:val="0"/>
                <w:numId w:val="2"/>
              </w:numPr>
              <w:spacing w:after="40"/>
            </w:pPr>
            <w:r>
              <w:rPr>
                <w:color w:val="222222"/>
                <w:sz w:val="20"/>
                <w:szCs w:val="20"/>
              </w:rPr>
              <w:t xml:space="preserve">1 Windlicht/Sturmkerze (oder LED-Kerze) + Feuerzeug – wetterfest, da draußen ohne Raum</w:t>
            </w:r>
          </w:p>
          <w:p>
            <w:pPr>
              <w:pStyle w:val="ListParagraph"/>
              <w:numPr>
                <w:ilvl w:val="0"/>
                <w:numId w:val="2"/>
              </w:numPr>
              <w:spacing w:after="40"/>
            </w:pPr>
            <w:r>
              <w:rPr>
                <w:color w:val="222222"/>
                <w:sz w:val="20"/>
                <w:szCs w:val="20"/>
              </w:rPr>
              <w:t xml:space="preserve">Kleine Kärtchen + Stifte</w:t>
            </w:r>
          </w:p>
        </w:tc>
      </w:tr>
    </w:tbl>
    <w:p>
      <w:pPr>
        <w:spacing w:after="260"/>
      </w:pPr>
    </w:p>
    <w:p>
      <w:pPr>
        <w:spacing w:after="120" w:before="320"/>
      </w:pPr>
      <w:r>
        <w:rPr>
          <w:b/>
          <w:bCs/>
          <w:color w:val="1F3B4D"/>
          <w:sz w:val="26"/>
          <w:szCs w:val="26"/>
        </w:rPr>
        <w:t xml:space="preserve">1. Einstieg: Vertrauensspiel „Blind durchs Dunkel“</w:t>
      </w:r>
    </w:p>
    <w:p>
      <w:pPr>
        <w:spacing w:after="120"/>
      </w:pPr>
      <w:r>
        <w:rPr>
          <w:i/>
          <w:iCs/>
          <w:color w:val="666666"/>
          <w:sz w:val="18"/>
          <w:szCs w:val="18"/>
        </w:rPr>
        <w:t xml:space="preserve">ca. 5–7 Minuten</w:t>
      </w:r>
    </w:p>
    <w:p>
      <w:pPr>
        <w:spacing w:after="120"/>
      </w:pPr>
      <w:r>
        <w:rPr>
          <w:color w:val="222222"/>
          <w:sz w:val="21"/>
          <w:szCs w:val="21"/>
        </w:rPr>
        <w:t xml:space="preserve">Teilt euch in 2er-Teams auf. Eine Person bekommt die Augen verbunden, die andere führt sie nur mit der Stimme (keine Berührung!) durch einen kleinen Hindernisparcours im Freien – zwischen Zelten, Heringen, Rucksäcken o. Ä. hindurch. Nach ein paar Minuten die Rollen tauschen.</w:t>
      </w:r>
    </w:p>
    <w:p>
      <w:pPr>
        <w:spacing w:after="120"/>
      </w:pPr>
      <w:r>
        <w:rPr>
          <w:color w:val="222222"/>
          <w:sz w:val="21"/>
          <w:szCs w:val="21"/>
        </w:rPr>
        <w:t xml:space="preserve">Kurzer Austausch danach:</w:t>
      </w:r>
    </w:p>
    <w:p>
      <w:pPr>
        <w:pStyle w:val="ListParagraph"/>
        <w:numPr>
          <w:ilvl w:val="0"/>
          <w:numId w:val="2"/>
        </w:numPr>
        <w:spacing w:after="70"/>
      </w:pPr>
      <w:r>
        <w:rPr>
          <w:color w:val="222222"/>
          <w:sz w:val="21"/>
          <w:szCs w:val="21"/>
        </w:rPr>
        <w:t xml:space="preserve">Wie war das, nichts zu sehen?</w:t>
      </w:r>
    </w:p>
    <w:p>
      <w:pPr>
        <w:pStyle w:val="ListParagraph"/>
        <w:numPr>
          <w:ilvl w:val="0"/>
          <w:numId w:val="2"/>
        </w:numPr>
        <w:spacing w:after="70"/>
      </w:pPr>
      <w:r>
        <w:rPr>
          <w:color w:val="222222"/>
          <w:sz w:val="21"/>
          <w:szCs w:val="21"/>
        </w:rPr>
        <w:t xml:space="preserve">Was hat geholfen, trotzdem sicher zu gehen?</w:t>
      </w:r>
    </w:p>
    <w:p>
      <w:pPr>
        <w:pStyle w:val="ListParagraph"/>
        <w:numPr>
          <w:ilvl w:val="0"/>
          <w:numId w:val="2"/>
        </w:numPr>
        <w:spacing w:after="70"/>
      </w:pPr>
      <w:r>
        <w:rPr>
          <w:color w:val="222222"/>
          <w:sz w:val="21"/>
          <w:szCs w:val="21"/>
        </w:rPr>
        <w:t xml:space="preserve">Wie war es, für jemand anderen die „Stimme“ zu sein, die führt?</w:t>
      </w:r>
    </w:p>
    <w:p>
      <w:pPr>
        <w:spacing w:after="120" w:before="320"/>
      </w:pPr>
      <w:r>
        <w:rPr>
          <w:b/>
          <w:bCs/>
          <w:color w:val="1F3B4D"/>
          <w:sz w:val="26"/>
          <w:szCs w:val="26"/>
        </w:rPr>
        <w:t xml:space="preserve">2. Hinführung zum Thema</w:t>
      </w:r>
    </w:p>
    <w:p>
      <w:pPr>
        <w:spacing w:after="120"/>
      </w:pPr>
      <w:r>
        <w:rPr>
          <w:i/>
          <w:iCs/>
          <w:color w:val="666666"/>
          <w:sz w:val="18"/>
          <w:szCs w:val="18"/>
        </w:rPr>
        <w:t xml:space="preserve">ca. 3 Minuten</w:t>
      </w:r>
    </w:p>
    <w:p>
      <w:pPr>
        <w:spacing w:after="120"/>
      </w:pPr>
      <w:r>
        <w:rPr>
          <w:color w:val="222222"/>
          <w:sz w:val="21"/>
          <w:szCs w:val="21"/>
        </w:rPr>
        <w:t xml:space="preserve">Kurzer Impuls von dir, z. B. in eigenen Worten: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trPr>
        <w:tc>
          <w:tcPr>
            <w:tcW w:type="dxa" w:w="10106"/>
            <w:tcBorders>
              <w:top w:val="single" w:color="C98B2B" w:sz="4"/>
              <w:left w:val="single" w:color="C98B2B" w:sz="4"/>
              <w:bottom w:val="single" w:color="C98B2B" w:sz="4"/>
              <w:right w:val="single" w:color="C98B2B" w:sz="4"/>
            </w:tcBorders>
            <w:shd w:fill="FFF7E6" w:val="clear"/>
            <w:tcMar>
              <w:top w:type="dxa" w:w="180"/>
              <w:left w:type="dxa" w:w="260"/>
              <w:bottom w:type="dxa" w:w="180"/>
              <w:right w:type="dxa" w:w="260"/>
            </w:tcMar>
          </w:tcPr>
          <w:p>
            <w:pPr>
              <w:spacing w:after="80"/>
            </w:pPr>
            <w:r>
              <w:rPr>
                <w:i/>
                <w:iCs/>
                <w:color w:val="222222"/>
                <w:sz w:val="21"/>
                <w:szCs w:val="21"/>
              </w:rPr>
              <w:t xml:space="preserve">„Manchmal fühlt sich das Leben an wie dieser Parcours mit verbundenen Augen – wir wissen nicht, wo's langgeht, haben Angst vor dem nächsten Schritt. Heute hören wir einen Abschnitt, in dem Jesus behauptet, genau zu wissen, woher er kommt und wohin er geht – und uns dieses Licht anbietet.“</w:t>
            </w:r>
          </w:p>
          <w:p>
            <w:r>
              <w:rPr>
                <w:b/>
                <w:bCs/>
                <w:color w:val="C98B2B"/>
                <w:sz w:val="19"/>
                <w:szCs w:val="19"/>
              </w:rPr>
              <w:t xml:space="preserve">– Impuls zum Vorlesen oder frei erzählen</w:t>
            </w:r>
          </w:p>
        </w:tc>
      </w:tr>
    </w:tbl>
    <w:p>
      <w:pPr>
        <w:spacing w:after="120" w:before="320"/>
      </w:pPr>
      <w:r>
        <w:rPr>
          <w:b/>
          <w:bCs/>
          <w:color w:val="1F3B4D"/>
          <w:sz w:val="26"/>
          <w:szCs w:val="26"/>
        </w:rPr>
        <w:t xml:space="preserve">3. Bibeltext lesen: Johannes 8,12–18</w:t>
      </w:r>
    </w:p>
    <w:p>
      <w:pPr>
        <w:spacing w:after="120"/>
      </w:pPr>
      <w:r>
        <w:rPr>
          <w:i/>
          <w:iCs/>
          <w:color w:val="666666"/>
          <w:sz w:val="18"/>
          <w:szCs w:val="18"/>
        </w:rPr>
        <w:t xml:space="preserve">ca. 5 Minuten</w:t>
      </w:r>
    </w:p>
    <w:p>
      <w:pPr>
        <w:spacing w:after="120"/>
      </w:pPr>
      <w:r>
        <w:rPr>
          <w:color w:val="222222"/>
          <w:sz w:val="21"/>
          <w:szCs w:val="21"/>
        </w:rPr>
        <w:t xml:space="preserve">Lest den Abschnitt gemeinsam – am besten reihum, jede*r ein bis zwei Verse. Der Text ist etwas anspruchsvoller als sonst – das passt zu eurer Gruppe, lasst euch Zeit.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trPr>
        <w:tc>
          <w:tcPr>
            <w:tcW w:type="dxa" w:w="10106"/>
            <w:tcBorders>
              <w:top w:val="single" w:color="C98B2B" w:sz="4"/>
              <w:left w:val="single" w:color="C98B2B" w:sz="4"/>
              <w:bottom w:val="single" w:color="C98B2B" w:sz="4"/>
              <w:right w:val="single" w:color="C98B2B" w:sz="4"/>
            </w:tcBorders>
            <w:shd w:fill="FFF7E6" w:val="clear"/>
            <w:tcMar>
              <w:top w:type="dxa" w:w="180"/>
              <w:left w:type="dxa" w:w="260"/>
              <w:bottom w:type="dxa" w:w="180"/>
              <w:right w:type="dxa" w:w="260"/>
            </w:tcMar>
          </w:tcPr>
          <w:p>
            <w:pPr>
              <w:spacing w:after="80"/>
            </w:pPr>
            <w:r>
              <w:rPr>
                <w:i/>
                <w:iCs/>
                <w:color w:val="222222"/>
                <w:sz w:val="21"/>
                <w:szCs w:val="21"/>
              </w:rPr>
              <w:t xml:space="preserve">„12 Da redete Jesus abermals zu ihnen und sprach: Ich bin das Licht der Welt. Wer mir nachfolgt, der wird nicht wandeln in der Finsternis, sondern wird das Licht des Lebens haben. 13 Da sprachen die Pharisäer zu ihm: Du gibst Zeugnis von dir selbst; dein Zeugnis ist nicht wahr. 14 Jesus antwortete und sprach zu ihnen: Auch wenn ich von mir selbst zeuge, ist mein Zeugnis wahr; denn ich weiß, woher ich gekommen bin und wohin ich gehe; ihr aber wisst nicht, woher ich komme oder wohin ich gehe. 15 Ihr richtet nach dem Fleisch, ich richte niemand. 16 Wenn ich aber richte, so ist mein Richten wahr, denn ich bin's nicht allein, sondern ich und der Vater, der mich gesandt hat. 17 Auch steht in eurem Gesetz geschrieben, dass zweier Menschen Zeugnis wahr sei. 18 Ich bin's, der von sich selbst zeugt; und der Vater, der mich gesandt hat, zeugt auch von mir.“</w:t>
            </w:r>
          </w:p>
          <w:p>
            <w:r>
              <w:rPr>
                <w:b/>
                <w:bCs/>
                <w:color w:val="C98B2B"/>
                <w:sz w:val="19"/>
                <w:szCs w:val="19"/>
              </w:rPr>
              <w:t xml:space="preserve">– Johannes 8,12–18 (Lutherbibel)</w:t>
            </w:r>
          </w:p>
        </w:tc>
      </w:tr>
    </w:tbl>
    <w:p>
      <w:pPr>
        <w:spacing w:after="120" w:before="320"/>
      </w:pPr>
      <w:r>
        <w:rPr>
          <w:b/>
          <w:bCs/>
          <w:color w:val="1F3B4D"/>
          <w:sz w:val="26"/>
          <w:szCs w:val="26"/>
        </w:rPr>
        <w:t xml:space="preserve">4. Auslegung – in zwei Teilen</w:t>
      </w:r>
    </w:p>
    <w:p>
      <w:pPr>
        <w:spacing w:after="120"/>
      </w:pPr>
      <w:r>
        <w:rPr>
          <w:i/>
          <w:iCs/>
          <w:color w:val="666666"/>
          <w:sz w:val="18"/>
          <w:szCs w:val="18"/>
        </w:rPr>
        <w:t xml:space="preserve">ca. 8 Minuten insgesamt · für dich als Leitung zum Einbringen zwischen den Abschnitten</w:t>
      </w:r>
    </w:p>
    <w:p>
      <w:pPr>
        <w:spacing w:after="80" w:before="220"/>
      </w:pPr>
      <w:r>
        <w:rPr>
          <w:b/>
          <w:bCs/>
          <w:color w:val="1F3B4D"/>
          <w:sz w:val="22"/>
          <w:szCs w:val="22"/>
        </w:rPr>
        <w:t xml:space="preserve">a) V. 12 – „Ich bin das Licht der Welt“</w:t>
      </w:r>
    </w:p>
    <w:p>
      <w:pPr>
        <w:pStyle w:val="ListParagraph"/>
        <w:numPr>
          <w:ilvl w:val="0"/>
          <w:numId w:val="2"/>
        </w:numPr>
        <w:spacing w:after="70"/>
      </w:pPr>
      <w:r>
        <w:rPr>
          <w:color w:val="222222"/>
          <w:sz w:val="21"/>
          <w:szCs w:val="21"/>
        </w:rPr>
        <w:t xml:space="preserve">Jesus sagt das beim Laubhüttenfest in Jerusalem. Bei diesem Fest wurden im Tempel riesige Leuchter aufgestellt, die die ganze Stadt erhellten – ein Bild für Gottes Gegenwart.</w:t>
      </w:r>
    </w:p>
    <w:p>
      <w:pPr>
        <w:pStyle w:val="ListParagraph"/>
        <w:numPr>
          <w:ilvl w:val="0"/>
          <w:numId w:val="2"/>
        </w:numPr>
        <w:spacing w:after="70"/>
      </w:pPr>
      <w:r>
        <w:rPr>
          <w:color w:val="222222"/>
          <w:sz w:val="21"/>
          <w:szCs w:val="21"/>
        </w:rPr>
        <w:t xml:space="preserve">Genau davor sagt Jesus: Nicht diese Leuchter sind das eigentliche Licht – ich bin es.</w:t>
      </w:r>
    </w:p>
    <w:p>
      <w:pPr>
        <w:pStyle w:val="ListParagraph"/>
        <w:numPr>
          <w:ilvl w:val="0"/>
          <w:numId w:val="2"/>
        </w:numPr>
        <w:spacing w:after="70"/>
      </w:pPr>
      <w:r>
        <w:rPr>
          <w:color w:val="222222"/>
          <w:sz w:val="21"/>
          <w:szCs w:val="21"/>
        </w:rPr>
        <w:t xml:space="preserve">Das erinnert an die Feuersäule, die dem Volk Israel nachts durch die Wüste vorausging (2. Mose 13,21-22) – Gottes sichtbare Führung in der Dunkelheit. Jesus knüpft bewusst daran an: So wie Gott damals Israel den Weg gezeigt hat, zeigt Jesus heute uns den Weg.</w:t>
      </w:r>
    </w:p>
    <w:p>
      <w:pPr>
        <w:spacing w:after="80" w:before="220"/>
      </w:pPr>
      <w:r>
        <w:rPr>
          <w:b/>
          <w:bCs/>
          <w:color w:val="1F3B4D"/>
          <w:sz w:val="22"/>
          <w:szCs w:val="22"/>
        </w:rPr>
        <w:t xml:space="preserve">b) V. 13–18 – Jesus hat einen Zeugen: Gott selbst</w:t>
      </w:r>
    </w:p>
    <w:p>
      <w:pPr>
        <w:pStyle w:val="ListParagraph"/>
        <w:numPr>
          <w:ilvl w:val="0"/>
          <w:numId w:val="2"/>
        </w:numPr>
        <w:spacing w:after="70"/>
      </w:pPr>
      <w:r>
        <w:rPr>
          <w:color w:val="222222"/>
          <w:sz w:val="21"/>
          <w:szCs w:val="21"/>
        </w:rPr>
        <w:t xml:space="preserve">Die Pharisäer kontern sofort: „Du redest nur über dich selbst – das zählt nicht.“ Nach jüdischem Gesetz (5. Mose 19,15) brauchte eine Aussage vor Gericht mindestens zwei Zeugen, um als wahr zu gelten. Ein Selbstzeugnis allein reicht nicht.</w:t>
      </w:r>
    </w:p>
    <w:p>
      <w:pPr>
        <w:pStyle w:val="ListParagraph"/>
        <w:numPr>
          <w:ilvl w:val="0"/>
          <w:numId w:val="2"/>
        </w:numPr>
        <w:spacing w:after="70"/>
      </w:pPr>
      <w:r>
        <w:rPr>
          <w:color w:val="222222"/>
          <w:sz w:val="21"/>
          <w:szCs w:val="21"/>
        </w:rPr>
        <w:t xml:space="preserve">Jesus entgegnet: Er weiß, woher er kommt (vom Vater) und wohin er geht (zurück zum Vater) – die Pharisäer wissen das nicht und urteilen deshalb nur „nach dem Fleisch“, also nach dem, was sie äußerlich sehen.</w:t>
      </w:r>
    </w:p>
    <w:p>
      <w:pPr>
        <w:pStyle w:val="ListParagraph"/>
        <w:numPr>
          <w:ilvl w:val="0"/>
          <w:numId w:val="2"/>
        </w:numPr>
        <w:spacing w:after="70"/>
      </w:pPr>
      <w:r>
        <w:rPr>
          <w:color w:val="222222"/>
          <w:sz w:val="21"/>
          <w:szCs w:val="21"/>
        </w:rPr>
        <w:t xml:space="preserve">Der entscheidende Punkt: Jesus steht mit seinem Zeugnis nicht allein da. Sein Zeuge ist Gott, der Vater, der ihn gesandt hat (V. 16.18). Genau zwei Zeugen, wie's das Gesetz verlangt – nur eben Jesus und Gott selbst.</w:t>
      </w:r>
    </w:p>
    <w:p>
      <w:pPr>
        <w:spacing w:after="80" w:before="220"/>
      </w:pPr>
      <w:r>
        <w:rPr>
          <w:b/>
          <w:bCs/>
          <w:color w:val="1F3B4D"/>
          <w:sz w:val="22"/>
          <w:szCs w:val="22"/>
        </w:rPr>
        <w:t xml:space="preserve">Parallelstelle: Johannes 12,36</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trPr>
        <w:tc>
          <w:tcPr>
            <w:tcW w:type="dxa" w:w="10106"/>
            <w:tcBorders>
              <w:top w:val="single" w:color="C98B2B" w:sz="4"/>
              <w:left w:val="single" w:color="C98B2B" w:sz="4"/>
              <w:bottom w:val="single" w:color="C98B2B" w:sz="4"/>
              <w:right w:val="single" w:color="C98B2B" w:sz="4"/>
            </w:tcBorders>
            <w:shd w:fill="FFF7E6" w:val="clear"/>
            <w:tcMar>
              <w:top w:type="dxa" w:w="180"/>
              <w:left w:type="dxa" w:w="260"/>
              <w:bottom w:type="dxa" w:w="180"/>
              <w:right w:type="dxa" w:w="260"/>
            </w:tcMar>
          </w:tcPr>
          <w:p>
            <w:pPr>
              <w:spacing w:after="80"/>
            </w:pPr>
            <w:r>
              <w:rPr>
                <w:i/>
                <w:iCs/>
                <w:color w:val="222222"/>
                <w:sz w:val="21"/>
                <w:szCs w:val="21"/>
              </w:rPr>
              <w:t xml:space="preserve">„Glaubt an das Licht, solange ihr es habt, damit ihr Kinder des Lichts werdet.“</w:t>
            </w:r>
          </w:p>
          <w:p>
            <w:r>
              <w:rPr>
                <w:b/>
                <w:bCs/>
                <w:color w:val="C98B2B"/>
                <w:sz w:val="19"/>
                <w:szCs w:val="19"/>
              </w:rPr>
              <w:t xml:space="preserve">– Johannes 12,36 (Lutherbibel)</w:t>
            </w:r>
          </w:p>
        </w:tc>
      </w:tr>
    </w:tbl>
    <w:p>
      <w:pPr>
        <w:spacing w:after="120"/>
      </w:pPr>
      <w:r>
        <w:rPr>
          <w:i w:val="false"/>
          <w:iCs w:val="false"/>
          <w:color w:val="222222"/>
          <w:sz w:val="21"/>
          <w:szCs w:val="21"/>
        </w:rPr>
        <w:t xml:space="preserve">Diese Stelle bringt die Sache auf den Punkt: „Licht der Welt“ ist nicht nur ein Titel für Jesus, sondern eine Einladung an uns. Wer dem Licht glaubt bzw. vertraut, wird selbst zum „Kind des Lichts“ – bleibt also nicht nur Zuschauer, sondern verändert sich. Das verbindet sich gut mit V. 12: „Wer mir nachfolgt …“ ist genau diese Bewegung vom Glauben zum Werden.</w:t>
      </w:r>
    </w:p>
    <w:p>
      <w:pPr>
        <w:spacing w:after="120" w:before="320"/>
      </w:pPr>
      <w:r>
        <w:rPr>
          <w:b/>
          <w:bCs/>
          <w:color w:val="1F3B4D"/>
          <w:sz w:val="26"/>
          <w:szCs w:val="26"/>
        </w:rPr>
        <w:t xml:space="preserve">5. Austausch – Gespräch in der Gruppe</w:t>
      </w:r>
    </w:p>
    <w:p>
      <w:pPr>
        <w:spacing w:after="120"/>
      </w:pPr>
      <w:r>
        <w:rPr>
          <w:i/>
          <w:iCs/>
          <w:color w:val="666666"/>
          <w:sz w:val="18"/>
          <w:szCs w:val="18"/>
        </w:rPr>
        <w:t xml:space="preserve">ca. 12–15 Minuten</w:t>
      </w:r>
    </w:p>
    <w:p>
      <w:pPr>
        <w:spacing w:after="120"/>
      </w:pPr>
      <w:r>
        <w:rPr>
          <w:color w:val="222222"/>
          <w:sz w:val="21"/>
          <w:szCs w:val="21"/>
        </w:rPr>
        <w:t xml:space="preserve">Wähle je nach Gruppengröße und Stimmung 3–5 Fragen aus, ihr müsst nicht alle schaffen:</w:t>
      </w:r>
    </w:p>
    <w:p>
      <w:pPr>
        <w:pStyle w:val="ListParagraph"/>
        <w:numPr>
          <w:ilvl w:val="0"/>
          <w:numId w:val="2"/>
        </w:numPr>
        <w:spacing w:after="70"/>
      </w:pPr>
      <w:r>
        <w:rPr>
          <w:color w:val="222222"/>
          <w:sz w:val="21"/>
          <w:szCs w:val="21"/>
        </w:rPr>
        <w:t xml:space="preserve">Wo im Leben tappt ihr manchmal „im Dunkeln“ – wisst nicht, wie's weitergeht oder was richtig ist?</w:t>
      </w:r>
    </w:p>
    <w:p>
      <w:pPr>
        <w:pStyle w:val="ListParagraph"/>
        <w:numPr>
          <w:ilvl w:val="0"/>
          <w:numId w:val="2"/>
        </w:numPr>
        <w:spacing w:after="70"/>
      </w:pPr>
      <w:r>
        <w:rPr>
          <w:color w:val="222222"/>
          <w:sz w:val="21"/>
          <w:szCs w:val="21"/>
        </w:rPr>
        <w:t xml:space="preserve">Wenn's um die großen Fragen im Leben geht (Was ist wahr? Was ist richtig? Ist Gott real?) – wem oder was vertraut ihr da eigentlich? Woran macht ihr fest, ob etwas stimmt?</w:t>
      </w:r>
    </w:p>
    <w:p>
      <w:pPr>
        <w:pStyle w:val="ListParagraph"/>
        <w:numPr>
          <w:ilvl w:val="0"/>
          <w:numId w:val="2"/>
        </w:numPr>
        <w:spacing w:after="70"/>
      </w:pPr>
      <w:r>
        <w:rPr>
          <w:color w:val="222222"/>
          <w:sz w:val="21"/>
          <w:szCs w:val="21"/>
        </w:rPr>
        <w:t xml:space="preserve">Jesus sagt von sich: „Ich weiß, woher ich komme und wohin ich gehe.“ Wie fühlt es sich an, wenn ihr selbst nicht genau wisst, wer ihr seid (woher) oder was aus euch wird (wohin)?</w:t>
      </w:r>
    </w:p>
    <w:p>
      <w:pPr>
        <w:pStyle w:val="ListParagraph"/>
        <w:numPr>
          <w:ilvl w:val="0"/>
          <w:numId w:val="2"/>
        </w:numPr>
        <w:spacing w:after="70"/>
      </w:pPr>
      <w:r>
        <w:rPr>
          <w:color w:val="222222"/>
          <w:sz w:val="21"/>
          <w:szCs w:val="21"/>
        </w:rPr>
        <w:t xml:space="preserve">Jesus beruft sich nicht nur auf sich selbst, sondern auf Gott als zweiten Zeugen. Wenn's um die großen Fragen im Leben geht (Was ist wahr? Was ist richtig? Ist Gott real?) – wem oder was vertraut ihr da eigentlich? Reicht euch „das sagt man halt so“, oder braucht ihr mehr, um etwas zu glauben?</w:t>
      </w:r>
    </w:p>
    <w:p>
      <w:pPr>
        <w:pStyle w:val="ListParagraph"/>
        <w:numPr>
          <w:ilvl w:val="0"/>
          <w:numId w:val="2"/>
        </w:numPr>
        <w:spacing w:after="70"/>
      </w:pPr>
      <w:r>
        <w:rPr>
          <w:color w:val="222222"/>
          <w:sz w:val="21"/>
          <w:szCs w:val="21"/>
        </w:rPr>
        <w:t xml:space="preserve">Die Pharisäer glauben Jesus nicht, obwohl er ihnen einen zweiten Zeugen (Gott selbst) nennt. Warum, glaubt ihr, reicht manchen Menschen selbst ein guter Beweis nicht, um zu glauben?</w:t>
      </w:r>
    </w:p>
    <w:p>
      <w:pPr>
        <w:pStyle w:val="ListParagraph"/>
        <w:numPr>
          <w:ilvl w:val="0"/>
          <w:numId w:val="2"/>
        </w:numPr>
        <w:spacing w:after="70"/>
      </w:pPr>
      <w:r>
        <w:rPr>
          <w:color w:val="222222"/>
          <w:sz w:val="21"/>
          <w:szCs w:val="21"/>
        </w:rPr>
        <w:t xml:space="preserve">Johannes 12,36 sagt: Wer dem Licht glaubt, wird selbst „Kind des Lichts“. Was würde sich bei euch konkret ändern, wenn ihr nicht nur an das Licht glaubt, sondern selbst anfangt, „Licht“ für andere zu sein – z. B. hier im Zeltlager?</w:t>
      </w:r>
    </w:p>
    <w:p>
      <w:pPr>
        <w:pStyle w:val="ListParagraph"/>
        <w:numPr>
          <w:ilvl w:val="0"/>
          <w:numId w:val="2"/>
        </w:numPr>
        <w:spacing w:after="70"/>
      </w:pPr>
      <w:r>
        <w:rPr>
          <w:color w:val="222222"/>
          <w:sz w:val="21"/>
          <w:szCs w:val="21"/>
        </w:rPr>
        <w:t xml:space="preserve">Wovor habt ihr manchmal Angst? (Niemand muss laut teilen – wer mag, denkt einfach still für sich nach.)</w:t>
      </w:r>
    </w:p>
    <w:p>
      <w:pPr>
        <w:spacing w:after="10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trPr>
        <w:tc>
          <w:tcPr>
            <w:tcW w:type="dxa" w:w="10106"/>
            <w:tcBorders>
              <w:top w:val="single" w:color="1F3B4D" w:sz="4"/>
              <w:left w:val="single" w:color="1F3B4D" w:sz="4"/>
              <w:bottom w:val="single" w:color="1F3B4D" w:sz="4"/>
              <w:right w:val="single" w:color="1F3B4D" w:sz="4"/>
            </w:tcBorders>
            <w:shd w:fill="EFF4F7" w:val="clear"/>
            <w:tcMar>
              <w:top w:type="dxa" w:w="140"/>
              <w:left w:type="dxa" w:w="220"/>
              <w:bottom w:type="dxa" w:w="140"/>
              <w:right w:type="dxa" w:w="220"/>
            </w:tcMar>
          </w:tcPr>
          <w:p>
            <w:r>
              <w:rPr>
                <w:b/>
                <w:bCs/>
                <w:color w:val="1F3B4D"/>
                <w:sz w:val="19"/>
                <w:szCs w:val="19"/>
              </w:rPr>
              <w:t xml:space="preserve">TIPP: </w:t>
            </w:r>
            <w:r>
              <w:rPr>
                <w:i/>
                <w:iCs/>
                <w:color w:val="222222"/>
                <w:sz w:val="19"/>
                <w:szCs w:val="19"/>
              </w:rPr>
              <w:t xml:space="preserve">Bei der Angst-Frage sensibel bleiben, nicht drängen. Manche Themen sind sehr persönlich – lieber Raum für Stille geben, als jede*n zum Reden bringen zu wollen.</w:t>
            </w:r>
          </w:p>
        </w:tc>
      </w:tr>
    </w:tbl>
    <w:p>
      <w:pPr>
        <w:spacing w:after="120" w:before="320"/>
      </w:pPr>
      <w:r>
        <w:rPr>
          <w:b/>
          <w:bCs/>
          <w:color w:val="1F3B4D"/>
          <w:sz w:val="26"/>
          <w:szCs w:val="26"/>
        </w:rPr>
        <w:t xml:space="preserve">6. Anwendung</w:t>
      </w:r>
    </w:p>
    <w:p>
      <w:pPr>
        <w:spacing w:after="120"/>
      </w:pPr>
      <w:r>
        <w:rPr>
          <w:i/>
          <w:iCs/>
          <w:color w:val="666666"/>
          <w:sz w:val="18"/>
          <w:szCs w:val="18"/>
        </w:rPr>
        <w:t xml:space="preserve">ca. 5–8 Minuten</w:t>
      </w:r>
    </w:p>
    <w:p>
      <w:pPr>
        <w:spacing w:after="120"/>
      </w:pPr>
      <w:r>
        <w:rPr>
          <w:color w:val="222222"/>
          <w:sz w:val="21"/>
          <w:szCs w:val="21"/>
        </w:rPr>
        <w:t xml:space="preserve">Jede*r bekommt ein kleines Kärtchen und schreibt (nur für sich, muss niemand zeigen):</w:t>
      </w:r>
    </w:p>
    <w:p>
      <w:pPr>
        <w:pStyle w:val="ListParagraph"/>
        <w:numPr>
          <w:ilvl w:val="0"/>
          <w:numId w:val="2"/>
        </w:numPr>
        <w:spacing w:after="70"/>
      </w:pPr>
      <w:r>
        <w:rPr>
          <w:color w:val="222222"/>
          <w:sz w:val="21"/>
          <w:szCs w:val="21"/>
        </w:rPr>
        <w:t xml:space="preserve">Auf die eine Seite: Etwas, wovor ich gerade Angst habe oder wo ich keine Orientierung habe – mein „woher/wohin“, das gerade unklar ist.</w:t>
      </w:r>
    </w:p>
    <w:p>
      <w:pPr>
        <w:pStyle w:val="ListParagraph"/>
        <w:numPr>
          <w:ilvl w:val="0"/>
          <w:numId w:val="2"/>
        </w:numPr>
        <w:spacing w:after="70"/>
      </w:pPr>
      <w:r>
        <w:rPr>
          <w:color w:val="222222"/>
          <w:sz w:val="21"/>
          <w:szCs w:val="21"/>
        </w:rPr>
        <w:t xml:space="preserve">Auf die andere Seite: „Jesus, das Licht der Welt“ oder einen kurzen Satz, den ich mir diese Woche merken will – z. B. „Glaubt an das Licht, damit ihr Kinder des Lichts werdet.“</w:t>
      </w:r>
    </w:p>
    <w:p>
      <w:pPr>
        <w:spacing w:after="120"/>
      </w:pPr>
      <w:r>
        <w:rPr>
          <w:color w:val="222222"/>
          <w:sz w:val="21"/>
          <w:szCs w:val="21"/>
        </w:rPr>
        <w:t xml:space="preserve">Wer mag, kann das Kärtchen als Erinnerung ins Portemonnaie oder die Hosentasche stecken.</w:t>
      </w:r>
    </w:p>
    <w:p>
      <w:pPr>
        <w:spacing w:after="120" w:before="320"/>
      </w:pPr>
      <w:r>
        <w:rPr>
          <w:b/>
          <w:bCs/>
          <w:color w:val="1F3B4D"/>
          <w:sz w:val="26"/>
          <w:szCs w:val="26"/>
        </w:rPr>
        <w:t xml:space="preserve">7. Abschluss</w:t>
      </w:r>
    </w:p>
    <w:p>
      <w:pPr>
        <w:spacing w:after="120"/>
      </w:pPr>
      <w:r>
        <w:rPr>
          <w:i/>
          <w:iCs/>
          <w:color w:val="666666"/>
          <w:sz w:val="18"/>
          <w:szCs w:val="18"/>
        </w:rPr>
        <w:t xml:space="preserve">ca. 5 Minuten</w:t>
      </w:r>
    </w:p>
    <w:p>
      <w:pPr>
        <w:spacing w:after="120"/>
      </w:pPr>
      <w:r>
        <w:rPr>
          <w:color w:val="222222"/>
          <w:sz w:val="21"/>
          <w:szCs w:val="21"/>
        </w:rPr>
        <w:t xml:space="preserve">Setzt euch draußen im Kreis zusammen und zündet eine Kerze in der Mitte an. Da wir auf dem Zeltplatz ohne festen Raum sind: möglichst windgeschützte Stelle wählen (z. B. hinter einer Zeltwand) oder eine Windlicht-/Sturmkerze bzw. LED-Kerze nehmen, falls es windig ist. Kurzes, freies Gebet (du oder wer mag):</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trPr>
        <w:tc>
          <w:tcPr>
            <w:tcW w:type="dxa" w:w="10106"/>
            <w:tcBorders>
              <w:top w:val="single" w:color="C98B2B" w:sz="4"/>
              <w:left w:val="single" w:color="C98B2B" w:sz="4"/>
              <w:bottom w:val="single" w:color="C98B2B" w:sz="4"/>
              <w:right w:val="single" w:color="C98B2B" w:sz="4"/>
            </w:tcBorders>
            <w:shd w:fill="FFF7E6" w:val="clear"/>
            <w:tcMar>
              <w:top w:type="dxa" w:w="180"/>
              <w:left w:type="dxa" w:w="260"/>
              <w:bottom w:type="dxa" w:w="180"/>
              <w:right w:type="dxa" w:w="260"/>
            </w:tcMar>
          </w:tcPr>
          <w:p>
            <w:pPr>
              <w:spacing w:after="80"/>
            </w:pPr>
            <w:r>
              <w:rPr>
                <w:i/>
                <w:iCs/>
                <w:color w:val="222222"/>
                <w:sz w:val="21"/>
                <w:szCs w:val="21"/>
              </w:rPr>
              <w:t xml:space="preserve">„Danke, dass du das Licht bist, das uns nicht allein im Dunkeln lässt. Zeig uns, wer du wirklich bist – nicht nur, was wir über dich wissen. Nimm uns die Angst und zeig uns den Weg, heute hier im Lager und auch zuhause. Amen.“</w:t>
            </w:r>
          </w:p>
          <w:p>
            <w:r>
              <w:rPr>
                <w:b/>
                <w:bCs/>
                <w:color w:val="C98B2B"/>
                <w:sz w:val="19"/>
                <w:szCs w:val="19"/>
              </w:rPr>
              <w:t xml:space="preserve">– Gebetsvorschlag</w:t>
            </w:r>
          </w:p>
        </w:tc>
      </w:tr>
    </w:tbl>
    <w:p>
      <w:pPr>
        <w:spacing w:after="100"/>
      </w:pPr>
    </w:p>
    <w:p>
      <w:pPr>
        <w:spacing w:after="120"/>
      </w:pPr>
      <w:r>
        <w:rPr>
          <w:i/>
          <w:iCs/>
          <w:color w:val="666666"/>
          <w:sz w:val="19"/>
          <w:szCs w:val="19"/>
        </w:rPr>
        <w:t xml:space="preserve">Optional: gemeinsam ein Lied zum Thema Licht/Vertrauen singen, falls es zur Liederliste des Lagers passt.</w:t>
      </w:r>
    </w:p>
    <w:p>
      <w:pPr>
        <w:spacing w:after="120" w:before="320"/>
      </w:pPr>
      <w:r>
        <w:rPr>
          <w:b/>
          <w:bCs/>
          <w:color w:val="1F3B4D"/>
          <w:sz w:val="26"/>
          <w:szCs w:val="26"/>
        </w:rPr>
        <w:t xml:space="preserve">Falls's schneller gehen muss</w:t>
      </w:r>
    </w:p>
    <w:p>
      <w:pPr>
        <w:spacing w:after="120"/>
      </w:pPr>
      <w:r>
        <w:rPr>
          <w:color w:val="222222"/>
          <w:sz w:val="21"/>
          <w:szCs w:val="21"/>
        </w:rPr>
        <w:t xml:space="preserve">Kürzeste Version (ca. 15 Minuten): Vertrauensspiel weglassen → Text lesen → nur Auslegung a) bringen (b) mit den Zeugen darf entfallen) → Parallelstelle Joh. 12,36 kurz erwähnen → 2–3 Austauschfragen auswählen → Kärtchen-Impuls → kurzes Gebet.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2026-08-09T23:16:20.805Z</dcterms:created>
  <dcterms:modified xsi:type="dcterms:W3CDTF">2026-08-09T23:16:20.821Z</dcterms:modified>
</cp:coreProperties>
</file>

<file path=docProps/custom.xml><?xml version="1.0" encoding="utf-8"?>
<Properties xmlns="http://schemas.openxmlformats.org/officeDocument/2006/custom-properties" xmlns:vt="http://schemas.openxmlformats.org/officeDocument/2006/docPropsVTypes"/>
</file>