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27B9" w14:textId="77777777" w:rsidR="00F2724D" w:rsidRDefault="00000000">
      <w:r>
        <w:rPr>
          <w:rFonts w:ascii="Aptos Display" w:hAnsi="Aptos Display"/>
          <w:b/>
          <w:color w:val="9D6922"/>
          <w:sz w:val="22"/>
        </w:rPr>
        <w:t>LIQUID COMMODITIES LAB</w:t>
      </w:r>
    </w:p>
    <w:p w14:paraId="0441A3D3" w14:textId="77777777" w:rsidR="00F2724D" w:rsidRDefault="00000000">
      <w:pPr>
        <w:pStyle w:val="Titre"/>
      </w:pPr>
      <w:r>
        <w:t>Creative Direction &amp; Visual Design Brief</w:t>
      </w:r>
    </w:p>
    <w:p w14:paraId="6536914B" w14:textId="77777777" w:rsidR="00F2724D" w:rsidRDefault="00000000">
      <w:r>
        <w:rPr>
          <w:i/>
          <w:color w:val="696969"/>
          <w:sz w:val="24"/>
        </w:rPr>
        <w:t>Project starting point · Machine Learning with R</w:t>
      </w:r>
    </w:p>
    <w:p w14:paraId="7970DA8F" w14:textId="77777777" w:rsidR="00F2724D" w:rsidRDefault="00000000">
      <w:pPr>
        <w:shd w:val="clear" w:color="auto" w:fill="F5F0E7"/>
        <w:spacing w:before="200" w:after="240"/>
      </w:pPr>
      <w:r>
        <w:t>Purpose: establish a clear initial art direction for an interactive project exploring commodity markets through machine learning. This is a starting point, not a fixed specification: the visual system and product concept can evolve as the project becomes more concrete.</w:t>
      </w:r>
    </w:p>
    <w:p w14:paraId="797DAADD" w14:textId="77777777" w:rsidR="00F2724D" w:rsidRDefault="00000000">
      <w:pPr>
        <w:pStyle w:val="Titre1"/>
      </w:pPr>
      <w:r>
        <w:t>1. The core idea</w:t>
      </w:r>
    </w:p>
    <w:p w14:paraId="6510D77E" w14:textId="77777777" w:rsidR="00F2724D" w:rsidRDefault="00000000">
      <w:r>
        <w:t>Build an immersive, visually distinctive commodity intelligence experience: part experimental data lab, part premium editorial website, part quantitative research interface. It should feel designed and art-directed rather than like a conventional finance dashboard or a generic AI-generated landing page.</w:t>
      </w:r>
    </w:p>
    <w:p w14:paraId="5227FCAD" w14:textId="77777777" w:rsidR="00F2724D" w:rsidRDefault="00000000">
      <w:r>
        <w:t>The project should make commodity markets—such as gold, crude oil, copper, natural gas or agricultural products—feel tangible and exploratory, while using machine learning in R to investigate a real financial question. Visual design attracts attention; data, methodology and useful interaction give the experience substance.</w:t>
      </w:r>
    </w:p>
    <w:p w14:paraId="63155502" w14:textId="77777777" w:rsidR="00F2724D" w:rsidRDefault="00000000">
      <w:pPr>
        <w:pStyle w:val="Titre1"/>
      </w:pPr>
      <w:r>
        <w:t>2. Art direction: Dark Quant Finance × Experimental Data Lab</w:t>
      </w:r>
    </w:p>
    <w:p w14:paraId="446B179A" w14:textId="77777777" w:rsidR="00F2724D" w:rsidRDefault="00000000">
      <w:r>
        <w:t>The visual identity combines the precision and credibility of quantitative finance with the freedom of an experimental digital studio. Use a dark, warm, cinematic base, expressive typography, tactile material-inspired visuals and restrained motion.</w:t>
      </w:r>
    </w:p>
    <w:p w14:paraId="5B753BAC" w14:textId="77777777" w:rsidR="00F2724D" w:rsidRDefault="00000000">
      <w:pPr>
        <w:pStyle w:val="Listepuces"/>
      </w:pPr>
      <w:r>
        <w:t>Avoid the familiar blue-and-neon fintech look, stock-template dashboards and predictable AI gradients.</w:t>
      </w:r>
    </w:p>
    <w:p w14:paraId="3B7F0F53" w14:textId="77777777" w:rsidR="00F2724D" w:rsidRDefault="00000000">
      <w:pPr>
        <w:pStyle w:val="Listepuces"/>
      </w:pPr>
      <w:r>
        <w:t>Aim for premium, editorial, tactile and slightly unconventional—not sci-fi, gamer-like or excessively futuristic.</w:t>
      </w:r>
    </w:p>
    <w:p w14:paraId="147BB4D4" w14:textId="77777777" w:rsidR="00F2724D" w:rsidRDefault="00000000">
      <w:pPr>
        <w:pStyle w:val="Listepuces"/>
      </w:pPr>
      <w:r>
        <w:t>Let whitespace, contrast and a few strong visual moments do the work. Not every section needs an effect.</w:t>
      </w:r>
    </w:p>
    <w:p w14:paraId="68D4DC0A" w14:textId="77777777" w:rsidR="00F2724D" w:rsidRDefault="00000000">
      <w:pPr>
        <w:pStyle w:val="Listepuces"/>
      </w:pPr>
      <w:r>
        <w:t>Treat the design as a flexible system: if a simpler solution improves clarity or implementation, prefer it.</w:t>
      </w:r>
    </w:p>
    <w:p w14:paraId="490A6039" w14:textId="77777777" w:rsidR="00F2724D" w:rsidRDefault="00000000">
      <w:pPr>
        <w:pStyle w:val="Titre1"/>
      </w:pPr>
      <w:r>
        <w:t>3. Colour system</w:t>
      </w:r>
    </w:p>
    <w:p w14:paraId="2E1A3676" w14:textId="77777777" w:rsidR="00F2724D" w:rsidRDefault="00000000">
      <w:r>
        <w:t>Use near-black, charcoal and warm obsidian as the foundation, with metallic gold/champagne as the signature accent. Copper and bronze can support the palette. Reflections and subtle iridescence can add depth, but avoid making every surface glossy or colourful.</w:t>
      </w:r>
    </w:p>
    <w:p w14:paraId="3EA818D8" w14:textId="77777777" w:rsidR="00F2724D" w:rsidRDefault="00000000">
      <w:pPr>
        <w:pStyle w:val="Listepuces"/>
      </w:pPr>
      <w:r>
        <w:t>Base: obsidian black, charcoal, smoked brown and warm off-white for readable text.</w:t>
      </w:r>
    </w:p>
    <w:p w14:paraId="51CDF75A" w14:textId="77777777" w:rsidR="00F2724D" w:rsidRDefault="00000000">
      <w:pPr>
        <w:pStyle w:val="Listepuces"/>
      </w:pPr>
      <w:r>
        <w:t>Primary accent: champagne gold, amber and muted metallic yellow.</w:t>
      </w:r>
    </w:p>
    <w:p w14:paraId="65970C36" w14:textId="77777777" w:rsidR="00F2724D" w:rsidRDefault="00000000">
      <w:pPr>
        <w:pStyle w:val="Listepuces"/>
      </w:pPr>
      <w:r>
        <w:t>Secondary accents: copper, bronze and restrained mineral tones.</w:t>
      </w:r>
    </w:p>
    <w:p w14:paraId="6EBC6F9F" w14:textId="77777777" w:rsidR="00F2724D" w:rsidRDefault="00000000">
      <w:pPr>
        <w:pStyle w:val="Listepuces"/>
      </w:pPr>
      <w:r>
        <w:t>Data colours: use a consistent, accessible palette for positive/negative moves, uncertainty, categories and model outputs; never rely on colour alone to communicate meaning.</w:t>
      </w:r>
    </w:p>
    <w:p w14:paraId="4E131834" w14:textId="77777777" w:rsidR="00F2724D" w:rsidRDefault="00000000">
      <w:pPr>
        <w:pStyle w:val="Titre1"/>
      </w:pPr>
      <w:r>
        <w:t>4. Commodity-specific visual language</w:t>
      </w:r>
    </w:p>
    <w:p w14:paraId="4D945D07" w14:textId="77777777" w:rsidR="00F2724D" w:rsidRDefault="00000000">
      <w:r>
        <w:t>Each commodity can have a subtle material identity. These accents may influence the hero object, hover states, small labels or chart highlights—not necessarily the entire page background.</w:t>
      </w:r>
    </w:p>
    <w:p w14:paraId="4FC1C316" w14:textId="77777777" w:rsidR="00F2724D" w:rsidRDefault="00000000">
      <w:pPr>
        <w:pStyle w:val="Listepuces"/>
      </w:pPr>
      <w:r>
        <w:lastRenderedPageBreak/>
        <w:t>Gold: champagne, amber, liquid-metal reflections and warm highlights.</w:t>
      </w:r>
    </w:p>
    <w:p w14:paraId="57661242" w14:textId="77777777" w:rsidR="00F2724D" w:rsidRDefault="00000000">
      <w:pPr>
        <w:pStyle w:val="Listepuces"/>
      </w:pPr>
      <w:r>
        <w:t>Crude oil: deep black, glossy surfaces and restrained blue-green or rainbow iridescence.</w:t>
      </w:r>
    </w:p>
    <w:p w14:paraId="01D76411" w14:textId="77777777" w:rsidR="00F2724D" w:rsidRDefault="00000000">
      <w:pPr>
        <w:pStyle w:val="Listepuces"/>
      </w:pPr>
      <w:r>
        <w:t>Copper: bronze, terracotta and metallic orange.</w:t>
      </w:r>
    </w:p>
    <w:p w14:paraId="3F269DD8" w14:textId="77777777" w:rsidR="00F2724D" w:rsidRDefault="00000000">
      <w:pPr>
        <w:pStyle w:val="Listepuces"/>
      </w:pPr>
      <w:r>
        <w:t>Natural gas: smoked grey, pale steel and cool reflections.</w:t>
      </w:r>
    </w:p>
    <w:p w14:paraId="47822DC1" w14:textId="77777777" w:rsidR="00F2724D" w:rsidRDefault="00000000">
      <w:pPr>
        <w:pStyle w:val="Listepuces"/>
      </w:pPr>
      <w:r>
        <w:t>Agricultural commodities: sand, wheat, muted olive and earthy textures.</w:t>
      </w:r>
    </w:p>
    <w:p w14:paraId="68221E20" w14:textId="77777777" w:rsidR="00F2724D" w:rsidRDefault="00000000">
      <w:r>
        <w:t>If a user selects a commodity, the interface could gently adapt its accent colour or hero reflections. Keep this transition subtle and consistent so it feels like one product, not several unrelated themes.</w:t>
      </w:r>
    </w:p>
    <w:p w14:paraId="7FEAA9BB" w14:textId="77777777" w:rsidR="00F2724D" w:rsidRDefault="00000000">
      <w:pPr>
        <w:pStyle w:val="Titre1"/>
      </w:pPr>
      <w:r>
        <w:t>5. Typography</w:t>
      </w:r>
    </w:p>
    <w:p w14:paraId="687E71A7" w14:textId="77777777" w:rsidR="00F2724D" w:rsidRDefault="00000000">
      <w:r>
        <w:t>Use a deliberate contrast between expressive editorial headlines and highly legible data typography. The following are starting-point font suggestions, not mandatory choices:</w:t>
      </w:r>
    </w:p>
    <w:p w14:paraId="55DB0449" w14:textId="77777777" w:rsidR="00F2724D" w:rsidRDefault="00000000">
      <w:pPr>
        <w:pStyle w:val="Listepuces"/>
      </w:pPr>
      <w:r>
        <w:t>Headlines: Instrument Serif, especially italic styles, for a distinctive editorial voice.</w:t>
      </w:r>
    </w:p>
    <w:p w14:paraId="4E403E95" w14:textId="77777777" w:rsidR="00F2724D" w:rsidRDefault="00000000">
      <w:pPr>
        <w:pStyle w:val="Listepuces"/>
      </w:pPr>
      <w:r>
        <w:t>Interface and body text: Manrope or Space Grotesk for a clean, contemporary interface.</w:t>
      </w:r>
    </w:p>
    <w:p w14:paraId="11ADC0B5" w14:textId="77777777" w:rsidR="00F2724D" w:rsidRDefault="00000000">
      <w:pPr>
        <w:pStyle w:val="Listepuces"/>
      </w:pPr>
      <w:r>
        <w:t>Numbers, timestamps, tickers and technical labels: IBM Plex Mono or a similar monospace font.</w:t>
      </w:r>
    </w:p>
    <w:p w14:paraId="51C6ACC8" w14:textId="77777777" w:rsidR="00F2724D" w:rsidRDefault="00000000">
      <w:r>
        <w:t>Typography may feel oversized and spatial in the hero, but tables, axes, model metrics and explanatory text must remain clear and comfortable to read.</w:t>
      </w:r>
    </w:p>
    <w:p w14:paraId="4DDF4401" w14:textId="77777777" w:rsidR="00F2724D" w:rsidRDefault="00000000">
      <w:pPr>
        <w:pStyle w:val="Titre1"/>
      </w:pPr>
      <w:r>
        <w:t>6. Hero section and first impression</w:t>
      </w:r>
    </w:p>
    <w:p w14:paraId="0940C1EB" w14:textId="1ADA9263" w:rsidR="00F2724D" w:rsidRDefault="00000000">
      <w:r>
        <w:t>The hero should establish the concept immediately and create a memorable first impression without overwhelming the user with information.</w:t>
      </w:r>
      <w:r w:rsidR="009E1BF4">
        <w:t xml:space="preserve"> (it can otherwise include graphs or result, im open to the idea).</w:t>
      </w:r>
    </w:p>
    <w:p w14:paraId="145C08E6" w14:textId="77777777" w:rsidR="00F2724D" w:rsidRDefault="00000000">
      <w:pPr>
        <w:pStyle w:val="Listepuces"/>
      </w:pPr>
      <w:r>
        <w:t>A concise, expressive headline—one possible direction is “Beyond the Material.”</w:t>
      </w:r>
    </w:p>
    <w:p w14:paraId="29CE1FB2" w14:textId="77777777" w:rsidR="00F2724D" w:rsidRDefault="00000000">
      <w:pPr>
        <w:pStyle w:val="Listepuces"/>
      </w:pPr>
      <w:r>
        <w:t>A supporting line such as “Decoding commodity markets through machine learning.” Treat both as working copy.</w:t>
      </w:r>
    </w:p>
    <w:p w14:paraId="63A2B5B8" w14:textId="77777777" w:rsidR="00F2724D" w:rsidRDefault="00000000">
      <w:pPr>
        <w:pStyle w:val="Listepuces"/>
      </w:pPr>
      <w:r>
        <w:t>One strong visual focal point: a floating liquid-gold form, a metallic droplet, a smoked-glass sphere or another abstract material-inspired object.</w:t>
      </w:r>
    </w:p>
    <w:p w14:paraId="74224DAD" w14:textId="77777777" w:rsidR="00F2724D" w:rsidRDefault="00000000">
      <w:pPr>
        <w:pStyle w:val="Listepuces"/>
      </w:pPr>
      <w:r>
        <w:t>A restrained layer of fine particles, price-like curves or data traces may suggest analysis and motion.</w:t>
      </w:r>
    </w:p>
    <w:p w14:paraId="630ACD06" w14:textId="77777777" w:rsidR="00F2724D" w:rsidRDefault="00000000">
      <w:pPr>
        <w:pStyle w:val="Listepuces"/>
      </w:pPr>
      <w:r>
        <w:t>Minimal navigation and one clear path into the experience, such as exploring a commodity or opening the lab.</w:t>
      </w:r>
    </w:p>
    <w:p w14:paraId="30683DAA" w14:textId="77777777" w:rsidR="00F2724D" w:rsidRDefault="00000000">
      <w:pPr>
        <w:pStyle w:val="Listepuces"/>
      </w:pPr>
      <w:r>
        <w:t>The hero should lead naturally into the actual analytical experience—not remain a decorative intro with little connection to the project.</w:t>
      </w:r>
    </w:p>
    <w:p w14:paraId="2A127E79" w14:textId="77777777" w:rsidR="00F2724D" w:rsidRDefault="00000000">
      <w:pPr>
        <w:pStyle w:val="Titre1"/>
      </w:pPr>
      <w:r>
        <w:t>7. Liquid Glass and material-inspired objects</w:t>
      </w:r>
    </w:p>
    <w:p w14:paraId="228AA806" w14:textId="77777777" w:rsidR="00F2724D" w:rsidRDefault="00000000">
      <w:r>
        <w:t>Take inspiration from the visual language often called “Liquid Glass”: translucent layers, soft reflections, blurred depth, subtle distortion and fluid, sculptural forms. Interpret it as an art direction rather than applying the same glass card to every component.</w:t>
      </w:r>
    </w:p>
    <w:p w14:paraId="3C5CAD45" w14:textId="77777777" w:rsidR="00F2724D" w:rsidRDefault="00000000">
      <w:pPr>
        <w:pStyle w:val="Listepuces"/>
      </w:pPr>
      <w:r>
        <w:t>Use translucent panels sparingly for selected controls, overlays or detail views.</w:t>
      </w:r>
    </w:p>
    <w:p w14:paraId="4A7007A8" w14:textId="77777777" w:rsidR="00F2724D" w:rsidRDefault="00000000">
      <w:pPr>
        <w:pStyle w:val="Listepuces"/>
      </w:pPr>
      <w:r>
        <w:t>Create depth with soft highlights, fine borders, layered opacity and realistic-looking reflections.</w:t>
      </w:r>
    </w:p>
    <w:p w14:paraId="46E29ED5" w14:textId="77777777" w:rsidR="00F2724D" w:rsidRDefault="00000000">
      <w:pPr>
        <w:pStyle w:val="Listepuces"/>
      </w:pPr>
      <w:r>
        <w:t>Explore abstract 3D-like forms inspired by molten metal, liquid droplets, polished minerals or glass.</w:t>
      </w:r>
    </w:p>
    <w:p w14:paraId="7EF4334F" w14:textId="77777777" w:rsidR="00F2724D" w:rsidRDefault="00000000">
      <w:pPr>
        <w:pStyle w:val="Listepuces"/>
      </w:pPr>
      <w:r>
        <w:t>If real-time 3D is too expensive or fragile to implement, use lightweight alternatives such as carefully art-directed images, CSS effects or a static visual with subtle motion.</w:t>
      </w:r>
    </w:p>
    <w:p w14:paraId="7961470C" w14:textId="77777777" w:rsidR="00F2724D" w:rsidRDefault="00000000">
      <w:pPr>
        <w:pStyle w:val="Listepuces"/>
      </w:pPr>
      <w:r>
        <w:t>Avoid excessive blur, unreadable low-contrast glass, heavy effects that hurt performance, and generic glowing spheres that feel unrelated to commodities.</w:t>
      </w:r>
    </w:p>
    <w:p w14:paraId="23EF8030" w14:textId="77777777" w:rsidR="00F2724D" w:rsidRDefault="00000000">
      <w:pPr>
        <w:pStyle w:val="Titre1"/>
      </w:pPr>
      <w:r>
        <w:lastRenderedPageBreak/>
        <w:t>8. Motion and interaction</w:t>
      </w:r>
    </w:p>
    <w:p w14:paraId="36156969" w14:textId="77777777" w:rsidR="00F2724D" w:rsidRDefault="00000000">
      <w:r>
        <w:t>Motion should make the experience feel responsive and crafted. It must support hierarchy, exploration and feedback—not exist only to demonstrate animation.</w:t>
      </w:r>
    </w:p>
    <w:p w14:paraId="6E79AEEB" w14:textId="77777777" w:rsidR="00F2724D" w:rsidRDefault="00000000">
      <w:pPr>
        <w:pStyle w:val="Listepuces"/>
      </w:pPr>
      <w:r>
        <w:t>On entry, headline lines may appear with staggered upward movement and a soft fade.</w:t>
      </w:r>
    </w:p>
    <w:p w14:paraId="4D385C0A" w14:textId="77777777" w:rsidR="00F2724D" w:rsidRDefault="00000000">
      <w:pPr>
        <w:pStyle w:val="Listepuces"/>
      </w:pPr>
      <w:r>
        <w:t>A subtle metallic sheen may travel across a headline or visual object once, rather than looping constantly.</w:t>
      </w:r>
    </w:p>
    <w:p w14:paraId="062FD06A" w14:textId="77777777" w:rsidR="00F2724D" w:rsidRDefault="00000000">
      <w:pPr>
        <w:pStyle w:val="Listepuces"/>
      </w:pPr>
      <w:r>
        <w:t>On hover, commodity cards can reveal a short detail, change their material highlight or move slightly in depth.</w:t>
      </w:r>
    </w:p>
    <w:p w14:paraId="735B31BF" w14:textId="77777777" w:rsidR="00F2724D" w:rsidRDefault="00000000">
      <w:pPr>
        <w:pStyle w:val="Listepuces"/>
      </w:pPr>
      <w:r>
        <w:t>Cursor-reactive movement may be used on one hero object, with a restrained range.</w:t>
      </w:r>
    </w:p>
    <w:p w14:paraId="0C9051EB" w14:textId="77777777" w:rsidR="00F2724D" w:rsidRDefault="00000000">
      <w:pPr>
        <w:pStyle w:val="Listepuces"/>
      </w:pPr>
      <w:r>
        <w:t>Transitions between sections can shift or recompose visual elements, but should not delay access to the content.</w:t>
      </w:r>
    </w:p>
    <w:p w14:paraId="17A35CA5" w14:textId="77777777" w:rsidR="00F2724D" w:rsidRDefault="00000000">
      <w:pPr>
        <w:pStyle w:val="Listepuces"/>
      </w:pPr>
      <w:r>
        <w:t>Provide reduced-motion-friendly behaviour where practical; avoid scroll hijacking, disorienting movement and animations that interfere with reading.</w:t>
      </w:r>
    </w:p>
    <w:p w14:paraId="7125E939" w14:textId="77777777" w:rsidR="00F2724D" w:rsidRDefault="00000000">
      <w:pPr>
        <w:pStyle w:val="Titre1"/>
      </w:pPr>
      <w:r>
        <w:t>9. Commodity selection and navigation</w:t>
      </w:r>
    </w:p>
    <w:p w14:paraId="56713441" w14:textId="77777777" w:rsidR="00F2724D" w:rsidRDefault="00000000">
      <w:r>
        <w:t>Commodity selection should be a visually engaging entry point to the analytical content. Consider a small set of cards or a horizontal material gallery for Gold, Crude Oil, Copper, Natural Gas and selected agricultural products.</w:t>
      </w:r>
    </w:p>
    <w:p w14:paraId="4FEE87E4" w14:textId="77777777" w:rsidR="00F2724D" w:rsidRDefault="00000000">
      <w:pPr>
        <w:pStyle w:val="Listepuces"/>
      </w:pPr>
      <w:r>
        <w:t>Each item gets a distinctive material accent, name and concise market context.</w:t>
      </w:r>
    </w:p>
    <w:p w14:paraId="0CE00D59" w14:textId="77777777" w:rsidR="00F2724D" w:rsidRDefault="00000000">
      <w:pPr>
        <w:pStyle w:val="Listepuces"/>
      </w:pPr>
      <w:r>
        <w:t>Hover or selection reveals a small amount of meaningful information, such as latest observed price, period return or volatility—only when real data is available.</w:t>
      </w:r>
    </w:p>
    <w:p w14:paraId="0A6CC8CE" w14:textId="77777777" w:rsidR="00F2724D" w:rsidRDefault="00000000">
      <w:pPr>
        <w:pStyle w:val="Listepuces"/>
      </w:pPr>
      <w:r>
        <w:t>Selecting a commodity should update the relevant charts, model outputs and explanatory text consistently.</w:t>
      </w:r>
    </w:p>
    <w:p w14:paraId="0A604687" w14:textId="77777777" w:rsidR="00F2724D" w:rsidRDefault="00000000">
      <w:pPr>
        <w:pStyle w:val="Listepuces"/>
      </w:pPr>
      <w:r>
        <w:t>Make selection and active states obvious without relying only on animation or colour.</w:t>
      </w:r>
    </w:p>
    <w:p w14:paraId="2A7E6BA8" w14:textId="77777777" w:rsidR="00F2724D" w:rsidRDefault="00000000">
      <w:pPr>
        <w:pStyle w:val="Titre1"/>
      </w:pPr>
      <w:r>
        <w:t>10. The data experience: beauty must serve the analysis</w:t>
      </w:r>
    </w:p>
    <w:p w14:paraId="4EF4D1DD" w14:textId="77777777" w:rsidR="00F2724D" w:rsidRDefault="00000000">
      <w:r>
        <w:t>The website is an academic machine-learning project, not just a visual concept. The interface should make it easy to understand what data is being analysed, what the model predicts or classifies, how it is evaluated, and what its limitations are.</w:t>
      </w:r>
    </w:p>
    <w:p w14:paraId="2123F037" w14:textId="77777777" w:rsidR="00F2724D" w:rsidRDefault="00000000">
      <w:pPr>
        <w:pStyle w:val="Listepuces"/>
      </w:pPr>
      <w:r>
        <w:t>Use clear, well-labelled time-series charts, returns, volatility views, correlation views or other visuals justified by the chosen question.</w:t>
      </w:r>
    </w:p>
    <w:p w14:paraId="7AC33B27" w14:textId="77777777" w:rsidR="00F2724D" w:rsidRDefault="00000000">
      <w:pPr>
        <w:pStyle w:val="Listepuces"/>
      </w:pPr>
      <w:r>
        <w:t>Show the distinction between historical observations, model outputs and any forward-looking estimates.</w:t>
      </w:r>
    </w:p>
    <w:p w14:paraId="2EC14AD1" w14:textId="77777777" w:rsidR="00F2724D" w:rsidRDefault="00000000">
      <w:pPr>
        <w:pStyle w:val="Listepuces"/>
      </w:pPr>
      <w:r>
        <w:t>Where appropriate, compare a machine-learning model against a simple baseline; include out-of-sample evaluation and transparent metrics.</w:t>
      </w:r>
    </w:p>
    <w:p w14:paraId="4860134F" w14:textId="77777777" w:rsidR="00F2724D" w:rsidRDefault="00000000">
      <w:pPr>
        <w:pStyle w:val="Listepuces"/>
      </w:pPr>
      <w:r>
        <w:t>Explain the target variable, features, training/testing approach and key caveats in plain language.</w:t>
      </w:r>
    </w:p>
    <w:p w14:paraId="28D1A04E" w14:textId="77777777" w:rsidR="00F2724D" w:rsidRDefault="00000000">
      <w:pPr>
        <w:pStyle w:val="Listepuces"/>
      </w:pPr>
      <w:r>
        <w:t>Avoid implying that a prediction is a certainty, or presenting a backtest as proof of future profitability.</w:t>
      </w:r>
    </w:p>
    <w:p w14:paraId="0CFFABAD" w14:textId="77777777" w:rsidR="00F2724D" w:rsidRDefault="00000000">
      <w:pPr>
        <w:pStyle w:val="Listepuces"/>
      </w:pPr>
      <w:r>
        <w:t>Use motion and glass effects to frame charts, not obscure axes, labels, uncertainty or data quality.</w:t>
      </w:r>
    </w:p>
    <w:p w14:paraId="4769CF6F" w14:textId="77777777" w:rsidR="00F2724D" w:rsidRDefault="00000000">
      <w:pPr>
        <w:pStyle w:val="Titre1"/>
      </w:pPr>
      <w:r>
        <w:t>11. Practical implementation principles</w:t>
      </w:r>
    </w:p>
    <w:p w14:paraId="4147A905" w14:textId="77777777" w:rsidR="00F2724D" w:rsidRDefault="00000000">
      <w:pPr>
        <w:pStyle w:val="Listepuces"/>
      </w:pPr>
      <w:r>
        <w:t>Keep R central to the machine-learning workflow. Choose the interface architecture based on course requirements, time and reliability.</w:t>
      </w:r>
    </w:p>
    <w:p w14:paraId="752BFA88" w14:textId="77777777" w:rsidR="00F2724D" w:rsidRDefault="00000000">
      <w:pPr>
        <w:pStyle w:val="Listepuces"/>
      </w:pPr>
      <w:r>
        <w:t>A polished Shiny app or Quarto-based experience may be a good starting point; other front-end approaches can be considered if they are compatible with the assignment and deployment constraints.</w:t>
      </w:r>
    </w:p>
    <w:p w14:paraId="33372BD1" w14:textId="77777777" w:rsidR="00F2724D" w:rsidRDefault="00000000">
      <w:pPr>
        <w:pStyle w:val="Listepuces"/>
      </w:pPr>
      <w:r>
        <w:t>Prioritise responsive layout, fast loading, stable interactions and a design that remains legible on smaller screens.</w:t>
      </w:r>
    </w:p>
    <w:p w14:paraId="6698C6DE" w14:textId="77777777" w:rsidR="00F2724D" w:rsidRDefault="00000000">
      <w:pPr>
        <w:pStyle w:val="Listepuces"/>
      </w:pPr>
      <w:r>
        <w:lastRenderedPageBreak/>
        <w:t>Use real or clearly identified sample data. Display units, date ranges, data sources and refresh limitations.</w:t>
      </w:r>
    </w:p>
    <w:p w14:paraId="0E12199A" w14:textId="77777777" w:rsidR="00F2724D" w:rsidRDefault="00000000">
      <w:pPr>
        <w:pStyle w:val="Listepuces"/>
      </w:pPr>
      <w:r>
        <w:t>Build a small, consistent component system: typography, spacing, cards, controls, chart containers, labels and interaction states.</w:t>
      </w:r>
    </w:p>
    <w:p w14:paraId="676CF273" w14:textId="77777777" w:rsidR="00F2724D" w:rsidRDefault="00000000">
      <w:pPr>
        <w:pStyle w:val="Listepuces"/>
      </w:pPr>
      <w:r>
        <w:t>Do not implement costly visual effects before the core data flow, model and user journey work reliably.</w:t>
      </w:r>
    </w:p>
    <w:p w14:paraId="599E06E2" w14:textId="77777777" w:rsidR="00F2724D" w:rsidRDefault="00000000">
      <w:pPr>
        <w:pStyle w:val="Titre1"/>
      </w:pPr>
      <w:r>
        <w:t>12. What to avoid</w:t>
      </w:r>
    </w:p>
    <w:p w14:paraId="1E7AF587" w14:textId="77777777" w:rsidR="00F2724D" w:rsidRDefault="00000000">
      <w:pPr>
        <w:pStyle w:val="Listepuces"/>
      </w:pPr>
      <w:r>
        <w:t>A generic finance dashboard with rows of identical KPI cards and blue gradients.</w:t>
      </w:r>
    </w:p>
    <w:p w14:paraId="6E2A0552" w14:textId="77777777" w:rsidR="00F2724D" w:rsidRDefault="00000000">
      <w:pPr>
        <w:pStyle w:val="Listepuces"/>
      </w:pPr>
      <w:r>
        <w:t>A generic AI landing page with glowing orbs, vague claims and no distinctive connection to commodities.</w:t>
      </w:r>
    </w:p>
    <w:p w14:paraId="5D1B0D5A" w14:textId="77777777" w:rsidR="00F2724D" w:rsidRDefault="00000000">
      <w:pPr>
        <w:pStyle w:val="Listepuces"/>
      </w:pPr>
      <w:r>
        <w:t>Liquid Glass applied everywhere, making the page visually repetitive or difficult to read.</w:t>
      </w:r>
    </w:p>
    <w:p w14:paraId="71DC2B8E" w14:textId="77777777" w:rsidR="00F2724D" w:rsidRDefault="00000000">
      <w:pPr>
        <w:pStyle w:val="Listepuces"/>
      </w:pPr>
      <w:r>
        <w:t>Animations that look impressive but do not help users understand or explore the data.</w:t>
      </w:r>
    </w:p>
    <w:p w14:paraId="267FDC13" w14:textId="77777777" w:rsidR="00F2724D" w:rsidRDefault="00000000">
      <w:pPr>
        <w:pStyle w:val="Listepuces"/>
      </w:pPr>
      <w:r>
        <w:t>Fabricated prices, unexplained metrics, unsupported prediction claims or decorative charts with no analytical purpose.</w:t>
      </w:r>
    </w:p>
    <w:p w14:paraId="122A978D" w14:textId="77777777" w:rsidR="00F2724D" w:rsidRDefault="00000000">
      <w:pPr>
        <w:pStyle w:val="Listepuces"/>
      </w:pPr>
      <w:r>
        <w:t>Overly dense screens, tiny labels, poor contrast or mobile layouts treated as an afterthought.</w:t>
      </w:r>
    </w:p>
    <w:p w14:paraId="0704BD1D" w14:textId="77777777" w:rsidR="00F2724D" w:rsidRDefault="00000000">
      <w:pPr>
        <w:pStyle w:val="Titre1"/>
      </w:pPr>
      <w:r>
        <w:t>13. Creative freedom and decision rules</w:t>
      </w:r>
    </w:p>
    <w:p w14:paraId="5BD7C08C" w14:textId="77777777" w:rsidR="00F2724D" w:rsidRDefault="00000000">
      <w:r>
        <w:t>This brief is a starting point, not a rigid design contract. Keep the core identity—dark, warm, material-inspired, editorial and data-led—but challenge any individual idea that makes the product less coherent, less usable or harder to deliver within the academic constraints.</w:t>
      </w:r>
    </w:p>
    <w:p w14:paraId="7F02B1D8" w14:textId="77777777" w:rsidR="00F2724D" w:rsidRDefault="00000000">
      <w:r>
        <w:t>When proposing alternatives, explain briefly:</w:t>
      </w:r>
    </w:p>
    <w:p w14:paraId="256D9665" w14:textId="77777777" w:rsidR="00F2724D" w:rsidRDefault="00000000">
      <w:pPr>
        <w:pStyle w:val="Listepuces"/>
      </w:pPr>
      <w:r>
        <w:t>What improves visually or functionally.</w:t>
      </w:r>
    </w:p>
    <w:p w14:paraId="782F5BF5" w14:textId="77777777" w:rsidR="00F2724D" w:rsidRDefault="00000000">
      <w:pPr>
        <w:pStyle w:val="Listepuces"/>
      </w:pPr>
      <w:r>
        <w:t>What it costs in implementation time or technical complexity.</w:t>
      </w:r>
    </w:p>
    <w:p w14:paraId="4BE7B9D8" w14:textId="77777777" w:rsidR="00F2724D" w:rsidRDefault="00000000">
      <w:pPr>
        <w:pStyle w:val="Listepuces"/>
      </w:pPr>
      <w:r>
        <w:t>Whether it strengthens the commodity identity and the machine-learning story.</w:t>
      </w:r>
    </w:p>
    <w:p w14:paraId="13D1666B" w14:textId="77777777" w:rsidR="00F2724D" w:rsidRDefault="00000000">
      <w:pPr>
        <w:pStyle w:val="Listepuces"/>
      </w:pPr>
      <w:r>
        <w:t>What should be prototyped first to test the idea.</w:t>
      </w:r>
    </w:p>
    <w:p w14:paraId="6352CD44" w14:textId="77777777" w:rsidR="00F2724D" w:rsidRDefault="00000000">
      <w:pPr>
        <w:pStyle w:val="Titre1"/>
      </w:pPr>
      <w:r>
        <w:t>14. Suggested first steps for Claude</w:t>
      </w:r>
    </w:p>
    <w:p w14:paraId="7A99A4F5" w14:textId="77777777" w:rsidR="00F2724D" w:rsidRDefault="00000000">
      <w:pPr>
        <w:pStyle w:val="Listepuces"/>
      </w:pPr>
      <w:r>
        <w:t>First, propose a coherent page structure and user journey based on this direction.</w:t>
      </w:r>
    </w:p>
    <w:p w14:paraId="735A437C" w14:textId="77777777" w:rsidR="00F2724D" w:rsidRDefault="00000000">
      <w:pPr>
        <w:pStyle w:val="Listepuces"/>
      </w:pPr>
      <w:r>
        <w:t>Then create a first-pass design system: palette, typography, spacing, buttons, commodity cards, chart styling and motion principles.</w:t>
      </w:r>
    </w:p>
    <w:p w14:paraId="68DBEF3F" w14:textId="77777777" w:rsidR="00F2724D" w:rsidRDefault="00000000">
      <w:pPr>
        <w:pStyle w:val="Listepuces"/>
      </w:pPr>
      <w:r>
        <w:t>Develop a hero and the first analytical section as a focused prototype before expanding the whole website.</w:t>
      </w:r>
    </w:p>
    <w:p w14:paraId="58761FD3" w14:textId="77777777" w:rsidR="00F2724D" w:rsidRDefault="00000000">
      <w:pPr>
        <w:pStyle w:val="Listepuces"/>
      </w:pPr>
      <w:r>
        <w:t>Offer 2–3 meaningful alternatives only where the direction is genuinely uncertain; do not redesign everything from scratch.</w:t>
      </w:r>
    </w:p>
    <w:p w14:paraId="46AFB69F" w14:textId="77777777" w:rsidR="00F2724D" w:rsidRDefault="00000000">
      <w:pPr>
        <w:pStyle w:val="Listepuces"/>
      </w:pPr>
      <w:r>
        <w:t>Keep the visual ambition proportional to the project deadline and the requirements of the Machine Learning with R course.</w:t>
      </w:r>
    </w:p>
    <w:p w14:paraId="5DFDCADA" w14:textId="77777777" w:rsidR="00F2724D" w:rsidRDefault="00000000">
      <w:pPr>
        <w:pStyle w:val="Titre1"/>
      </w:pPr>
      <w:r>
        <w:t>Working identity in one sentence</w:t>
      </w:r>
    </w:p>
    <w:p w14:paraId="6C5BE5E8" w14:textId="77777777" w:rsidR="00F2724D" w:rsidRDefault="00000000">
      <w:pPr>
        <w:shd w:val="clear" w:color="auto" w:fill="F5F0E7"/>
        <w:spacing w:before="80" w:after="160"/>
      </w:pPr>
      <w:r>
        <w:rPr>
          <w:b/>
          <w:color w:val="7D541C"/>
          <w:sz w:val="24"/>
        </w:rPr>
        <w:t>A premium, dark and tactile commodity research lab—where liquid-metal visuals and expressive typography meet transparent machine-learning analysis.</w:t>
      </w:r>
    </w:p>
    <w:p w14:paraId="1C8FF7E2" w14:textId="77777777" w:rsidR="00F2724D" w:rsidRDefault="00000000">
      <w:r>
        <w:t>Note: the name “Liquid Commodities Lab”, the headline and font choices are provisional. They are useful creative anchors, not final branding decisions.</w:t>
      </w:r>
    </w:p>
    <w:sectPr w:rsidR="00F2724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65638">
    <w:abstractNumId w:val="8"/>
  </w:num>
  <w:num w:numId="2" w16cid:durableId="807085782">
    <w:abstractNumId w:val="6"/>
  </w:num>
  <w:num w:numId="3" w16cid:durableId="640575872">
    <w:abstractNumId w:val="5"/>
  </w:num>
  <w:num w:numId="4" w16cid:durableId="1577400323">
    <w:abstractNumId w:val="4"/>
  </w:num>
  <w:num w:numId="5" w16cid:durableId="2002271475">
    <w:abstractNumId w:val="7"/>
  </w:num>
  <w:num w:numId="6" w16cid:durableId="112554089">
    <w:abstractNumId w:val="3"/>
  </w:num>
  <w:num w:numId="7" w16cid:durableId="1487891104">
    <w:abstractNumId w:val="2"/>
  </w:num>
  <w:num w:numId="8" w16cid:durableId="1087075881">
    <w:abstractNumId w:val="1"/>
  </w:num>
  <w:num w:numId="9" w16cid:durableId="66316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7BC"/>
    <w:rsid w:val="0015074B"/>
    <w:rsid w:val="0029639D"/>
    <w:rsid w:val="00326F90"/>
    <w:rsid w:val="009E1BF4"/>
    <w:rsid w:val="00AA1D8D"/>
    <w:rsid w:val="00B47730"/>
    <w:rsid w:val="00CB0664"/>
    <w:rsid w:val="00F27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10934"/>
  <w14:defaultImageDpi w14:val="300"/>
  <w15:docId w15:val="{A0D0FD87-C867-43BC-A404-1D23065D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C2C2C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D541C"/>
      <w:sz w:val="3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D541C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1B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1715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Némo PIERRE-FANFAN</cp:lastModifiedBy>
  <cp:revision>2</cp:revision>
  <dcterms:created xsi:type="dcterms:W3CDTF">2013-12-23T23:15:00Z</dcterms:created>
  <dcterms:modified xsi:type="dcterms:W3CDTF">2026-10-09T08:28:00Z</dcterms:modified>
  <cp:category/>
</cp:coreProperties>
</file>