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95DF" w14:textId="77777777" w:rsidR="005A3DA8" w:rsidRPr="005A3DA8" w:rsidRDefault="005A3DA8" w:rsidP="005A3DA8">
      <w:pPr>
        <w:rPr>
          <w:rFonts w:ascii="Arial" w:hAnsi="Arial" w:cs="Arial"/>
          <w:b/>
          <w:bCs/>
          <w:sz w:val="32"/>
          <w:szCs w:val="32"/>
        </w:rPr>
      </w:pPr>
      <w:r w:rsidRPr="005A3DA8">
        <w:rPr>
          <w:rFonts w:ascii="Arial" w:hAnsi="Arial" w:cs="Arial"/>
          <w:b/>
          <w:bCs/>
          <w:sz w:val="32"/>
          <w:szCs w:val="32"/>
        </w:rPr>
        <w:t>HAZARDOUS MATERIALS SEGREGATION GUIDE</w:t>
      </w:r>
    </w:p>
    <w:p w14:paraId="71524182" w14:textId="77777777" w:rsidR="005A3DA8" w:rsidRPr="005A3DA8" w:rsidRDefault="005A3DA8" w:rsidP="005A3DA8">
      <w:pPr>
        <w:rPr>
          <w:rFonts w:ascii="Arial" w:hAnsi="Arial" w:cs="Arial"/>
          <w:sz w:val="22"/>
          <w:szCs w:val="22"/>
        </w:rPr>
      </w:pPr>
      <w:r w:rsidRPr="005A3DA8">
        <w:rPr>
          <w:rFonts w:ascii="Arial" w:hAnsi="Arial" w:cs="Arial"/>
          <w:b/>
          <w:bCs/>
          <w:sz w:val="22"/>
          <w:szCs w:val="22"/>
        </w:rPr>
        <w:t>Purpose:</w:t>
      </w:r>
      <w:r w:rsidRPr="005A3DA8">
        <w:rPr>
          <w:rFonts w:ascii="Arial" w:hAnsi="Arial" w:cs="Arial"/>
          <w:sz w:val="22"/>
          <w:szCs w:val="22"/>
        </w:rPr>
        <w:t xml:space="preserve"> This guide provides clear instructions on how to properly identify, handle, and dispose of hazardous household and workplace waste. Hazardous materials require special care because they contain toxic, flammable, corrosive, or reactive substances that can cause serious harm to people, animals, and the environment if disposed of incorrectly.</w:t>
      </w:r>
    </w:p>
    <w:p w14:paraId="7BA80C96" w14:textId="43189DF0" w:rsidR="005A3DA8" w:rsidRPr="005A3DA8" w:rsidRDefault="005A3DA8" w:rsidP="005A3DA8">
      <w:pPr>
        <w:rPr>
          <w:rFonts w:ascii="Arial" w:hAnsi="Arial" w:cs="Arial"/>
          <w:sz w:val="22"/>
          <w:szCs w:val="22"/>
        </w:rPr>
      </w:pPr>
    </w:p>
    <w:p w14:paraId="78F7DA23" w14:textId="77777777" w:rsidR="005A3DA8" w:rsidRPr="005A3DA8" w:rsidRDefault="005A3DA8" w:rsidP="005A3DA8">
      <w:pPr>
        <w:rPr>
          <w:rFonts w:ascii="Arial" w:hAnsi="Arial" w:cs="Arial"/>
          <w:b/>
          <w:bCs/>
          <w:sz w:val="22"/>
          <w:szCs w:val="22"/>
        </w:rPr>
      </w:pPr>
      <w:r w:rsidRPr="005A3DA8">
        <w:rPr>
          <w:rFonts w:ascii="Segoe UI Emoji" w:hAnsi="Segoe UI Emoji" w:cs="Segoe UI Emoji"/>
          <w:b/>
          <w:bCs/>
          <w:sz w:val="22"/>
          <w:szCs w:val="22"/>
        </w:rPr>
        <w:t>⚠️</w:t>
      </w:r>
      <w:r w:rsidRPr="005A3DA8">
        <w:rPr>
          <w:rFonts w:ascii="Arial" w:hAnsi="Arial" w:cs="Arial"/>
          <w:b/>
          <w:bCs/>
          <w:sz w:val="22"/>
          <w:szCs w:val="22"/>
        </w:rPr>
        <w:t xml:space="preserve"> IMPORTANT SAFETY NOTICE</w:t>
      </w:r>
    </w:p>
    <w:p w14:paraId="57787676" w14:textId="77777777" w:rsidR="005A3DA8" w:rsidRPr="005A3DA8" w:rsidRDefault="005A3DA8" w:rsidP="005A3DA8">
      <w:pPr>
        <w:rPr>
          <w:rFonts w:ascii="Arial" w:hAnsi="Arial" w:cs="Arial"/>
          <w:sz w:val="22"/>
          <w:szCs w:val="22"/>
        </w:rPr>
      </w:pPr>
      <w:r w:rsidRPr="005A3DA8">
        <w:rPr>
          <w:rFonts w:ascii="Arial" w:hAnsi="Arial" w:cs="Arial"/>
          <w:sz w:val="22"/>
          <w:szCs w:val="22"/>
        </w:rPr>
        <w:t xml:space="preserve">Never place hazardous materials in regular trash bins, recycling bins, or biodegradable waste bins. Never pour hazardous liquids down the drain or flush them down the toilet. Never burn hazardous materials. Always store hazardous waste in its original </w:t>
      </w:r>
      <w:proofErr w:type="gramStart"/>
      <w:r w:rsidRPr="005A3DA8">
        <w:rPr>
          <w:rFonts w:ascii="Arial" w:hAnsi="Arial" w:cs="Arial"/>
          <w:sz w:val="22"/>
          <w:szCs w:val="22"/>
        </w:rPr>
        <w:t>container</w:t>
      </w:r>
      <w:proofErr w:type="gramEnd"/>
      <w:r w:rsidRPr="005A3DA8">
        <w:rPr>
          <w:rFonts w:ascii="Arial" w:hAnsi="Arial" w:cs="Arial"/>
          <w:sz w:val="22"/>
          <w:szCs w:val="22"/>
        </w:rPr>
        <w:t xml:space="preserve"> when possible, keep it sealed, and bring it to a designated collection point or hazardous waste facility.</w:t>
      </w:r>
    </w:p>
    <w:p w14:paraId="43656F8C" w14:textId="0C736C91" w:rsidR="005A3DA8" w:rsidRPr="005A3DA8" w:rsidRDefault="005A3DA8" w:rsidP="005A3DA8">
      <w:pPr>
        <w:rPr>
          <w:rFonts w:ascii="Arial" w:hAnsi="Arial" w:cs="Arial"/>
          <w:sz w:val="22"/>
          <w:szCs w:val="22"/>
        </w:rPr>
      </w:pPr>
    </w:p>
    <w:p w14:paraId="2575302B"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1. BATTERIES</w:t>
      </w:r>
    </w:p>
    <w:p w14:paraId="1BC5A117"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Red bin or designated battery collection box</w:t>
      </w:r>
    </w:p>
    <w:p w14:paraId="07C19D11"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Single-use alkaline batteries (AA, AAA, C, D, 9V), rechargeable nickel-metal hydride (NiMH) batteries, lithium-ion batteries (found in phones, laptops, and power tools), lithium primary batteries, lead-acid batteries (car and motorcycle batteries), and button cell batteries (used in watches and hearing aids).</w:t>
      </w:r>
    </w:p>
    <w:p w14:paraId="29B34103"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Batteries contain heavy metals such as lead, mercury, cadmium, and lithium. When punctured, crushed, or improperly disposed of, these substances leach into soil and groundwater, contaminating water supplies and harming wildlife. Lithium-ion batteries are also a significant fire risk — they can ignite and cause fires in garbage trucks, landfills, and recycling facilities.</w:t>
      </w:r>
    </w:p>
    <w:p w14:paraId="5CD1CD88"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All types of household batteries, rechargeable batteries, power tool batteries, laptop and phone batteries, car batteries, and watch or hearing aid button cells.</w:t>
      </w:r>
    </w:p>
    <w:p w14:paraId="77C6B225"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in regular bins:</w:t>
      </w:r>
      <w:r w:rsidRPr="005A3DA8">
        <w:rPr>
          <w:rFonts w:ascii="Arial" w:hAnsi="Arial" w:cs="Arial"/>
          <w:sz w:val="22"/>
          <w:szCs w:val="22"/>
        </w:rPr>
        <w:t xml:space="preserve"> Swollen, punctured, leaking, or damaged batteries of any kind. These must be handled with extra care and brought immediately to a hazardous waste facility.</w:t>
      </w:r>
    </w:p>
    <w:p w14:paraId="1CAD2A2F"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 and store:</w:t>
      </w:r>
      <w:r w:rsidRPr="005A3DA8">
        <w:rPr>
          <w:rFonts w:ascii="Arial" w:hAnsi="Arial" w:cs="Arial"/>
          <w:sz w:val="22"/>
          <w:szCs w:val="22"/>
        </w:rPr>
        <w:t xml:space="preserve"> Store used batteries in a cool, dry place away from flammable materials. Place a small piece of tape over the terminals of lithium-ion batteries to prevent short-circuiting. Never stack batteries loose in a bag where terminals can touch. Keep batteries in their original packaging if still available, or place them in a plastic container with a lid. Bring them to battery drop-off points located at most hardware stores, supermarkets, and electronics retailers.</w:t>
      </w:r>
    </w:p>
    <w:p w14:paraId="3A38008D"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A single button cell battery can contaminate up to 1 square meter of soil and 400 liters of water. Properly recycled batteries recover valuable metals such as cobalt, nickel, </w:t>
      </w:r>
      <w:r w:rsidRPr="005A3DA8">
        <w:rPr>
          <w:rFonts w:ascii="Arial" w:hAnsi="Arial" w:cs="Arial"/>
          <w:sz w:val="22"/>
          <w:szCs w:val="22"/>
        </w:rPr>
        <w:lastRenderedPageBreak/>
        <w:t>and lithium, which are reused in new battery production, reducing the need for environmentally destructive mining.</w:t>
      </w:r>
    </w:p>
    <w:p w14:paraId="1179F2E6" w14:textId="18944DA5" w:rsidR="005A3DA8" w:rsidRPr="005A3DA8" w:rsidRDefault="005A3DA8" w:rsidP="005A3DA8">
      <w:pPr>
        <w:rPr>
          <w:rFonts w:ascii="Arial" w:hAnsi="Arial" w:cs="Arial"/>
          <w:sz w:val="22"/>
          <w:szCs w:val="22"/>
        </w:rPr>
      </w:pPr>
    </w:p>
    <w:p w14:paraId="0E681496"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2. ELECTRONICS (E-WASTE)</w:t>
      </w:r>
    </w:p>
    <w:p w14:paraId="49EA665B"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Red bin or e-waste collection point</w:t>
      </w:r>
    </w:p>
    <w:p w14:paraId="40657CD0"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Mobile phones and smartphones, laptops and desktop computers, tablets, televisions and monitors, printers and scanners, cameras and video equipment, audio equipment and speakers, computer peripherals (keyboards, mice, cables), small kitchen appliances, electric fans, and power adapters and chargers.</w:t>
      </w:r>
    </w:p>
    <w:p w14:paraId="1072038B"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Electronics contain a complex mixture of toxic substances including lead, mercury, cadmium, beryllium, arsenic, and brominated flame retardants. When electronics are improperly discarded or incinerated, these substances release toxic fumes and contaminate soil and groundwater. Children and communities near illegal e-waste processing sites are particularly vulnerable to neurological and developmental damage.</w:t>
      </w:r>
    </w:p>
    <w:p w14:paraId="00FEA605"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All electronic devices regardless of age or condition, including broken or non-functional devices.</w:t>
      </w:r>
    </w:p>
    <w:p w14:paraId="4433BBF9"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for informal disposal:</w:t>
      </w:r>
      <w:r w:rsidRPr="005A3DA8">
        <w:rPr>
          <w:rFonts w:ascii="Arial" w:hAnsi="Arial" w:cs="Arial"/>
          <w:sz w:val="22"/>
          <w:szCs w:val="22"/>
        </w:rPr>
        <w:t xml:space="preserve"> Electronics should never be dismantled at home, burned, or thrown into regular waste. Informal dismantling without proper equipment exposes individuals to toxic dust and fumes.</w:t>
      </w:r>
    </w:p>
    <w:p w14:paraId="0FBF151B"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Back up and then wipe all personal data from devices before surrendering them. Remove batteries where possible and bring them separately to a battery collection point. Keep devices intact — do not attempt to dismantle or crush them. Place small electronics in a bag or box to prevent breakage during transport. Bring to certified e-waste collection drives, manufacturer take-back programs, or authorized recycling centers.</w:t>
      </w:r>
    </w:p>
    <w:p w14:paraId="30995CFD"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The world generates over 50 million metric tons of e-waste every year, making it the fastest-growing waste stream globally. Less than 20% of that is formally recycled. A single ton of circuit boards contains more gold than 17 tons of gold ore. Responsible e-waste recycling recovers precious metals, reduces mining demand, and prevents toxic exposure to communities and ecosystems.</w:t>
      </w:r>
    </w:p>
    <w:p w14:paraId="09B3D801"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3. PAINT AND SOLVENTS</w:t>
      </w:r>
    </w:p>
    <w:p w14:paraId="53725C1A"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Red bin or hazardous waste facility</w:t>
      </w:r>
    </w:p>
    <w:p w14:paraId="6544450F"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Latex and water-based paint, oil-based paint, spray paint and aerosol paint cans, paint thinners and turpentine, varnish, lacquer, stains, wood preservatives, adhesives and glues (solvent-based), rust removers, and stripping agents.</w:t>
      </w:r>
    </w:p>
    <w:p w14:paraId="071A34B5"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Oil-based paints and solvents contain volatile organic compounds (VOCs) that evaporate into the air and contribute to air pollution and smog. When poured down </w:t>
      </w:r>
      <w:r w:rsidRPr="005A3DA8">
        <w:rPr>
          <w:rFonts w:ascii="Arial" w:hAnsi="Arial" w:cs="Arial"/>
          <w:sz w:val="22"/>
          <w:szCs w:val="22"/>
        </w:rPr>
        <w:lastRenderedPageBreak/>
        <w:t>drains, they contaminate waterways and kill aquatic life. Aerosol cans are pressurized and can explode if punctured, incinerated, or exposed to heat.</w:t>
      </w:r>
    </w:p>
    <w:p w14:paraId="1364B895"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All paint types in sealed containers, aerosol cans (empty or partially full), solvents and thinners in their original containers, and varnish and lacquer.</w:t>
      </w:r>
    </w:p>
    <w:p w14:paraId="1A09E1C8"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in regular bins:</w:t>
      </w:r>
      <w:r w:rsidRPr="005A3DA8">
        <w:rPr>
          <w:rFonts w:ascii="Arial" w:hAnsi="Arial" w:cs="Arial"/>
          <w:sz w:val="22"/>
          <w:szCs w:val="22"/>
        </w:rPr>
        <w:t xml:space="preserve"> Open, leaking, or heavily rusted paint cans; dried paint in containers with open lids; and aerosol cans that have been punctured or crushed.</w:t>
      </w:r>
    </w:p>
    <w:p w14:paraId="08276B3C"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Always keep paint and solvents in their original, clearly labeled containers. If the original container is damaged, transfer the material to a clean, sealable container and label it clearly with the contents and hazard warning. Keep lids tightly sealed to prevent spills and vapor release. Store upright in a cool, well-ventilated area away from heat sources, flames, and children. If you have leftover usable paint, consider donating it to community organizations, schools, or local paint exchange programs before disposing.</w:t>
      </w:r>
    </w:p>
    <w:p w14:paraId="6B498B66"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One liter of oil-based paint can contaminate up to 1 million liters of water if it enters a waterway. Aerosol cans that are not emptied before disposal pose explosion risks at waste facilities. Proper disposal prevents VOC emissions, protects water systems, and keeps waste workers safe.</w:t>
      </w:r>
    </w:p>
    <w:p w14:paraId="7F75C781" w14:textId="770AC5F9" w:rsidR="005A3DA8" w:rsidRPr="005A3DA8" w:rsidRDefault="005A3DA8" w:rsidP="005A3DA8">
      <w:pPr>
        <w:rPr>
          <w:rFonts w:ascii="Arial" w:hAnsi="Arial" w:cs="Arial"/>
          <w:sz w:val="22"/>
          <w:szCs w:val="22"/>
        </w:rPr>
      </w:pPr>
    </w:p>
    <w:p w14:paraId="64739F04"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4. MEDICAL AND PHARMACEUTICAL WASTE</w:t>
      </w:r>
    </w:p>
    <w:p w14:paraId="42A83FBC"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Yellow bin or pharmacy take-back program</w:t>
      </w:r>
    </w:p>
    <w:p w14:paraId="4BA1DC9F"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Expired or unused prescription medications, over-the-counter medicines, vitamins and supplements, syringes and needles (sharps), lancets and test strips (diabetic supplies), inhalers, medicated patches, and liquid medicines.</w:t>
      </w:r>
    </w:p>
    <w:p w14:paraId="1B99AAFD"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Pharmaceutical chemicals that enter water systems through flushing or landfill leaching have been detected in rivers, lakes, and drinking water supplies worldwide. They disrupt aquatic ecosystems, affect the reproductive systems of fish and wildlife, and contribute to antibiotic resistance. Sharps such as needles pose a direct physical and biological injury risk to waste handlers and the public if improperly disposed of.</w:t>
      </w:r>
    </w:p>
    <w:p w14:paraId="71415C9C"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All prescription and over-the-counter medications in their original or labeled packaging, unused or expired medicines, and sharps placed in an approved puncture-resistant sharps container.</w:t>
      </w:r>
    </w:p>
    <w:p w14:paraId="738ACF6B"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for home disposal:</w:t>
      </w:r>
      <w:r w:rsidRPr="005A3DA8">
        <w:rPr>
          <w:rFonts w:ascii="Arial" w:hAnsi="Arial" w:cs="Arial"/>
          <w:sz w:val="22"/>
          <w:szCs w:val="22"/>
        </w:rPr>
        <w:t xml:space="preserve"> Sharps must never be placed loose in regular bins or plastic bags. Medications must never be flushed down the toilet or poured down the drain unless the label specifically instructs this for safety reasons.</w:t>
      </w:r>
    </w:p>
    <w:p w14:paraId="2F443ABA"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Return unused or expired medications to your pharmacy's take-back program whenever possible. For medications that must be disposed of at home in the absence of a take-back program, mix them with an undesirable substance such as coffee grounds or dirt in a sealed bag before placing in the trash — this deters misuse. Place all needles, syringes, and </w:t>
      </w:r>
      <w:r w:rsidRPr="005A3DA8">
        <w:rPr>
          <w:rFonts w:ascii="Arial" w:hAnsi="Arial" w:cs="Arial"/>
          <w:sz w:val="22"/>
          <w:szCs w:val="22"/>
        </w:rPr>
        <w:lastRenderedPageBreak/>
        <w:t>lancets in an approved sharps container. When the sharps container is three-quarters full, seal it and bring it to a pharmacy, clinic, or hazardous waste collection facility. Never recap needles by hand.</w:t>
      </w:r>
    </w:p>
    <w:p w14:paraId="678DB8FA"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Studies have detected traces of pharmaceuticals including antibiotics, hormones, and antidepressants in water sources across the world. Proper pharmaceutical disposal protects aquatic life, prevents drug misuse, and reduces the development of antibiotic-resistant bacteria — one of the most serious global public health threats.</w:t>
      </w:r>
    </w:p>
    <w:p w14:paraId="42FE2CA1" w14:textId="068352C3" w:rsidR="005A3DA8" w:rsidRPr="005A3DA8" w:rsidRDefault="005A3DA8" w:rsidP="005A3DA8">
      <w:pPr>
        <w:rPr>
          <w:rFonts w:ascii="Arial" w:hAnsi="Arial" w:cs="Arial"/>
          <w:sz w:val="22"/>
          <w:szCs w:val="22"/>
        </w:rPr>
      </w:pPr>
    </w:p>
    <w:p w14:paraId="2C030637"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5. HOUSEHOLD CHEMICALS</w:t>
      </w:r>
    </w:p>
    <w:p w14:paraId="0B122AC6"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Red bin or hazardous waste facility</w:t>
      </w:r>
    </w:p>
    <w:p w14:paraId="52FFA9A6"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Bleach and chlorine-based cleaners, ammonia-based cleaners, drain and oven cleaners, pool chemicals and chlorine tablets, pesticides and insecticides, herbicides and weed killers, rodenticides (rat poison), fertilizers with chemical compounds, and automotive fluids (brake fluid, antifreeze, transmission fluid).</w:t>
      </w:r>
    </w:p>
    <w:p w14:paraId="351C163A"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Many household chemicals are corrosive, meaning they can burn skin, eyes, and internal tissues on contact. Others are toxic if ingested or inhaled. Mixing certain chemicals — such as bleach and ammonia — produces toxic chloramine gas, which can cause respiratory damage and even death. When poured down drains or into soil, these chemicals kill beneficial microorganisms, contaminate groundwater, and disrupt ecosystems.</w:t>
      </w:r>
    </w:p>
    <w:p w14:paraId="118D8F82"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All household chemical products in their original sealed containers.</w:t>
      </w:r>
    </w:p>
    <w:p w14:paraId="7EC718EF"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for regular disposal:</w:t>
      </w:r>
      <w:r w:rsidRPr="005A3DA8">
        <w:rPr>
          <w:rFonts w:ascii="Arial" w:hAnsi="Arial" w:cs="Arial"/>
          <w:sz w:val="22"/>
          <w:szCs w:val="22"/>
        </w:rPr>
        <w:t xml:space="preserve"> Chemicals must never be mixed together before disposal. Never combine different chemical products even if they seem similar — unexpected and dangerous reactions can occur.</w:t>
      </w:r>
    </w:p>
    <w:p w14:paraId="37147732"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Always store household chemicals in their original containers with original labels intact. Never transfer chemicals to food or beverage containers. Keep containers tightly sealed and store in a cool, ventilated area away from direct sunlight, heat, and children. If a container is leaking, place it inside a larger sealable plastic bag or secondary container for safe transport. Contact your local hazardous waste facility for scheduled collection events or drop-off locations.</w:t>
      </w:r>
    </w:p>
    <w:p w14:paraId="272D8212"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Improper disposal of household chemicals is a leading cause of poisoning accidents, particularly among children. Chemical runoff from improper disposal contaminates rivers and kills aquatic life. Many municipalities offer free hazardous waste collection days — taking advantage of these services costs nothing and protects the entire community.</w:t>
      </w:r>
    </w:p>
    <w:p w14:paraId="17E3BC44" w14:textId="4468E0C2" w:rsidR="005A3DA8" w:rsidRPr="005A3DA8" w:rsidRDefault="005A3DA8" w:rsidP="005A3DA8">
      <w:pPr>
        <w:rPr>
          <w:rFonts w:ascii="Arial" w:hAnsi="Arial" w:cs="Arial"/>
          <w:sz w:val="22"/>
          <w:szCs w:val="22"/>
        </w:rPr>
      </w:pPr>
    </w:p>
    <w:p w14:paraId="16BA3A5F"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6. FLAMMABLE AND PRESSURIZED MATERIALS</w:t>
      </w:r>
    </w:p>
    <w:p w14:paraId="015E14CC"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Red bin or hazardous waste facility</w:t>
      </w:r>
    </w:p>
    <w:p w14:paraId="11509820" w14:textId="77777777" w:rsidR="005A3DA8" w:rsidRPr="005A3DA8" w:rsidRDefault="005A3DA8" w:rsidP="005A3DA8">
      <w:pPr>
        <w:rPr>
          <w:rFonts w:ascii="Arial" w:hAnsi="Arial" w:cs="Arial"/>
          <w:sz w:val="22"/>
          <w:szCs w:val="22"/>
        </w:rPr>
      </w:pPr>
      <w:r w:rsidRPr="005A3DA8">
        <w:rPr>
          <w:rFonts w:ascii="Arial" w:hAnsi="Arial" w:cs="Arial"/>
          <w:b/>
          <w:bCs/>
          <w:sz w:val="22"/>
          <w:szCs w:val="22"/>
        </w:rPr>
        <w:lastRenderedPageBreak/>
        <w:t>Types covered:</w:t>
      </w:r>
      <w:r w:rsidRPr="005A3DA8">
        <w:rPr>
          <w:rFonts w:ascii="Arial" w:hAnsi="Arial" w:cs="Arial"/>
          <w:sz w:val="22"/>
          <w:szCs w:val="22"/>
        </w:rPr>
        <w:t xml:space="preserve"> Propane and butane gas cylinders, camping gas canisters, lighter fluid, gasoline and diesel fuel, kerosene, fire starters and accelerants, partially used aerosol cans, and charcoal lighter fluid.</w:t>
      </w:r>
    </w:p>
    <w:p w14:paraId="5BE8B813"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Flammable materials can ignite with a single spark, causing fires or explosions. Pressurized containers can rupture violently when exposed to heat, impact, or puncture. Even empty gas cylinders retain residual flammable gas and must be handled with care.</w:t>
      </w:r>
    </w:p>
    <w:p w14:paraId="09EA9BF1"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Empty and partially full gas cylinders (must be clearly labeled), fuel containers in their original sealed containers, and aerosol cans that are not punctured or crushed.</w:t>
      </w:r>
    </w:p>
    <w:p w14:paraId="086D1F0E" w14:textId="77777777" w:rsidR="005A3DA8" w:rsidRPr="005A3DA8" w:rsidRDefault="005A3DA8" w:rsidP="005A3DA8">
      <w:pPr>
        <w:rPr>
          <w:rFonts w:ascii="Arial" w:hAnsi="Arial" w:cs="Arial"/>
          <w:sz w:val="22"/>
          <w:szCs w:val="22"/>
        </w:rPr>
      </w:pPr>
      <w:r w:rsidRPr="005A3DA8">
        <w:rPr>
          <w:rFonts w:ascii="Arial" w:hAnsi="Arial" w:cs="Arial"/>
          <w:b/>
          <w:bCs/>
          <w:sz w:val="22"/>
          <w:szCs w:val="22"/>
        </w:rPr>
        <w:t>Not accepted for regular disposal:</w:t>
      </w:r>
      <w:r w:rsidRPr="005A3DA8">
        <w:rPr>
          <w:rFonts w:ascii="Arial" w:hAnsi="Arial" w:cs="Arial"/>
          <w:sz w:val="22"/>
          <w:szCs w:val="22"/>
        </w:rPr>
        <w:t xml:space="preserve"> Full or pressurized gas cylinders, punctured aerosol cans, open or leaking fuel containers, and any flammable liquid without a sealed lid.</w:t>
      </w:r>
    </w:p>
    <w:p w14:paraId="5D4D1FE5"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Never attempt to empty a gas cylinder by releasing gas into the air or burning it off indoors. Return propane and butane cylinders to the retailer or supplier for safe refilling or disposal. Store all flammable liquids in approved safety containers, away from heat, open flames, and electrical equipment. Transport flammable materials in a well-ventilated vehicle — never in an enclosed car trunk. Contact your local hazardous waste facility for proper disposal instructions before transporting.</w:t>
      </w:r>
    </w:p>
    <w:p w14:paraId="72CD7CCA"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Flammable and pressurized materials are among the most common causes of fires and explosions at waste facilities and in garbage vehicles. A single improperly discarded gas canister can cause a fire that destroys thousands of tons of otherwise recoverable recyclable material and endangers the lives of waste workers.</w:t>
      </w:r>
    </w:p>
    <w:p w14:paraId="5039411A" w14:textId="725F1300" w:rsidR="005A3DA8" w:rsidRPr="005A3DA8" w:rsidRDefault="005A3DA8" w:rsidP="005A3DA8">
      <w:pPr>
        <w:rPr>
          <w:rFonts w:ascii="Arial" w:hAnsi="Arial" w:cs="Arial"/>
          <w:sz w:val="22"/>
          <w:szCs w:val="22"/>
        </w:rPr>
      </w:pPr>
    </w:p>
    <w:p w14:paraId="3F8355B1"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7. FLUORESCENT BULBS AND MERCURY-CONTAINING DEVICES</w:t>
      </w:r>
    </w:p>
    <w:p w14:paraId="2C7B3993" w14:textId="77777777" w:rsidR="005A3DA8" w:rsidRPr="005A3DA8" w:rsidRDefault="005A3DA8" w:rsidP="005A3DA8">
      <w:pPr>
        <w:rPr>
          <w:rFonts w:ascii="Arial" w:hAnsi="Arial" w:cs="Arial"/>
          <w:sz w:val="22"/>
          <w:szCs w:val="22"/>
        </w:rPr>
      </w:pPr>
      <w:r w:rsidRPr="005A3DA8">
        <w:rPr>
          <w:rFonts w:ascii="Arial" w:hAnsi="Arial" w:cs="Arial"/>
          <w:b/>
          <w:bCs/>
          <w:sz w:val="22"/>
          <w:szCs w:val="22"/>
        </w:rPr>
        <w:t>Color Code:</w:t>
      </w:r>
      <w:r w:rsidRPr="005A3DA8">
        <w:rPr>
          <w:rFonts w:ascii="Arial" w:hAnsi="Arial" w:cs="Arial"/>
          <w:sz w:val="22"/>
          <w:szCs w:val="22"/>
        </w:rPr>
        <w:t xml:space="preserve"> Purple bin or special drop-off</w:t>
      </w:r>
    </w:p>
    <w:p w14:paraId="0E5C80D1" w14:textId="77777777" w:rsidR="005A3DA8" w:rsidRPr="005A3DA8" w:rsidRDefault="005A3DA8" w:rsidP="005A3DA8">
      <w:pPr>
        <w:rPr>
          <w:rFonts w:ascii="Arial" w:hAnsi="Arial" w:cs="Arial"/>
          <w:sz w:val="22"/>
          <w:szCs w:val="22"/>
        </w:rPr>
      </w:pPr>
      <w:r w:rsidRPr="005A3DA8">
        <w:rPr>
          <w:rFonts w:ascii="Arial" w:hAnsi="Arial" w:cs="Arial"/>
          <w:b/>
          <w:bCs/>
          <w:sz w:val="22"/>
          <w:szCs w:val="22"/>
        </w:rPr>
        <w:t>Types covered:</w:t>
      </w:r>
      <w:r w:rsidRPr="005A3DA8">
        <w:rPr>
          <w:rFonts w:ascii="Arial" w:hAnsi="Arial" w:cs="Arial"/>
          <w:sz w:val="22"/>
          <w:szCs w:val="22"/>
        </w:rPr>
        <w:t xml:space="preserve"> Compact fluorescent lamps (CFLs), fluorescent tube lights, mercury thermometers, mercury thermostats, blood pressure devices with mercury, old mercury switches, and barometers.</w:t>
      </w:r>
    </w:p>
    <w:p w14:paraId="0DC67F30"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they are hazardous:</w:t>
      </w:r>
      <w:r w:rsidRPr="005A3DA8">
        <w:rPr>
          <w:rFonts w:ascii="Arial" w:hAnsi="Arial" w:cs="Arial"/>
          <w:sz w:val="22"/>
          <w:szCs w:val="22"/>
        </w:rPr>
        <w:t xml:space="preserve"> Fluorescent bulbs and many older measuring devices contain mercury, a potent neurotoxin. When broken or landfilled, mercury vaporizes and enters the air, or leaches into soil and water where it converts into methylmercury — a form that accumulates in fish and works its way up the food chain to humans. Even a small amount of mercury can contaminate a large body of water.</w:t>
      </w:r>
    </w:p>
    <w:p w14:paraId="1309FCD4" w14:textId="77777777" w:rsidR="005A3DA8" w:rsidRPr="005A3DA8" w:rsidRDefault="005A3DA8" w:rsidP="005A3DA8">
      <w:pPr>
        <w:rPr>
          <w:rFonts w:ascii="Arial" w:hAnsi="Arial" w:cs="Arial"/>
          <w:sz w:val="22"/>
          <w:szCs w:val="22"/>
        </w:rPr>
      </w:pPr>
      <w:r w:rsidRPr="005A3DA8">
        <w:rPr>
          <w:rFonts w:ascii="Arial" w:hAnsi="Arial" w:cs="Arial"/>
          <w:b/>
          <w:bCs/>
          <w:sz w:val="22"/>
          <w:szCs w:val="22"/>
        </w:rPr>
        <w:t>Accepted items:</w:t>
      </w:r>
      <w:r w:rsidRPr="005A3DA8">
        <w:rPr>
          <w:rFonts w:ascii="Arial" w:hAnsi="Arial" w:cs="Arial"/>
          <w:sz w:val="22"/>
          <w:szCs w:val="22"/>
        </w:rPr>
        <w:t xml:space="preserve"> Intact or broken fluorescent bulbs (broken ones must be sealed in a plastic bag), mercury thermometers, and any mercury-containing device.</w:t>
      </w:r>
    </w:p>
    <w:p w14:paraId="013500D3" w14:textId="77777777" w:rsidR="005A3DA8" w:rsidRPr="005A3DA8" w:rsidRDefault="005A3DA8" w:rsidP="005A3DA8">
      <w:pPr>
        <w:rPr>
          <w:rFonts w:ascii="Arial" w:hAnsi="Arial" w:cs="Arial"/>
          <w:sz w:val="22"/>
          <w:szCs w:val="22"/>
        </w:rPr>
      </w:pPr>
      <w:r w:rsidRPr="005A3DA8">
        <w:rPr>
          <w:rFonts w:ascii="Arial" w:hAnsi="Arial" w:cs="Arial"/>
          <w:b/>
          <w:bCs/>
          <w:sz w:val="22"/>
          <w:szCs w:val="22"/>
        </w:rPr>
        <w:t>How to prepare:</w:t>
      </w:r>
      <w:r w:rsidRPr="005A3DA8">
        <w:rPr>
          <w:rFonts w:ascii="Arial" w:hAnsi="Arial" w:cs="Arial"/>
          <w:sz w:val="22"/>
          <w:szCs w:val="22"/>
        </w:rPr>
        <w:t xml:space="preserve"> If a fluorescent bulb breaks, do not vacuum the area immediately — this spreads mercury vapor. Open windows and leave the room for at least 15 minutes. Use stiff cardboard to scoop up the pieces, place them in a sealed plastic bag, and bring to a hazardous </w:t>
      </w:r>
      <w:r w:rsidRPr="005A3DA8">
        <w:rPr>
          <w:rFonts w:ascii="Arial" w:hAnsi="Arial" w:cs="Arial"/>
          <w:sz w:val="22"/>
          <w:szCs w:val="22"/>
        </w:rPr>
        <w:lastRenderedPageBreak/>
        <w:t>waste drop-off. Transport intact bulbs carefully in their original packaging or wrap them in newspaper and place in a rigid box to prevent breakage during transport.</w:t>
      </w:r>
    </w:p>
    <w:p w14:paraId="696D4DC8" w14:textId="77777777" w:rsidR="005A3DA8" w:rsidRPr="005A3DA8" w:rsidRDefault="005A3DA8" w:rsidP="005A3DA8">
      <w:pPr>
        <w:rPr>
          <w:rFonts w:ascii="Arial" w:hAnsi="Arial" w:cs="Arial"/>
          <w:sz w:val="22"/>
          <w:szCs w:val="22"/>
        </w:rPr>
      </w:pPr>
      <w:r w:rsidRPr="005A3DA8">
        <w:rPr>
          <w:rFonts w:ascii="Arial" w:hAnsi="Arial" w:cs="Arial"/>
          <w:b/>
          <w:bCs/>
          <w:sz w:val="22"/>
          <w:szCs w:val="22"/>
        </w:rPr>
        <w:t>Why it matters:</w:t>
      </w:r>
      <w:r w:rsidRPr="005A3DA8">
        <w:rPr>
          <w:rFonts w:ascii="Arial" w:hAnsi="Arial" w:cs="Arial"/>
          <w:sz w:val="22"/>
          <w:szCs w:val="22"/>
        </w:rPr>
        <w:t xml:space="preserve"> One fluorescent bulb contains enough mercury to contaminate 30,000 liters of water. Switching to LED lighting eliminates this hazard entirely, as LEDs contain no mercury. However, existing fluorescent bulbs must still be disposed of responsibly until they are fully phased out.</w:t>
      </w:r>
    </w:p>
    <w:p w14:paraId="214DD52A" w14:textId="11B89CAB" w:rsidR="005A3DA8" w:rsidRPr="005A3DA8" w:rsidRDefault="005A3DA8" w:rsidP="005A3DA8">
      <w:pPr>
        <w:rPr>
          <w:rFonts w:ascii="Arial" w:hAnsi="Arial" w:cs="Arial"/>
          <w:sz w:val="22"/>
          <w:szCs w:val="22"/>
        </w:rPr>
      </w:pPr>
    </w:p>
    <w:p w14:paraId="41F77397"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GENERAL REMINDERS</w:t>
      </w:r>
    </w:p>
    <w:p w14:paraId="4D1A3EB2"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Never mix hazardous materials.</w:t>
      </w:r>
      <w:r w:rsidRPr="005A3DA8">
        <w:rPr>
          <w:rFonts w:ascii="Arial" w:hAnsi="Arial" w:cs="Arial"/>
          <w:sz w:val="22"/>
          <w:szCs w:val="22"/>
        </w:rPr>
        <w:t xml:space="preserve"> Combining different chemicals can cause dangerous reactions including fires, explosions, and toxic gas release.</w:t>
      </w:r>
    </w:p>
    <w:p w14:paraId="02E42083"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Always use original containers.</w:t>
      </w:r>
      <w:r w:rsidRPr="005A3DA8">
        <w:rPr>
          <w:rFonts w:ascii="Arial" w:hAnsi="Arial" w:cs="Arial"/>
          <w:sz w:val="22"/>
          <w:szCs w:val="22"/>
        </w:rPr>
        <w:t xml:space="preserve"> Labels carry critical safety information. Never transfer hazardous materials to unlabeled or food containers.</w:t>
      </w:r>
    </w:p>
    <w:p w14:paraId="04C00002"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Keep out of reach of children.</w:t>
      </w:r>
      <w:r w:rsidRPr="005A3DA8">
        <w:rPr>
          <w:rFonts w:ascii="Arial" w:hAnsi="Arial" w:cs="Arial"/>
          <w:sz w:val="22"/>
          <w:szCs w:val="22"/>
        </w:rPr>
        <w:t xml:space="preserve"> Store all hazardous materials in locked or elevated cabinets. Child-resistant caps are a safeguard, not a guarantee.</w:t>
      </w:r>
    </w:p>
    <w:p w14:paraId="54CD0BF8"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Do not hoard hazardous waste.</w:t>
      </w:r>
      <w:r w:rsidRPr="005A3DA8">
        <w:rPr>
          <w:rFonts w:ascii="Arial" w:hAnsi="Arial" w:cs="Arial"/>
          <w:sz w:val="22"/>
          <w:szCs w:val="22"/>
        </w:rPr>
        <w:t xml:space="preserve"> The longer hazardous materials are stored at home, the greater the risk of accidents. Bring them to a collection point as soon as possible.</w:t>
      </w:r>
    </w:p>
    <w:p w14:paraId="5950FF40"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Look for collection events.</w:t>
      </w:r>
      <w:r w:rsidRPr="005A3DA8">
        <w:rPr>
          <w:rFonts w:ascii="Arial" w:hAnsi="Arial" w:cs="Arial"/>
          <w:sz w:val="22"/>
          <w:szCs w:val="22"/>
        </w:rPr>
        <w:t xml:space="preserve"> Many local governments hold free hazardous waste collection days. Check your local environment or waste management office for schedules.</w:t>
      </w:r>
    </w:p>
    <w:p w14:paraId="135D26D3"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Protect waste workers.</w:t>
      </w:r>
      <w:r w:rsidRPr="005A3DA8">
        <w:rPr>
          <w:rFonts w:ascii="Arial" w:hAnsi="Arial" w:cs="Arial"/>
          <w:sz w:val="22"/>
          <w:szCs w:val="22"/>
        </w:rPr>
        <w:t xml:space="preserve"> Improperly disposed hazardous materials directly endanger the health and safety of sanitation workers, sorters, and recycling facility staff.</w:t>
      </w:r>
    </w:p>
    <w:p w14:paraId="77A727B1" w14:textId="77777777" w:rsidR="005A3DA8" w:rsidRPr="005A3DA8" w:rsidRDefault="005A3DA8" w:rsidP="005A3DA8">
      <w:pPr>
        <w:numPr>
          <w:ilvl w:val="0"/>
          <w:numId w:val="1"/>
        </w:numPr>
        <w:rPr>
          <w:rFonts w:ascii="Arial" w:hAnsi="Arial" w:cs="Arial"/>
          <w:sz w:val="22"/>
          <w:szCs w:val="22"/>
        </w:rPr>
      </w:pPr>
      <w:r w:rsidRPr="005A3DA8">
        <w:rPr>
          <w:rFonts w:ascii="Arial" w:hAnsi="Arial" w:cs="Arial"/>
          <w:b/>
          <w:bCs/>
          <w:sz w:val="22"/>
          <w:szCs w:val="22"/>
        </w:rPr>
        <w:t>When in doubt, ask.</w:t>
      </w:r>
      <w:r w:rsidRPr="005A3DA8">
        <w:rPr>
          <w:rFonts w:ascii="Arial" w:hAnsi="Arial" w:cs="Arial"/>
          <w:sz w:val="22"/>
          <w:szCs w:val="22"/>
        </w:rPr>
        <w:t xml:space="preserve"> Contact your local solid waste management office, pharmacy, or environmental agency for guidance on items not covered in this guide.</w:t>
      </w:r>
    </w:p>
    <w:p w14:paraId="62AAB699" w14:textId="0A4EF278" w:rsidR="005A3DA8" w:rsidRPr="005A3DA8" w:rsidRDefault="005A3DA8" w:rsidP="005A3DA8">
      <w:pPr>
        <w:rPr>
          <w:rFonts w:ascii="Arial" w:hAnsi="Arial" w:cs="Arial"/>
          <w:sz w:val="22"/>
          <w:szCs w:val="22"/>
        </w:rPr>
      </w:pPr>
    </w:p>
    <w:p w14:paraId="4A2BEAD1"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295"/>
        <w:gridCol w:w="1515"/>
        <w:gridCol w:w="2269"/>
      </w:tblGrid>
      <w:tr w:rsidR="005A3DA8" w:rsidRPr="005A3DA8" w14:paraId="7CA57B40" w14:textId="77777777">
        <w:trPr>
          <w:tblHeader/>
          <w:tblCellSpacing w:w="15" w:type="dxa"/>
        </w:trPr>
        <w:tc>
          <w:tcPr>
            <w:tcW w:w="0" w:type="auto"/>
            <w:vAlign w:val="center"/>
            <w:hideMark/>
          </w:tcPr>
          <w:p w14:paraId="11DC2899"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Material</w:t>
            </w:r>
          </w:p>
        </w:tc>
        <w:tc>
          <w:tcPr>
            <w:tcW w:w="0" w:type="auto"/>
            <w:vAlign w:val="center"/>
            <w:hideMark/>
          </w:tcPr>
          <w:p w14:paraId="460E32CC"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Regular Bin</w:t>
            </w:r>
          </w:p>
        </w:tc>
        <w:tc>
          <w:tcPr>
            <w:tcW w:w="0" w:type="auto"/>
            <w:vAlign w:val="center"/>
            <w:hideMark/>
          </w:tcPr>
          <w:p w14:paraId="29BFA54F"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Recycling Bin</w:t>
            </w:r>
          </w:p>
        </w:tc>
        <w:tc>
          <w:tcPr>
            <w:tcW w:w="0" w:type="auto"/>
            <w:vAlign w:val="center"/>
            <w:hideMark/>
          </w:tcPr>
          <w:p w14:paraId="3835A270" w14:textId="77777777" w:rsidR="005A3DA8" w:rsidRPr="005A3DA8" w:rsidRDefault="005A3DA8" w:rsidP="005A3DA8">
            <w:pPr>
              <w:rPr>
                <w:rFonts w:ascii="Arial" w:hAnsi="Arial" w:cs="Arial"/>
                <w:b/>
                <w:bCs/>
                <w:sz w:val="22"/>
                <w:szCs w:val="22"/>
              </w:rPr>
            </w:pPr>
            <w:r w:rsidRPr="005A3DA8">
              <w:rPr>
                <w:rFonts w:ascii="Arial" w:hAnsi="Arial" w:cs="Arial"/>
                <w:b/>
                <w:bCs/>
                <w:sz w:val="22"/>
                <w:szCs w:val="22"/>
              </w:rPr>
              <w:t>Hazardous Drop-Off</w:t>
            </w:r>
          </w:p>
        </w:tc>
      </w:tr>
      <w:tr w:rsidR="005A3DA8" w:rsidRPr="005A3DA8" w14:paraId="578DAAAB" w14:textId="77777777">
        <w:trPr>
          <w:tblCellSpacing w:w="15" w:type="dxa"/>
        </w:trPr>
        <w:tc>
          <w:tcPr>
            <w:tcW w:w="0" w:type="auto"/>
            <w:vAlign w:val="center"/>
            <w:hideMark/>
          </w:tcPr>
          <w:p w14:paraId="73763AE9" w14:textId="77777777" w:rsidR="005A3DA8" w:rsidRPr="005A3DA8" w:rsidRDefault="005A3DA8" w:rsidP="005A3DA8">
            <w:pPr>
              <w:rPr>
                <w:rFonts w:ascii="Arial" w:hAnsi="Arial" w:cs="Arial"/>
                <w:sz w:val="22"/>
                <w:szCs w:val="22"/>
              </w:rPr>
            </w:pPr>
            <w:r w:rsidRPr="005A3DA8">
              <w:rPr>
                <w:rFonts w:ascii="Arial" w:hAnsi="Arial" w:cs="Arial"/>
                <w:sz w:val="22"/>
                <w:szCs w:val="22"/>
              </w:rPr>
              <w:t>Alkaline batteries</w:t>
            </w:r>
          </w:p>
        </w:tc>
        <w:tc>
          <w:tcPr>
            <w:tcW w:w="0" w:type="auto"/>
            <w:vAlign w:val="center"/>
            <w:hideMark/>
          </w:tcPr>
          <w:p w14:paraId="19BEF5CE"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DE8AEBC"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72844666"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2F10D7FA" w14:textId="77777777">
        <w:trPr>
          <w:tblCellSpacing w:w="15" w:type="dxa"/>
        </w:trPr>
        <w:tc>
          <w:tcPr>
            <w:tcW w:w="0" w:type="auto"/>
            <w:vAlign w:val="center"/>
            <w:hideMark/>
          </w:tcPr>
          <w:p w14:paraId="70D94673" w14:textId="77777777" w:rsidR="005A3DA8" w:rsidRPr="005A3DA8" w:rsidRDefault="005A3DA8" w:rsidP="005A3DA8">
            <w:pPr>
              <w:rPr>
                <w:rFonts w:ascii="Arial" w:hAnsi="Arial" w:cs="Arial"/>
                <w:sz w:val="22"/>
                <w:szCs w:val="22"/>
              </w:rPr>
            </w:pPr>
            <w:r w:rsidRPr="005A3DA8">
              <w:rPr>
                <w:rFonts w:ascii="Arial" w:hAnsi="Arial" w:cs="Arial"/>
                <w:sz w:val="22"/>
                <w:szCs w:val="22"/>
              </w:rPr>
              <w:t>Lithium-ion batteries</w:t>
            </w:r>
          </w:p>
        </w:tc>
        <w:tc>
          <w:tcPr>
            <w:tcW w:w="0" w:type="auto"/>
            <w:vAlign w:val="center"/>
            <w:hideMark/>
          </w:tcPr>
          <w:p w14:paraId="5A708BEF"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2AB527DE"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02C7338A"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3CB40672" w14:textId="77777777">
        <w:trPr>
          <w:tblCellSpacing w:w="15" w:type="dxa"/>
        </w:trPr>
        <w:tc>
          <w:tcPr>
            <w:tcW w:w="0" w:type="auto"/>
            <w:vAlign w:val="center"/>
            <w:hideMark/>
          </w:tcPr>
          <w:p w14:paraId="343A570F" w14:textId="77777777" w:rsidR="005A3DA8" w:rsidRPr="005A3DA8" w:rsidRDefault="005A3DA8" w:rsidP="005A3DA8">
            <w:pPr>
              <w:rPr>
                <w:rFonts w:ascii="Arial" w:hAnsi="Arial" w:cs="Arial"/>
                <w:sz w:val="22"/>
                <w:szCs w:val="22"/>
              </w:rPr>
            </w:pPr>
            <w:r w:rsidRPr="005A3DA8">
              <w:rPr>
                <w:rFonts w:ascii="Arial" w:hAnsi="Arial" w:cs="Arial"/>
                <w:sz w:val="22"/>
                <w:szCs w:val="22"/>
              </w:rPr>
              <w:t>Mobile phones</w:t>
            </w:r>
          </w:p>
        </w:tc>
        <w:tc>
          <w:tcPr>
            <w:tcW w:w="0" w:type="auto"/>
            <w:vAlign w:val="center"/>
            <w:hideMark/>
          </w:tcPr>
          <w:p w14:paraId="3D2A9EA2"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271491EF"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5B2F3293"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10DF2B65" w14:textId="77777777">
        <w:trPr>
          <w:tblCellSpacing w:w="15" w:type="dxa"/>
        </w:trPr>
        <w:tc>
          <w:tcPr>
            <w:tcW w:w="0" w:type="auto"/>
            <w:vAlign w:val="center"/>
            <w:hideMark/>
          </w:tcPr>
          <w:p w14:paraId="61682378" w14:textId="77777777" w:rsidR="005A3DA8" w:rsidRPr="005A3DA8" w:rsidRDefault="005A3DA8" w:rsidP="005A3DA8">
            <w:pPr>
              <w:rPr>
                <w:rFonts w:ascii="Arial" w:hAnsi="Arial" w:cs="Arial"/>
                <w:sz w:val="22"/>
                <w:szCs w:val="22"/>
              </w:rPr>
            </w:pPr>
            <w:r w:rsidRPr="005A3DA8">
              <w:rPr>
                <w:rFonts w:ascii="Arial" w:hAnsi="Arial" w:cs="Arial"/>
                <w:sz w:val="22"/>
                <w:szCs w:val="22"/>
              </w:rPr>
              <w:t>Laptops and computers</w:t>
            </w:r>
          </w:p>
        </w:tc>
        <w:tc>
          <w:tcPr>
            <w:tcW w:w="0" w:type="auto"/>
            <w:vAlign w:val="center"/>
            <w:hideMark/>
          </w:tcPr>
          <w:p w14:paraId="7325AD8C"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077FD6D6"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E6196B3"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5B2180DF" w14:textId="77777777">
        <w:trPr>
          <w:tblCellSpacing w:w="15" w:type="dxa"/>
        </w:trPr>
        <w:tc>
          <w:tcPr>
            <w:tcW w:w="0" w:type="auto"/>
            <w:vAlign w:val="center"/>
            <w:hideMark/>
          </w:tcPr>
          <w:p w14:paraId="5C90776A" w14:textId="77777777" w:rsidR="005A3DA8" w:rsidRPr="005A3DA8" w:rsidRDefault="005A3DA8" w:rsidP="005A3DA8">
            <w:pPr>
              <w:rPr>
                <w:rFonts w:ascii="Arial" w:hAnsi="Arial" w:cs="Arial"/>
                <w:sz w:val="22"/>
                <w:szCs w:val="22"/>
              </w:rPr>
            </w:pPr>
            <w:r w:rsidRPr="005A3DA8">
              <w:rPr>
                <w:rFonts w:ascii="Arial" w:hAnsi="Arial" w:cs="Arial"/>
                <w:sz w:val="22"/>
                <w:szCs w:val="22"/>
              </w:rPr>
              <w:t>Oil-based paint</w:t>
            </w:r>
          </w:p>
        </w:tc>
        <w:tc>
          <w:tcPr>
            <w:tcW w:w="0" w:type="auto"/>
            <w:vAlign w:val="center"/>
            <w:hideMark/>
          </w:tcPr>
          <w:p w14:paraId="2D42006A"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5816B35B"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79EB8385"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5CB4E04D" w14:textId="77777777">
        <w:trPr>
          <w:tblCellSpacing w:w="15" w:type="dxa"/>
        </w:trPr>
        <w:tc>
          <w:tcPr>
            <w:tcW w:w="0" w:type="auto"/>
            <w:vAlign w:val="center"/>
            <w:hideMark/>
          </w:tcPr>
          <w:p w14:paraId="2F59D915" w14:textId="77777777" w:rsidR="005A3DA8" w:rsidRPr="005A3DA8" w:rsidRDefault="005A3DA8" w:rsidP="005A3DA8">
            <w:pPr>
              <w:rPr>
                <w:rFonts w:ascii="Arial" w:hAnsi="Arial" w:cs="Arial"/>
                <w:sz w:val="22"/>
                <w:szCs w:val="22"/>
              </w:rPr>
            </w:pPr>
            <w:r w:rsidRPr="005A3DA8">
              <w:rPr>
                <w:rFonts w:ascii="Arial" w:hAnsi="Arial" w:cs="Arial"/>
                <w:sz w:val="22"/>
                <w:szCs w:val="22"/>
              </w:rPr>
              <w:lastRenderedPageBreak/>
              <w:t>Latex paint (wet)</w:t>
            </w:r>
          </w:p>
        </w:tc>
        <w:tc>
          <w:tcPr>
            <w:tcW w:w="0" w:type="auto"/>
            <w:vAlign w:val="center"/>
            <w:hideMark/>
          </w:tcPr>
          <w:p w14:paraId="24E9CDF3"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388EBC85"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56E2FA9B"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0E848B8F" w14:textId="77777777">
        <w:trPr>
          <w:tblCellSpacing w:w="15" w:type="dxa"/>
        </w:trPr>
        <w:tc>
          <w:tcPr>
            <w:tcW w:w="0" w:type="auto"/>
            <w:vAlign w:val="center"/>
            <w:hideMark/>
          </w:tcPr>
          <w:p w14:paraId="220DDB91" w14:textId="77777777" w:rsidR="005A3DA8" w:rsidRPr="005A3DA8" w:rsidRDefault="005A3DA8" w:rsidP="005A3DA8">
            <w:pPr>
              <w:rPr>
                <w:rFonts w:ascii="Arial" w:hAnsi="Arial" w:cs="Arial"/>
                <w:sz w:val="22"/>
                <w:szCs w:val="22"/>
              </w:rPr>
            </w:pPr>
            <w:r w:rsidRPr="005A3DA8">
              <w:rPr>
                <w:rFonts w:ascii="Arial" w:hAnsi="Arial" w:cs="Arial"/>
                <w:sz w:val="22"/>
                <w:szCs w:val="22"/>
              </w:rPr>
              <w:t>Prescription medicines</w:t>
            </w:r>
          </w:p>
        </w:tc>
        <w:tc>
          <w:tcPr>
            <w:tcW w:w="0" w:type="auto"/>
            <w:vAlign w:val="center"/>
            <w:hideMark/>
          </w:tcPr>
          <w:p w14:paraId="08AD0B3E"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7194FA86"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7B5BDEF0" w14:textId="77777777" w:rsidR="005A3DA8" w:rsidRPr="005A3DA8" w:rsidRDefault="005A3DA8" w:rsidP="005A3DA8">
            <w:pPr>
              <w:rPr>
                <w:rFonts w:ascii="Arial" w:hAnsi="Arial" w:cs="Arial"/>
                <w:sz w:val="22"/>
                <w:szCs w:val="22"/>
              </w:rPr>
            </w:pPr>
            <w:r w:rsidRPr="005A3DA8">
              <w:rPr>
                <w:rFonts w:ascii="Arial" w:hAnsi="Arial" w:cs="Arial"/>
                <w:sz w:val="22"/>
                <w:szCs w:val="22"/>
              </w:rPr>
              <w:t>Yes (pharmacy)</w:t>
            </w:r>
          </w:p>
        </w:tc>
      </w:tr>
      <w:tr w:rsidR="005A3DA8" w:rsidRPr="005A3DA8" w14:paraId="473DCC98" w14:textId="77777777">
        <w:trPr>
          <w:tblCellSpacing w:w="15" w:type="dxa"/>
        </w:trPr>
        <w:tc>
          <w:tcPr>
            <w:tcW w:w="0" w:type="auto"/>
            <w:vAlign w:val="center"/>
            <w:hideMark/>
          </w:tcPr>
          <w:p w14:paraId="0DEAB5DC" w14:textId="77777777" w:rsidR="005A3DA8" w:rsidRPr="005A3DA8" w:rsidRDefault="005A3DA8" w:rsidP="005A3DA8">
            <w:pPr>
              <w:rPr>
                <w:rFonts w:ascii="Arial" w:hAnsi="Arial" w:cs="Arial"/>
                <w:sz w:val="22"/>
                <w:szCs w:val="22"/>
              </w:rPr>
            </w:pPr>
            <w:r w:rsidRPr="005A3DA8">
              <w:rPr>
                <w:rFonts w:ascii="Arial" w:hAnsi="Arial" w:cs="Arial"/>
                <w:sz w:val="22"/>
                <w:szCs w:val="22"/>
              </w:rPr>
              <w:t>Syringes and sharps</w:t>
            </w:r>
          </w:p>
        </w:tc>
        <w:tc>
          <w:tcPr>
            <w:tcW w:w="0" w:type="auto"/>
            <w:vAlign w:val="center"/>
            <w:hideMark/>
          </w:tcPr>
          <w:p w14:paraId="004F6249"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007A4831"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6E301FB8" w14:textId="77777777" w:rsidR="005A3DA8" w:rsidRPr="005A3DA8" w:rsidRDefault="005A3DA8" w:rsidP="005A3DA8">
            <w:pPr>
              <w:rPr>
                <w:rFonts w:ascii="Arial" w:hAnsi="Arial" w:cs="Arial"/>
                <w:sz w:val="22"/>
                <w:szCs w:val="22"/>
              </w:rPr>
            </w:pPr>
            <w:r w:rsidRPr="005A3DA8">
              <w:rPr>
                <w:rFonts w:ascii="Arial" w:hAnsi="Arial" w:cs="Arial"/>
                <w:sz w:val="22"/>
                <w:szCs w:val="22"/>
              </w:rPr>
              <w:t>Yes (sharps container)</w:t>
            </w:r>
          </w:p>
        </w:tc>
      </w:tr>
      <w:tr w:rsidR="005A3DA8" w:rsidRPr="005A3DA8" w14:paraId="72B3D768" w14:textId="77777777">
        <w:trPr>
          <w:tblCellSpacing w:w="15" w:type="dxa"/>
        </w:trPr>
        <w:tc>
          <w:tcPr>
            <w:tcW w:w="0" w:type="auto"/>
            <w:vAlign w:val="center"/>
            <w:hideMark/>
          </w:tcPr>
          <w:p w14:paraId="28DEADED" w14:textId="77777777" w:rsidR="005A3DA8" w:rsidRPr="005A3DA8" w:rsidRDefault="005A3DA8" w:rsidP="005A3DA8">
            <w:pPr>
              <w:rPr>
                <w:rFonts w:ascii="Arial" w:hAnsi="Arial" w:cs="Arial"/>
                <w:sz w:val="22"/>
                <w:szCs w:val="22"/>
              </w:rPr>
            </w:pPr>
            <w:r w:rsidRPr="005A3DA8">
              <w:rPr>
                <w:rFonts w:ascii="Arial" w:hAnsi="Arial" w:cs="Arial"/>
                <w:sz w:val="22"/>
                <w:szCs w:val="22"/>
              </w:rPr>
              <w:t>Bleach and cleaners</w:t>
            </w:r>
          </w:p>
        </w:tc>
        <w:tc>
          <w:tcPr>
            <w:tcW w:w="0" w:type="auto"/>
            <w:vAlign w:val="center"/>
            <w:hideMark/>
          </w:tcPr>
          <w:p w14:paraId="01C31440"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33EC82BD"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13605BF1"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1DCF0B36" w14:textId="77777777">
        <w:trPr>
          <w:tblCellSpacing w:w="15" w:type="dxa"/>
        </w:trPr>
        <w:tc>
          <w:tcPr>
            <w:tcW w:w="0" w:type="auto"/>
            <w:vAlign w:val="center"/>
            <w:hideMark/>
          </w:tcPr>
          <w:p w14:paraId="785BAD16" w14:textId="77777777" w:rsidR="005A3DA8" w:rsidRPr="005A3DA8" w:rsidRDefault="005A3DA8" w:rsidP="005A3DA8">
            <w:pPr>
              <w:rPr>
                <w:rFonts w:ascii="Arial" w:hAnsi="Arial" w:cs="Arial"/>
                <w:sz w:val="22"/>
                <w:szCs w:val="22"/>
              </w:rPr>
            </w:pPr>
            <w:r w:rsidRPr="005A3DA8">
              <w:rPr>
                <w:rFonts w:ascii="Arial" w:hAnsi="Arial" w:cs="Arial"/>
                <w:sz w:val="22"/>
                <w:szCs w:val="22"/>
              </w:rPr>
              <w:t>Pesticides</w:t>
            </w:r>
          </w:p>
        </w:tc>
        <w:tc>
          <w:tcPr>
            <w:tcW w:w="0" w:type="auto"/>
            <w:vAlign w:val="center"/>
            <w:hideMark/>
          </w:tcPr>
          <w:p w14:paraId="700C0C04"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1935EC5E"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4B98FD1"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6DA93557" w14:textId="77777777">
        <w:trPr>
          <w:tblCellSpacing w:w="15" w:type="dxa"/>
        </w:trPr>
        <w:tc>
          <w:tcPr>
            <w:tcW w:w="0" w:type="auto"/>
            <w:vAlign w:val="center"/>
            <w:hideMark/>
          </w:tcPr>
          <w:p w14:paraId="2AEDD8A1" w14:textId="77777777" w:rsidR="005A3DA8" w:rsidRPr="005A3DA8" w:rsidRDefault="005A3DA8" w:rsidP="005A3DA8">
            <w:pPr>
              <w:rPr>
                <w:rFonts w:ascii="Arial" w:hAnsi="Arial" w:cs="Arial"/>
                <w:sz w:val="22"/>
                <w:szCs w:val="22"/>
              </w:rPr>
            </w:pPr>
            <w:r w:rsidRPr="005A3DA8">
              <w:rPr>
                <w:rFonts w:ascii="Arial" w:hAnsi="Arial" w:cs="Arial"/>
                <w:sz w:val="22"/>
                <w:szCs w:val="22"/>
              </w:rPr>
              <w:t>Fluorescent bulbs</w:t>
            </w:r>
          </w:p>
        </w:tc>
        <w:tc>
          <w:tcPr>
            <w:tcW w:w="0" w:type="auto"/>
            <w:vAlign w:val="center"/>
            <w:hideMark/>
          </w:tcPr>
          <w:p w14:paraId="019C734E"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6A003081"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2451B569"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623B8396" w14:textId="77777777">
        <w:trPr>
          <w:tblCellSpacing w:w="15" w:type="dxa"/>
        </w:trPr>
        <w:tc>
          <w:tcPr>
            <w:tcW w:w="0" w:type="auto"/>
            <w:vAlign w:val="center"/>
            <w:hideMark/>
          </w:tcPr>
          <w:p w14:paraId="0F702D4A" w14:textId="77777777" w:rsidR="005A3DA8" w:rsidRPr="005A3DA8" w:rsidRDefault="005A3DA8" w:rsidP="005A3DA8">
            <w:pPr>
              <w:rPr>
                <w:rFonts w:ascii="Arial" w:hAnsi="Arial" w:cs="Arial"/>
                <w:sz w:val="22"/>
                <w:szCs w:val="22"/>
              </w:rPr>
            </w:pPr>
            <w:r w:rsidRPr="005A3DA8">
              <w:rPr>
                <w:rFonts w:ascii="Arial" w:hAnsi="Arial" w:cs="Arial"/>
                <w:sz w:val="22"/>
                <w:szCs w:val="22"/>
              </w:rPr>
              <w:t>Propane cylinders</w:t>
            </w:r>
          </w:p>
        </w:tc>
        <w:tc>
          <w:tcPr>
            <w:tcW w:w="0" w:type="auto"/>
            <w:vAlign w:val="center"/>
            <w:hideMark/>
          </w:tcPr>
          <w:p w14:paraId="5D862BE6"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7F4F0359"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154063A6" w14:textId="77777777" w:rsidR="005A3DA8" w:rsidRPr="005A3DA8" w:rsidRDefault="005A3DA8" w:rsidP="005A3DA8">
            <w:pPr>
              <w:rPr>
                <w:rFonts w:ascii="Arial" w:hAnsi="Arial" w:cs="Arial"/>
                <w:sz w:val="22"/>
                <w:szCs w:val="22"/>
              </w:rPr>
            </w:pPr>
            <w:r w:rsidRPr="005A3DA8">
              <w:rPr>
                <w:rFonts w:ascii="Arial" w:hAnsi="Arial" w:cs="Arial"/>
                <w:sz w:val="22"/>
                <w:szCs w:val="22"/>
              </w:rPr>
              <w:t>Yes (retailer/facility)</w:t>
            </w:r>
          </w:p>
        </w:tc>
      </w:tr>
      <w:tr w:rsidR="005A3DA8" w:rsidRPr="005A3DA8" w14:paraId="7DFD3924" w14:textId="77777777">
        <w:trPr>
          <w:tblCellSpacing w:w="15" w:type="dxa"/>
        </w:trPr>
        <w:tc>
          <w:tcPr>
            <w:tcW w:w="0" w:type="auto"/>
            <w:vAlign w:val="center"/>
            <w:hideMark/>
          </w:tcPr>
          <w:p w14:paraId="2033F8BF" w14:textId="77777777" w:rsidR="005A3DA8" w:rsidRPr="005A3DA8" w:rsidRDefault="005A3DA8" w:rsidP="005A3DA8">
            <w:pPr>
              <w:rPr>
                <w:rFonts w:ascii="Arial" w:hAnsi="Arial" w:cs="Arial"/>
                <w:sz w:val="22"/>
                <w:szCs w:val="22"/>
              </w:rPr>
            </w:pPr>
            <w:r w:rsidRPr="005A3DA8">
              <w:rPr>
                <w:rFonts w:ascii="Arial" w:hAnsi="Arial" w:cs="Arial"/>
                <w:sz w:val="22"/>
                <w:szCs w:val="22"/>
              </w:rPr>
              <w:t>Automotive fluids</w:t>
            </w:r>
          </w:p>
        </w:tc>
        <w:tc>
          <w:tcPr>
            <w:tcW w:w="0" w:type="auto"/>
            <w:vAlign w:val="center"/>
            <w:hideMark/>
          </w:tcPr>
          <w:p w14:paraId="04DA7668"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BFD1E0A"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876508E"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r w:rsidR="005A3DA8" w:rsidRPr="005A3DA8" w14:paraId="48DC685F" w14:textId="77777777">
        <w:trPr>
          <w:tblCellSpacing w:w="15" w:type="dxa"/>
        </w:trPr>
        <w:tc>
          <w:tcPr>
            <w:tcW w:w="0" w:type="auto"/>
            <w:vAlign w:val="center"/>
            <w:hideMark/>
          </w:tcPr>
          <w:p w14:paraId="768606F2" w14:textId="77777777" w:rsidR="005A3DA8" w:rsidRPr="005A3DA8" w:rsidRDefault="005A3DA8" w:rsidP="005A3DA8">
            <w:pPr>
              <w:rPr>
                <w:rFonts w:ascii="Arial" w:hAnsi="Arial" w:cs="Arial"/>
                <w:sz w:val="22"/>
                <w:szCs w:val="22"/>
              </w:rPr>
            </w:pPr>
            <w:r w:rsidRPr="005A3DA8">
              <w:rPr>
                <w:rFonts w:ascii="Arial" w:hAnsi="Arial" w:cs="Arial"/>
                <w:sz w:val="22"/>
                <w:szCs w:val="22"/>
              </w:rPr>
              <w:t>Mercury thermometers</w:t>
            </w:r>
          </w:p>
        </w:tc>
        <w:tc>
          <w:tcPr>
            <w:tcW w:w="0" w:type="auto"/>
            <w:vAlign w:val="center"/>
            <w:hideMark/>
          </w:tcPr>
          <w:p w14:paraId="0EC56F46"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474A7F8F" w14:textId="77777777" w:rsidR="005A3DA8" w:rsidRPr="005A3DA8" w:rsidRDefault="005A3DA8" w:rsidP="005A3DA8">
            <w:pPr>
              <w:rPr>
                <w:rFonts w:ascii="Arial" w:hAnsi="Arial" w:cs="Arial"/>
                <w:sz w:val="22"/>
                <w:szCs w:val="22"/>
              </w:rPr>
            </w:pPr>
            <w:r w:rsidRPr="005A3DA8">
              <w:rPr>
                <w:rFonts w:ascii="Arial" w:hAnsi="Arial" w:cs="Arial"/>
                <w:sz w:val="22"/>
                <w:szCs w:val="22"/>
              </w:rPr>
              <w:t>No</w:t>
            </w:r>
          </w:p>
        </w:tc>
        <w:tc>
          <w:tcPr>
            <w:tcW w:w="0" w:type="auto"/>
            <w:vAlign w:val="center"/>
            <w:hideMark/>
          </w:tcPr>
          <w:p w14:paraId="100C7475" w14:textId="77777777" w:rsidR="005A3DA8" w:rsidRPr="005A3DA8" w:rsidRDefault="005A3DA8" w:rsidP="005A3DA8">
            <w:pPr>
              <w:rPr>
                <w:rFonts w:ascii="Arial" w:hAnsi="Arial" w:cs="Arial"/>
                <w:sz w:val="22"/>
                <w:szCs w:val="22"/>
              </w:rPr>
            </w:pPr>
            <w:r w:rsidRPr="005A3DA8">
              <w:rPr>
                <w:rFonts w:ascii="Arial" w:hAnsi="Arial" w:cs="Arial"/>
                <w:sz w:val="22"/>
                <w:szCs w:val="22"/>
              </w:rPr>
              <w:t>Yes</w:t>
            </w:r>
          </w:p>
        </w:tc>
      </w:tr>
    </w:tbl>
    <w:p w14:paraId="59102ABC" w14:textId="77777777" w:rsidR="00D35F76" w:rsidRDefault="00D35F76">
      <w:pPr>
        <w:rPr>
          <w:rFonts w:ascii="Arial" w:hAnsi="Arial" w:cs="Arial"/>
          <w:sz w:val="22"/>
          <w:szCs w:val="22"/>
        </w:rPr>
      </w:pPr>
    </w:p>
    <w:p w14:paraId="4BC564E8" w14:textId="72A45B9D" w:rsidR="00D81D1E" w:rsidRPr="00E577A0" w:rsidRDefault="00D81D1E" w:rsidP="00D81D1E">
      <w:pPr>
        <w:jc w:val="center"/>
        <w:rPr>
          <w:rFonts w:ascii="Arial" w:hAnsi="Arial" w:cs="Arial"/>
          <w:sz w:val="22"/>
          <w:szCs w:val="22"/>
        </w:rPr>
      </w:pPr>
      <w:r w:rsidRPr="00D81D1E">
        <w:rPr>
          <w:rFonts w:ascii="Arial" w:hAnsi="Arial" w:cs="Arial"/>
          <w:sz w:val="22"/>
          <w:szCs w:val="22"/>
        </w:rPr>
        <w:drawing>
          <wp:inline distT="0" distB="0" distL="0" distR="0" wp14:anchorId="265B9710" wp14:editId="5132DDF0">
            <wp:extent cx="1948543" cy="3488481"/>
            <wp:effectExtent l="0" t="0" r="0" b="0"/>
            <wp:docPr id="21141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9560" name=""/>
                    <pic:cNvPicPr/>
                  </pic:nvPicPr>
                  <pic:blipFill>
                    <a:blip r:embed="rId5"/>
                    <a:stretch>
                      <a:fillRect/>
                    </a:stretch>
                  </pic:blipFill>
                  <pic:spPr>
                    <a:xfrm>
                      <a:off x="0" y="0"/>
                      <a:ext cx="1948543" cy="3488481"/>
                    </a:xfrm>
                    <a:prstGeom prst="rect">
                      <a:avLst/>
                    </a:prstGeom>
                  </pic:spPr>
                </pic:pic>
              </a:graphicData>
            </a:graphic>
          </wp:inline>
        </w:drawing>
      </w:r>
    </w:p>
    <w:sectPr w:rsidR="00D81D1E" w:rsidRPr="00E577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66052"/>
    <w:multiLevelType w:val="multilevel"/>
    <w:tmpl w:val="D0E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4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76"/>
    <w:rsid w:val="0040470B"/>
    <w:rsid w:val="005A3DA8"/>
    <w:rsid w:val="00D35F76"/>
    <w:rsid w:val="00D81D1E"/>
    <w:rsid w:val="00E577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3C57"/>
  <w15:chartTrackingRefBased/>
  <w15:docId w15:val="{FBE981AE-D0B5-425B-927C-B62DD96D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F76"/>
    <w:rPr>
      <w:rFonts w:eastAsiaTheme="majorEastAsia" w:cstheme="majorBidi"/>
      <w:color w:val="272727" w:themeColor="text1" w:themeTint="D8"/>
    </w:rPr>
  </w:style>
  <w:style w:type="paragraph" w:styleId="Title">
    <w:name w:val="Title"/>
    <w:basedOn w:val="Normal"/>
    <w:next w:val="Normal"/>
    <w:link w:val="TitleChar"/>
    <w:uiPriority w:val="10"/>
    <w:qFormat/>
    <w:rsid w:val="00D35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F76"/>
    <w:pPr>
      <w:spacing w:before="160"/>
      <w:jc w:val="center"/>
    </w:pPr>
    <w:rPr>
      <w:i/>
      <w:iCs/>
      <w:color w:val="404040" w:themeColor="text1" w:themeTint="BF"/>
    </w:rPr>
  </w:style>
  <w:style w:type="character" w:customStyle="1" w:styleId="QuoteChar">
    <w:name w:val="Quote Char"/>
    <w:basedOn w:val="DefaultParagraphFont"/>
    <w:link w:val="Quote"/>
    <w:uiPriority w:val="29"/>
    <w:rsid w:val="00D35F76"/>
    <w:rPr>
      <w:i/>
      <w:iCs/>
      <w:color w:val="404040" w:themeColor="text1" w:themeTint="BF"/>
    </w:rPr>
  </w:style>
  <w:style w:type="paragraph" w:styleId="ListParagraph">
    <w:name w:val="List Paragraph"/>
    <w:basedOn w:val="Normal"/>
    <w:uiPriority w:val="34"/>
    <w:qFormat/>
    <w:rsid w:val="00D35F76"/>
    <w:pPr>
      <w:ind w:left="720"/>
      <w:contextualSpacing/>
    </w:pPr>
  </w:style>
  <w:style w:type="character" w:styleId="IntenseEmphasis">
    <w:name w:val="Intense Emphasis"/>
    <w:basedOn w:val="DefaultParagraphFont"/>
    <w:uiPriority w:val="21"/>
    <w:qFormat/>
    <w:rsid w:val="00D35F76"/>
    <w:rPr>
      <w:i/>
      <w:iCs/>
      <w:color w:val="2F5496" w:themeColor="accent1" w:themeShade="BF"/>
    </w:rPr>
  </w:style>
  <w:style w:type="paragraph" w:styleId="IntenseQuote">
    <w:name w:val="Intense Quote"/>
    <w:basedOn w:val="Normal"/>
    <w:next w:val="Normal"/>
    <w:link w:val="IntenseQuoteChar"/>
    <w:uiPriority w:val="30"/>
    <w:qFormat/>
    <w:rsid w:val="00D35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F76"/>
    <w:rPr>
      <w:i/>
      <w:iCs/>
      <w:color w:val="2F5496" w:themeColor="accent1" w:themeShade="BF"/>
    </w:rPr>
  </w:style>
  <w:style w:type="character" w:styleId="IntenseReference">
    <w:name w:val="Intense Reference"/>
    <w:basedOn w:val="DefaultParagraphFont"/>
    <w:uiPriority w:val="32"/>
    <w:qFormat/>
    <w:rsid w:val="00D35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2343</Words>
  <Characters>13361</Characters>
  <Application>Microsoft Office Word</Application>
  <DocSecurity>0</DocSecurity>
  <Lines>111</Lines>
  <Paragraphs>31</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4</cp:revision>
  <dcterms:created xsi:type="dcterms:W3CDTF">2026-04-18T10:56:00Z</dcterms:created>
  <dcterms:modified xsi:type="dcterms:W3CDTF">2026-04-18T11:10:00Z</dcterms:modified>
</cp:coreProperties>
</file>