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B4B"/>
          <w:sz w:val="48"/>
        </w:rPr>
        <w:t>Platform Governance &amp; Security Policy</w:t>
      </w:r>
    </w:p>
    <w:p>
      <w:pPr>
        <w:jc w:val="center"/>
      </w:pPr>
      <w:r>
        <w:rPr>
          <w:color w:val="58616E"/>
          <w:sz w:val="24"/>
        </w:rPr>
        <w:t>UTCP - Unified Travel Commerce Platform</w:t>
      </w:r>
    </w:p>
    <w:p>
      <w:pPr>
        <w:jc w:val="center"/>
      </w:pPr>
      <w:r>
        <w:rPr>
          <w:i/>
        </w:rPr>
        <w:t>Final enterprise documentation package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</w:tcPr>
          <w:p/>
          <w:p>
            <w:pPr>
              <w:pStyle w:val="ListBullet"/>
            </w:pPr>
            <w:r>
              <w:t>Governance baseline for access, AI, security, data, finance controls, backup and incident response</w:t>
            </w:r>
          </w:p>
          <w:p>
            <w:pPr>
              <w:pStyle w:val="ListBullet"/>
            </w:pPr>
            <w:r>
              <w:t>Designed for enterprise travel operations, compliance and resilience</w:t>
            </w:r>
          </w:p>
          <w:p>
            <w:pPr>
              <w:pStyle w:val="ListBullet"/>
            </w:pPr>
            <w:r>
              <w:t>Version: Final drafting package</w:t>
            </w:r>
          </w:p>
        </w:tc>
      </w:tr>
    </w:tbl>
    <w:p/>
    <w:p>
      <w:r>
        <w:br w:type="page"/>
      </w:r>
    </w:p>
    <w:p>
      <w:pPr>
        <w:pStyle w:val="Heading1"/>
      </w:pPr>
      <w:r>
        <w:t>1. Governance Objectives</w:t>
      </w:r>
    </w:p>
    <w:p>
      <w:r>
        <w:t>This policy defines how UTCP is governed, secured, monitored and operated. It establishes platform-wide controls for access, data, AI use, financial approvals, incident response, backup and change management.</w:t>
      </w:r>
    </w:p>
    <w:p>
      <w:pPr>
        <w:pStyle w:val="Heading1"/>
      </w:pPr>
      <w:r>
        <w:t>2. Access Governance</w:t>
      </w:r>
    </w:p>
    <w:p>
      <w:pPr>
        <w:pStyle w:val="ListBullet"/>
      </w:pPr>
      <w:r>
        <w:t>Least-privilege access is mandatory across all roles</w:t>
      </w:r>
    </w:p>
    <w:p>
      <w:pPr>
        <w:pStyle w:val="ListBullet"/>
      </w:pPr>
      <w:r>
        <w:t>Privileged users must use MFA</w:t>
      </w:r>
    </w:p>
    <w:p>
      <w:pPr>
        <w:pStyle w:val="ListBullet"/>
      </w:pPr>
      <w:r>
        <w:t>Access is granted by role and reviewed periodically</w:t>
      </w:r>
    </w:p>
    <w:p>
      <w:pPr>
        <w:pStyle w:val="ListBullet"/>
      </w:pPr>
      <w:r>
        <w:t>Sensitive functions require approval-based workflows where applicable</w:t>
      </w:r>
    </w:p>
    <w:p>
      <w:pPr>
        <w:pStyle w:val="ListBullet"/>
      </w:pPr>
      <w:r>
        <w:t>Service/API credentials must be isolated and rotated</w:t>
      </w:r>
    </w:p>
    <w:p>
      <w:pPr>
        <w:pStyle w:val="Heading1"/>
      </w:pPr>
      <w:r>
        <w:t>3. Data Governance and Privacy</w:t>
      </w:r>
    </w:p>
    <w:p>
      <w:pPr>
        <w:pStyle w:val="ListBullet"/>
      </w:pPr>
      <w:r>
        <w:t>Traveler PII, passport and payment-adjacent data are classified as restricted</w:t>
      </w:r>
    </w:p>
    <w:p>
      <w:pPr>
        <w:pStyle w:val="ListBullet"/>
      </w:pPr>
      <w:r>
        <w:t>Sensitive exports must be logged and controlled</w:t>
      </w:r>
    </w:p>
    <w:p>
      <w:pPr>
        <w:pStyle w:val="ListBullet"/>
      </w:pPr>
      <w:r>
        <w:t>Retention policies apply to audit logs, communication, AI sessions and operational history</w:t>
      </w:r>
    </w:p>
    <w:p>
      <w:pPr>
        <w:pStyle w:val="ListBullet"/>
      </w:pPr>
      <w:r>
        <w:t>Where required, the platform must support anonymization, controlled deletion and data export processes</w:t>
      </w:r>
    </w:p>
    <w:p>
      <w:pPr>
        <w:pStyle w:val="ListBullet"/>
      </w:pPr>
      <w:r>
        <w:t>Production data must not be copied into non-production environments without masking rules</w:t>
      </w:r>
    </w:p>
    <w:p>
      <w:pPr>
        <w:pStyle w:val="Heading1"/>
      </w:pPr>
      <w:r>
        <w:t>4. AI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</w:tcPr>
          <w:p>
            <w:r>
              <w:rPr>
                <w:b/>
                <w:color w:val="1A2B4B"/>
              </w:rPr>
              <w:t>Control Area</w:t>
            </w:r>
          </w:p>
        </w:tc>
        <w:tc>
          <w:tcPr>
            <w:tcW w:type="dxa" w:w="6624"/>
            <w:vAlign w:val="center"/>
          </w:tcPr>
          <w:p>
            <w:r>
              <w:rPr>
                <w:b/>
                <w:color w:val="1A2B4B"/>
              </w:rPr>
              <w:t>Policy</w:t>
            </w:r>
          </w:p>
        </w:tc>
      </w:tr>
      <w:tr>
        <w:tc>
          <w:tcPr>
            <w:tcW w:type="dxa" w:w="3168"/>
            <w:vAlign w:val="center"/>
          </w:tcPr>
          <w:p>
            <w:r>
              <w:t>Model routing</w:t>
            </w:r>
          </w:p>
        </w:tc>
        <w:tc>
          <w:tcPr>
            <w:tcW w:type="dxa" w:w="6624"/>
            <w:vAlign w:val="center"/>
          </w:tcPr>
          <w:p>
            <w:r>
              <w:t>Lower-cost or deterministic methods first; premium models only for justified tasks</w:t>
            </w:r>
          </w:p>
        </w:tc>
      </w:tr>
      <w:tr>
        <w:tc>
          <w:tcPr>
            <w:tcW w:type="dxa" w:w="3168"/>
            <w:vAlign w:val="center"/>
          </w:tcPr>
          <w:p>
            <w:r>
              <w:t>Token budgets</w:t>
            </w:r>
          </w:p>
        </w:tc>
        <w:tc>
          <w:tcPr>
            <w:tcW w:type="dxa" w:w="6624"/>
            <w:vAlign w:val="center"/>
          </w:tcPr>
          <w:p>
            <w:r>
              <w:t>Per feature, per user/team and per channel limits with alerts and hard stops</w:t>
            </w:r>
          </w:p>
        </w:tc>
      </w:tr>
      <w:tr>
        <w:tc>
          <w:tcPr>
            <w:tcW w:type="dxa" w:w="3168"/>
            <w:vAlign w:val="center"/>
          </w:tcPr>
          <w:p>
            <w:r>
              <w:t>Execution controls</w:t>
            </w:r>
          </w:p>
        </w:tc>
        <w:tc>
          <w:tcPr>
            <w:tcW w:type="dxa" w:w="6624"/>
            <w:vAlign w:val="center"/>
          </w:tcPr>
          <w:p>
            <w:r>
              <w:t>AI can suggest; execution requires permission and, where defined, approval</w:t>
            </w:r>
          </w:p>
        </w:tc>
      </w:tr>
      <w:tr>
        <w:tc>
          <w:tcPr>
            <w:tcW w:type="dxa" w:w="3168"/>
            <w:vAlign w:val="center"/>
          </w:tcPr>
          <w:p>
            <w:r>
              <w:t>Auditability</w:t>
            </w:r>
          </w:p>
        </w:tc>
        <w:tc>
          <w:tcPr>
            <w:tcW w:type="dxa" w:w="6624"/>
            <w:vAlign w:val="center"/>
          </w:tcPr>
          <w:p>
            <w:r>
              <w:t>All AI executions and material suggestions must be logged</w:t>
            </w:r>
          </w:p>
        </w:tc>
      </w:tr>
      <w:tr>
        <w:tc>
          <w:tcPr>
            <w:tcW w:type="dxa" w:w="3168"/>
            <w:vAlign w:val="center"/>
          </w:tcPr>
          <w:p>
            <w:r>
              <w:t>Safety</w:t>
            </w:r>
          </w:p>
        </w:tc>
        <w:tc>
          <w:tcPr>
            <w:tcW w:type="dxa" w:w="6624"/>
            <w:vAlign w:val="center"/>
          </w:tcPr>
          <w:p>
            <w:r>
              <w:t>AI must not silently change critical business state without policy-controlled approval</w:t>
            </w:r>
          </w:p>
        </w:tc>
      </w:tr>
    </w:tbl>
    <w:p/>
    <w:p>
      <w:pPr>
        <w:pStyle w:val="Heading1"/>
      </w:pPr>
      <w:r>
        <w:t>5. Financial and Treasury Controls</w:t>
      </w:r>
    </w:p>
    <w:p>
      <w:pPr>
        <w:pStyle w:val="ListBullet"/>
      </w:pPr>
      <w:r>
        <w:t>Supplier payments require maker-checker approval for configured thresholds</w:t>
      </w:r>
    </w:p>
    <w:p>
      <w:pPr>
        <w:pStyle w:val="ListBullet"/>
      </w:pPr>
      <w:r>
        <w:t>Bank account changes must be verified and dual-controlled</w:t>
      </w:r>
    </w:p>
    <w:p>
      <w:pPr>
        <w:pStyle w:val="ListBullet"/>
      </w:pPr>
      <w:r>
        <w:t>SEPA, card and VCC payouts must be traceable to payables and booking context</w:t>
      </w:r>
    </w:p>
    <w:p>
      <w:pPr>
        <w:pStyle w:val="ListBullet"/>
      </w:pPr>
      <w:r>
        <w:t>Treasury audit logs are mandatory</w:t>
      </w:r>
    </w:p>
    <w:p>
      <w:pPr>
        <w:pStyle w:val="ListBullet"/>
      </w:pPr>
      <w:r>
        <w:t>Refunds and payment reversals require explicit authorization and reconciliation</w:t>
      </w:r>
    </w:p>
    <w:p>
      <w:pPr>
        <w:pStyle w:val="Heading1"/>
      </w:pPr>
      <w:r>
        <w:t>6. Security Policy</w:t>
      </w:r>
    </w:p>
    <w:p>
      <w:pPr>
        <w:pStyle w:val="ListBullet"/>
      </w:pPr>
      <w:r>
        <w:t>All internet-facing workloads must be behind WAF and DDoS protection</w:t>
      </w:r>
    </w:p>
    <w:p>
      <w:pPr>
        <w:pStyle w:val="ListBullet"/>
      </w:pPr>
      <w:r>
        <w:t>Security logging must cover auth, API misuse, finance events, regulatory sync failures and admin actions</w:t>
      </w:r>
    </w:p>
    <w:p>
      <w:pPr>
        <w:pStyle w:val="ListBullet"/>
      </w:pPr>
      <w:r>
        <w:t>Malware scanning is required for uploaded files where risk exists</w:t>
      </w:r>
    </w:p>
    <w:p>
      <w:pPr>
        <w:pStyle w:val="ListBullet"/>
      </w:pPr>
      <w:r>
        <w:t>Encryption in transit and at rest is mandatory</w:t>
      </w:r>
    </w:p>
    <w:p>
      <w:pPr>
        <w:pStyle w:val="ListBullet"/>
      </w:pPr>
      <w:r>
        <w:t>Secrets must be managed outside application source code</w:t>
      </w:r>
    </w:p>
    <w:p>
      <w:pPr>
        <w:pStyle w:val="Heading1"/>
      </w:pPr>
      <w:r>
        <w:t>7. Backup and Resilience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</w:tcPr>
          <w:p>
            <w:r>
              <w:rPr>
                <w:b/>
                <w:color w:val="1A2B4B"/>
              </w:rPr>
              <w:t>Area</w:t>
            </w:r>
          </w:p>
        </w:tc>
        <w:tc>
          <w:tcPr>
            <w:tcW w:type="dxa" w:w="7200"/>
            <w:vAlign w:val="center"/>
          </w:tcPr>
          <w:p>
            <w:r>
              <w:rPr>
                <w:b/>
                <w:color w:val="1A2B4B"/>
              </w:rPr>
              <w:t>Minimum Control</w:t>
            </w:r>
          </w:p>
        </w:tc>
      </w:tr>
      <w:tr>
        <w:tc>
          <w:tcPr>
            <w:tcW w:type="dxa" w:w="2592"/>
            <w:vAlign w:val="center"/>
          </w:tcPr>
          <w:p>
            <w:r>
              <w:t>Database</w:t>
            </w:r>
          </w:p>
        </w:tc>
        <w:tc>
          <w:tcPr>
            <w:tcW w:type="dxa" w:w="7200"/>
            <w:vAlign w:val="center"/>
          </w:tcPr>
          <w:p>
            <w:r>
              <w:t>Daily full backup, continuous/incremental backup, point-in-time recovery</w:t>
            </w:r>
          </w:p>
        </w:tc>
      </w:tr>
      <w:tr>
        <w:tc>
          <w:tcPr>
            <w:tcW w:type="dxa" w:w="2592"/>
            <w:vAlign w:val="center"/>
          </w:tcPr>
          <w:p>
            <w:r>
              <w:t>Object storage</w:t>
            </w:r>
          </w:p>
        </w:tc>
        <w:tc>
          <w:tcPr>
            <w:tcW w:type="dxa" w:w="7200"/>
            <w:vAlign w:val="center"/>
          </w:tcPr>
          <w:p>
            <w:r>
              <w:t>Versioning and cross-region copy</w:t>
            </w:r>
          </w:p>
        </w:tc>
      </w:tr>
      <w:tr>
        <w:tc>
          <w:tcPr>
            <w:tcW w:type="dxa" w:w="2592"/>
            <w:vAlign w:val="center"/>
          </w:tcPr>
          <w:p>
            <w:r>
              <w:t>Restore testing</w:t>
            </w:r>
          </w:p>
        </w:tc>
        <w:tc>
          <w:tcPr>
            <w:tcW w:type="dxa" w:w="7200"/>
            <w:vAlign w:val="center"/>
          </w:tcPr>
          <w:p>
            <w:r>
              <w:t>Periodic restore drills documented and reviewed</w:t>
            </w:r>
          </w:p>
        </w:tc>
      </w:tr>
      <w:tr>
        <w:tc>
          <w:tcPr>
            <w:tcW w:type="dxa" w:w="2592"/>
            <w:vAlign w:val="center"/>
          </w:tcPr>
          <w:p>
            <w:r>
              <w:t>Failover</w:t>
            </w:r>
          </w:p>
        </w:tc>
        <w:tc>
          <w:tcPr>
            <w:tcW w:type="dxa" w:w="7200"/>
            <w:vAlign w:val="center"/>
          </w:tcPr>
          <w:p>
            <w:r>
              <w:t>Standby environment and traffic-switch procedure maintained</w:t>
            </w:r>
          </w:p>
        </w:tc>
      </w:tr>
      <w:tr>
        <w:tc>
          <w:tcPr>
            <w:tcW w:type="dxa" w:w="2592"/>
            <w:vAlign w:val="center"/>
          </w:tcPr>
          <w:p>
            <w:r>
              <w:t>Targets</w:t>
            </w:r>
          </w:p>
        </w:tc>
        <w:tc>
          <w:tcPr>
            <w:tcW w:type="dxa" w:w="7200"/>
            <w:vAlign w:val="center"/>
          </w:tcPr>
          <w:p>
            <w:r>
              <w:t>Critical services target RPO 5-15 min, RTO 30-60 min</w:t>
            </w:r>
          </w:p>
        </w:tc>
      </w:tr>
    </w:tbl>
    <w:p/>
    <w:p>
      <w:pPr>
        <w:pStyle w:val="Heading1"/>
      </w:pPr>
      <w:r>
        <w:t>8. Incident Response</w:t>
      </w:r>
    </w:p>
    <w:p>
      <w:pPr>
        <w:pStyle w:val="ListBullet"/>
      </w:pPr>
      <w:r>
        <w:t>Security incidents must be classified by severity and assigned an owner</w:t>
      </w:r>
    </w:p>
    <w:p>
      <w:pPr>
        <w:pStyle w:val="ListBullet"/>
      </w:pPr>
      <w:r>
        <w:t>Critical incidents must trigger stakeholder notification and containment steps</w:t>
      </w:r>
    </w:p>
    <w:p>
      <w:pPr>
        <w:pStyle w:val="ListBullet"/>
      </w:pPr>
      <w:r>
        <w:t>Runbooks are required for database failure, supplier API outage, payment outage and security breach</w:t>
      </w:r>
    </w:p>
    <w:p>
      <w:pPr>
        <w:pStyle w:val="ListBullet"/>
      </w:pPr>
      <w:r>
        <w:t>Post-incident review and corrective actions are mandatory</w:t>
      </w:r>
    </w:p>
    <w:p>
      <w:pPr>
        <w:pStyle w:val="Heading1"/>
      </w:pPr>
      <w:r>
        <w:t>9. Change and Release Governance</w:t>
      </w:r>
    </w:p>
    <w:p>
      <w:pPr>
        <w:pStyle w:val="ListBullet"/>
      </w:pPr>
      <w:r>
        <w:t>Schema and API changes must be versioned</w:t>
      </w:r>
    </w:p>
    <w:p>
      <w:pPr>
        <w:pStyle w:val="ListBullet"/>
      </w:pPr>
      <w:r>
        <w:t>Critical integrations require controlled rollout and rollback plans</w:t>
      </w:r>
    </w:p>
    <w:p>
      <w:pPr>
        <w:pStyle w:val="ListBullet"/>
      </w:pPr>
      <w:r>
        <w:t>Feature flags are preferred for high-risk releases</w:t>
      </w:r>
    </w:p>
    <w:p>
      <w:pPr>
        <w:pStyle w:val="ListBullet"/>
      </w:pPr>
      <w:r>
        <w:t>Production changes require traceable approvals and deployment logging</w:t>
      </w:r>
    </w:p>
    <w:p>
      <w:pPr>
        <w:pStyle w:val="Heading1"/>
      </w:pPr>
      <w:r>
        <w:t>10. Operational Monitoring</w:t>
      </w:r>
    </w:p>
    <w:p>
      <w:pPr>
        <w:pStyle w:val="ListBullet"/>
      </w:pPr>
      <w:r>
        <w:t>Core metrics: API latency, queue lag, booking success rate, payment success rate, replication lag, backup success</w:t>
      </w:r>
    </w:p>
    <w:p>
      <w:pPr>
        <w:pStyle w:val="ListBullet"/>
      </w:pPr>
      <w:r>
        <w:t>Business alerts: unpaid bookings, overdue receivables, failed supplier reservations, failed regulatory sync</w:t>
      </w:r>
    </w:p>
    <w:p>
      <w:pPr>
        <w:pStyle w:val="ListBullet"/>
      </w:pPr>
      <w:r>
        <w:t>Security alerts: suspicious login activity, privileged action spikes, repeated failures, abuse thresholds</w:t>
      </w:r>
    </w:p>
    <w:p>
      <w:pPr>
        <w:pStyle w:val="Heading1"/>
      </w:pPr>
      <w:r>
        <w:t>11. Review and Ownership</w:t>
      </w:r>
    </w:p>
    <w:p>
      <w:r>
        <w:t>The CTO, security lead, finance owner and delivery owner jointly review this policy on a scheduled basis and after major architecture, compliance or operational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t>UTCP - Platform Governance &amp; Security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B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A7AF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