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B4B"/>
          <w:sz w:val="48"/>
        </w:rPr>
        <w:t>Software Architecture Document (SAD)</w:t>
      </w:r>
    </w:p>
    <w:p>
      <w:pPr>
        <w:jc w:val="center"/>
      </w:pPr>
      <w:r>
        <w:rPr>
          <w:color w:val="58616E"/>
          <w:sz w:val="24"/>
        </w:rPr>
        <w:t>UTCP - Unified Travel Commerce Platform</w:t>
      </w:r>
    </w:p>
    <w:p>
      <w:pPr>
        <w:jc w:val="center"/>
      </w:pPr>
      <w:r>
        <w:rPr>
          <w:i/>
        </w:rPr>
        <w:t>Final enterprise documentation package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/>
          <w:p>
            <w:pPr>
              <w:pStyle w:val="ListBullet"/>
            </w:pPr>
            <w:r>
              <w:t>Enterprise architecture for travel commerce, tour operator, charter, B2B, regulatory, treasury and AI domains</w:t>
            </w:r>
          </w:p>
          <w:p>
            <w:pPr>
              <w:pStyle w:val="ListBullet"/>
            </w:pPr>
            <w:r>
              <w:t>Development, infrastructure, security and reliability blueprint</w:t>
            </w:r>
          </w:p>
          <w:p>
            <w:pPr>
              <w:pStyle w:val="ListBullet"/>
            </w:pPr>
            <w:r>
              <w:t>Version: Final drafting package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 and Scope</w:t>
      </w:r>
    </w:p>
    <w:p>
      <w:r>
        <w:t>This Software Architecture Document defines the target architecture for UTCP, a modular enterprise platform that unifies reservation management, commerce, finance, operations, B2B distribution, compliance, treasury and AI-assisted workflows for a travel company.</w:t>
      </w:r>
    </w:p>
    <w:p>
      <w:pPr>
        <w:pStyle w:val="Heading1"/>
      </w:pPr>
      <w:r>
        <w:t>2. Architectural Principles</w:t>
      </w:r>
    </w:p>
    <w:p>
      <w:pPr>
        <w:pStyle w:val="ListBullet"/>
      </w:pPr>
      <w:r>
        <w:t>Domain-driven modular architecture</w:t>
      </w:r>
    </w:p>
    <w:p>
      <w:pPr>
        <w:pStyle w:val="ListBullet"/>
      </w:pPr>
      <w:r>
        <w:t>API-first and versioned service boundaries</w:t>
      </w:r>
    </w:p>
    <w:p>
      <w:pPr>
        <w:pStyle w:val="ListBullet"/>
      </w:pPr>
      <w:r>
        <w:t>Event-driven integration for asynchronous workflows</w:t>
      </w:r>
    </w:p>
    <w:p>
      <w:pPr>
        <w:pStyle w:val="ListBullet"/>
      </w:pPr>
      <w:r>
        <w:t>Security by design and least-privilege access</w:t>
      </w:r>
    </w:p>
    <w:p>
      <w:pPr>
        <w:pStyle w:val="ListBullet"/>
      </w:pPr>
      <w:r>
        <w:t>Operational resilience with backup, failover and observability</w:t>
      </w:r>
    </w:p>
    <w:p>
      <w:pPr>
        <w:pStyle w:val="ListBullet"/>
      </w:pPr>
      <w:r>
        <w:t>Extensibility through adapters, feature flags and stable contracts</w:t>
      </w:r>
    </w:p>
    <w:p>
      <w:pPr>
        <w:pStyle w:val="Heading1"/>
      </w:pPr>
      <w:r>
        <w:t>3. System Context</w:t>
      </w:r>
    </w:p>
    <w:p>
      <w:r>
        <w:t>UTCP serves five primary interaction layers: B2C website, B2B portal, admin/backoffice, AI conversational interfaces, and external partner/regulatory integrations.</w:t>
      </w:r>
    </w:p>
    <w:p>
      <w:r>
        <w:drawing>
          <wp:inline xmlns:a="http://schemas.openxmlformats.org/drawingml/2006/main" xmlns:pic="http://schemas.openxmlformats.org/drawingml/2006/picture">
            <wp:extent cx="6217920" cy="4239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CP_Enterprise_System_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Enterprise system architecture overview.</w:t>
      </w:r>
    </w:p>
    <w:p>
      <w:pPr>
        <w:pStyle w:val="Heading1"/>
      </w:pPr>
      <w:r>
        <w:t>4. Domain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</w:tcPr>
          <w:p>
            <w:r>
              <w:rPr>
                <w:b/>
                <w:color w:val="1A2B4B"/>
              </w:rPr>
              <w:t>Domain</w:t>
            </w:r>
          </w:p>
        </w:tc>
        <w:tc>
          <w:tcPr>
            <w:tcW w:type="dxa" w:w="7200"/>
            <w:vAlign w:val="center"/>
          </w:tcPr>
          <w:p>
            <w:r>
              <w:rPr>
                <w:b/>
                <w:color w:val="1A2B4B"/>
              </w:rPr>
              <w:t>Responsibility</w:t>
            </w:r>
          </w:p>
        </w:tc>
      </w:tr>
      <w:tr>
        <w:tc>
          <w:tcPr>
            <w:tcW w:type="dxa" w:w="2592"/>
            <w:vAlign w:val="center"/>
          </w:tcPr>
          <w:p>
            <w:r>
              <w:t>Identity &amp; Access</w:t>
            </w:r>
          </w:p>
        </w:tc>
        <w:tc>
          <w:tcPr>
            <w:tcW w:type="dxa" w:w="7200"/>
            <w:vAlign w:val="center"/>
          </w:tcPr>
          <w:p>
            <w:r>
              <w:t>Users, roles, MFA, sessions, API clients</w:t>
            </w:r>
          </w:p>
        </w:tc>
      </w:tr>
      <w:tr>
        <w:tc>
          <w:tcPr>
            <w:tcW w:type="dxa" w:w="2592"/>
            <w:vAlign w:val="center"/>
          </w:tcPr>
          <w:p>
            <w:r>
              <w:t>CRM &amp; Accounts</w:t>
            </w:r>
          </w:p>
        </w:tc>
        <w:tc>
          <w:tcPr>
            <w:tcW w:type="dxa" w:w="7200"/>
            <w:vAlign w:val="center"/>
          </w:tcPr>
          <w:p>
            <w:r>
              <w:t>Contacts, agencies, suppliers, profiles, preferences</w:t>
            </w:r>
          </w:p>
        </w:tc>
      </w:tr>
      <w:tr>
        <w:tc>
          <w:tcPr>
            <w:tcW w:type="dxa" w:w="2592"/>
            <w:vAlign w:val="center"/>
          </w:tcPr>
          <w:p>
            <w:r>
              <w:t>Product &amp; Contracting</w:t>
            </w:r>
          </w:p>
        </w:tc>
        <w:tc>
          <w:tcPr>
            <w:tcW w:type="dxa" w:w="7200"/>
            <w:vAlign w:val="center"/>
          </w:tcPr>
          <w:p>
            <w:r>
              <w:t>Destinations, hotels, rooms, rates, allotments, restrictions</w:t>
            </w:r>
          </w:p>
        </w:tc>
      </w:tr>
      <w:tr>
        <w:tc>
          <w:tcPr>
            <w:tcW w:type="dxa" w:w="2592"/>
            <w:vAlign w:val="center"/>
          </w:tcPr>
          <w:p>
            <w:r>
              <w:t>Search / Offers / Booking</w:t>
            </w:r>
          </w:p>
        </w:tc>
        <w:tc>
          <w:tcPr>
            <w:tcW w:type="dxa" w:w="7200"/>
            <w:vAlign w:val="center"/>
          </w:tcPr>
          <w:p>
            <w:r>
              <w:t>Search requests, offers, repricing, bookings, supplier reservations</w:t>
            </w:r>
          </w:p>
        </w:tc>
      </w:tr>
      <w:tr>
        <w:tc>
          <w:tcPr>
            <w:tcW w:type="dxa" w:w="2592"/>
            <w:vAlign w:val="center"/>
          </w:tcPr>
          <w:p>
            <w:r>
              <w:t>Finance &amp; Treasury</w:t>
            </w:r>
          </w:p>
        </w:tc>
        <w:tc>
          <w:tcPr>
            <w:tcW w:type="dxa" w:w="7200"/>
            <w:vAlign w:val="center"/>
          </w:tcPr>
          <w:p>
            <w:r>
              <w:t>Receivables, payables, settlements, SEPA, card and VCC supplier payments</w:t>
            </w:r>
          </w:p>
        </w:tc>
      </w:tr>
      <w:tr>
        <w:tc>
          <w:tcPr>
            <w:tcW w:type="dxa" w:w="2592"/>
            <w:vAlign w:val="center"/>
          </w:tcPr>
          <w:p>
            <w:r>
              <w:t>Operations &amp; Rooming</w:t>
            </w:r>
          </w:p>
        </w:tc>
        <w:tc>
          <w:tcPr>
            <w:tcW w:type="dxa" w:w="7200"/>
            <w:vAlign w:val="center"/>
          </w:tcPr>
          <w:p>
            <w:r>
              <w:t>Reservation workspaces, rooming, manifests, dispatches, capacity</w:t>
            </w:r>
          </w:p>
        </w:tc>
      </w:tr>
      <w:tr>
        <w:tc>
          <w:tcPr>
            <w:tcW w:type="dxa" w:w="2592"/>
            <w:vAlign w:val="center"/>
          </w:tcPr>
          <w:p>
            <w:r>
              <w:t>Tour / Charter</w:t>
            </w:r>
          </w:p>
        </w:tc>
        <w:tc>
          <w:tcPr>
            <w:tcW w:type="dxa" w:w="7200"/>
            <w:vAlign w:val="center"/>
          </w:tcPr>
          <w:p>
            <w:r>
              <w:t>Programs, departures, charter flights, seats, load factor</w:t>
            </w:r>
          </w:p>
        </w:tc>
      </w:tr>
      <w:tr>
        <w:tc>
          <w:tcPr>
            <w:tcW w:type="dxa" w:w="2592"/>
            <w:vAlign w:val="center"/>
          </w:tcPr>
          <w:p>
            <w:r>
              <w:t>Communication / Marketing / AI</w:t>
            </w:r>
          </w:p>
        </w:tc>
        <w:tc>
          <w:tcPr>
            <w:tcW w:type="dxa" w:w="7200"/>
            <w:vAlign w:val="center"/>
          </w:tcPr>
          <w:p>
            <w:r>
              <w:t>Inbox, quality review, campaigns, AI routing and budgets</w:t>
            </w:r>
          </w:p>
        </w:tc>
      </w:tr>
      <w:tr>
        <w:tc>
          <w:tcPr>
            <w:tcW w:type="dxa" w:w="2592"/>
            <w:vAlign w:val="center"/>
          </w:tcPr>
          <w:p>
            <w:r>
              <w:t>CMS / Regulatory / Control</w:t>
            </w:r>
          </w:p>
        </w:tc>
        <w:tc>
          <w:tcPr>
            <w:tcW w:type="dxa" w:w="7200"/>
            <w:vAlign w:val="center"/>
          </w:tcPr>
          <w:p>
            <w:r>
              <w:t>Website publishing, SEF, CIS, fiscalization, monitoring, audit</w:t>
            </w:r>
          </w:p>
        </w:tc>
      </w:tr>
    </w:tbl>
    <w:p/>
    <w:p>
      <w:pPr>
        <w:pStyle w:val="Heading1"/>
      </w:pPr>
      <w:r>
        <w:t>5. Data Architecture</w:t>
      </w:r>
    </w:p>
    <w:p>
      <w:r>
        <w:t>UTCP uses PostgreSQL as the system of record, organized into domain schemas. Redis is used for cache, session and idempotency needs. Search indexing and object storage complement the transactional layer.</w:t>
      </w:r>
    </w:p>
    <w:p>
      <w:pPr>
        <w:pStyle w:val="ListBullet"/>
      </w:pPr>
      <w:r>
        <w:t>Estimated total production model: 500+ tables</w:t>
      </w:r>
    </w:p>
    <w:p>
      <w:pPr>
        <w:pStyle w:val="ListBullet"/>
      </w:pPr>
      <w:r>
        <w:t>Foundation schemas: iam, crm, product, contracting, search, booking, ops, finance, rooming, tour, charter, b2b, communication, marketing, ai, cms, regulatory, treasury, control, integration, reporting</w:t>
      </w:r>
    </w:p>
    <w:p>
      <w:pPr>
        <w:pStyle w:val="ListBullet"/>
      </w:pPr>
      <w:r>
        <w:t>Large-volume tables are candidates for time-based partitioning</w:t>
      </w:r>
    </w:p>
    <w:p>
      <w:pPr>
        <w:pStyle w:val="ListBullet"/>
      </w:pPr>
      <w:r>
        <w:t>Read models and reporting snapshots support dashboards and exports</w:t>
      </w:r>
    </w:p>
    <w:p>
      <w:pPr>
        <w:pStyle w:val="Heading1"/>
      </w:pPr>
      <w:r>
        <w:t>6. API Architecture</w:t>
      </w:r>
    </w:p>
    <w:p>
      <w:r>
        <w:t>The platform exposes versioned REST APIs across public, customer, B2B, admin and system namespaces.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</w:tcPr>
          <w:p>
            <w:r>
              <w:rPr>
                <w:b/>
                <w:color w:val="1A2B4B"/>
              </w:rPr>
              <w:t>Namespace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color w:val="1A2B4B"/>
              </w:rPr>
              <w:t>Purpose</w:t>
            </w:r>
          </w:p>
        </w:tc>
        <w:tc>
          <w:tcPr>
            <w:tcW w:type="dxa" w:w="4464"/>
            <w:vAlign w:val="center"/>
          </w:tcPr>
          <w:p>
            <w:r>
              <w:rPr>
                <w:b/>
                <w:color w:val="1A2B4B"/>
              </w:rPr>
              <w:t>Examples</w:t>
            </w:r>
          </w:p>
        </w:tc>
      </w:tr>
      <w:tr>
        <w:tc>
          <w:tcPr>
            <w:tcW w:type="dxa" w:w="2304"/>
            <w:vAlign w:val="center"/>
          </w:tcPr>
          <w:p>
            <w:r>
              <w:t>/api/v1/public</w:t>
            </w:r>
          </w:p>
        </w:tc>
        <w:tc>
          <w:tcPr>
            <w:tcW w:type="dxa" w:w="3312"/>
            <w:vAlign w:val="center"/>
          </w:tcPr>
          <w:p>
            <w:r>
              <w:t>B2C content and discovery</w:t>
            </w:r>
          </w:p>
        </w:tc>
        <w:tc>
          <w:tcPr>
            <w:tcW w:type="dxa" w:w="4464"/>
            <w:vAlign w:val="center"/>
          </w:tcPr>
          <w:p>
            <w:r>
              <w:t>search, offers, pages, articles</w:t>
            </w:r>
          </w:p>
        </w:tc>
      </w:tr>
      <w:tr>
        <w:tc>
          <w:tcPr>
            <w:tcW w:type="dxa" w:w="2304"/>
            <w:vAlign w:val="center"/>
          </w:tcPr>
          <w:p>
            <w:r>
              <w:t>/api/v1/customer</w:t>
            </w:r>
          </w:p>
        </w:tc>
        <w:tc>
          <w:tcPr>
            <w:tcW w:type="dxa" w:w="3312"/>
            <w:vAlign w:val="center"/>
          </w:tcPr>
          <w:p>
            <w:r>
              <w:t>Authenticated traveler actions</w:t>
            </w:r>
          </w:p>
        </w:tc>
        <w:tc>
          <w:tcPr>
            <w:tcW w:type="dxa" w:w="4464"/>
            <w:vAlign w:val="center"/>
          </w:tcPr>
          <w:p>
            <w:r>
              <w:t>profile, bookings, payments, documents</w:t>
            </w:r>
          </w:p>
        </w:tc>
      </w:tr>
      <w:tr>
        <w:tc>
          <w:tcPr>
            <w:tcW w:type="dxa" w:w="2304"/>
            <w:vAlign w:val="center"/>
          </w:tcPr>
          <w:p>
            <w:r>
              <w:t>/api/v1/b2b</w:t>
            </w:r>
          </w:p>
        </w:tc>
        <w:tc>
          <w:tcPr>
            <w:tcW w:type="dxa" w:w="3312"/>
            <w:vAlign w:val="center"/>
          </w:tcPr>
          <w:p>
            <w:r>
              <w:t>Agency and subagent workflows</w:t>
            </w:r>
          </w:p>
        </w:tc>
        <w:tc>
          <w:tcPr>
            <w:tcW w:type="dxa" w:w="4464"/>
            <w:vAlign w:val="center"/>
          </w:tcPr>
          <w:p>
            <w:r>
              <w:t>search, bookings, statements, support</w:t>
            </w:r>
          </w:p>
        </w:tc>
      </w:tr>
      <w:tr>
        <w:tc>
          <w:tcPr>
            <w:tcW w:type="dxa" w:w="2304"/>
            <w:vAlign w:val="center"/>
          </w:tcPr>
          <w:p>
            <w:r>
              <w:t>/api/v1/admin</w:t>
            </w:r>
          </w:p>
        </w:tc>
        <w:tc>
          <w:tcPr>
            <w:tcW w:type="dxa" w:w="3312"/>
            <w:vAlign w:val="center"/>
          </w:tcPr>
          <w:p>
            <w:r>
              <w:t>Backoffice operations</w:t>
            </w:r>
          </w:p>
        </w:tc>
        <w:tc>
          <w:tcPr>
            <w:tcW w:type="dxa" w:w="4464"/>
            <w:vAlign w:val="center"/>
          </w:tcPr>
          <w:p>
            <w:r>
              <w:t>contracts, reservations, finance, rooming</w:t>
            </w:r>
          </w:p>
        </w:tc>
      </w:tr>
      <w:tr>
        <w:tc>
          <w:tcPr>
            <w:tcW w:type="dxa" w:w="2304"/>
            <w:vAlign w:val="center"/>
          </w:tcPr>
          <w:p>
            <w:r>
              <w:t>/api/v1/system</w:t>
            </w:r>
          </w:p>
        </w:tc>
        <w:tc>
          <w:tcPr>
            <w:tcW w:type="dxa" w:w="3312"/>
            <w:vAlign w:val="center"/>
          </w:tcPr>
          <w:p>
            <w:r>
              <w:t>Internal/system integrations</w:t>
            </w:r>
          </w:p>
        </w:tc>
        <w:tc>
          <w:tcPr>
            <w:tcW w:type="dxa" w:w="4464"/>
            <w:vAlign w:val="center"/>
          </w:tcPr>
          <w:p>
            <w:r>
              <w:t>webhooks, publishing, imports, supplier connectors</w:t>
            </w:r>
          </w:p>
        </w:tc>
      </w:tr>
    </w:tbl>
    <w:p/>
    <w:p>
      <w:pPr>
        <w:pStyle w:val="Heading1"/>
      </w:pPr>
      <w:r>
        <w:t>7. Event and Async Architecture</w:t>
      </w:r>
    </w:p>
    <w:p>
      <w:r>
        <w:t>Transactional outbox and event-driven processing are used for non-blocking side effects and integrations.</w:t>
      </w:r>
    </w:p>
    <w:p>
      <w:pPr>
        <w:pStyle w:val="ListBullet"/>
      </w:pPr>
      <w:r>
        <w:t>Representative events: booking.booking.created, finance.payment.received, regulatory.sef.sent, communication.mail.sent</w:t>
      </w:r>
    </w:p>
    <w:p>
      <w:pPr>
        <w:pStyle w:val="ListBullet"/>
      </w:pPr>
      <w:r>
        <w:t>Queue classes: critical.booking, finance.async, ops.dispatch, marketing.async, ai.async, website.publish</w:t>
      </w:r>
    </w:p>
    <w:p>
      <w:pPr>
        <w:pStyle w:val="ListBullet"/>
      </w:pPr>
      <w:r>
        <w:t>Dead-letter handling, retry backoff and idempotent consumers are mandatory</w:t>
      </w:r>
    </w:p>
    <w:p>
      <w:pPr>
        <w:pStyle w:val="Heading1"/>
      </w:pPr>
      <w:r>
        <w:t>8. Security Architecture</w:t>
      </w:r>
    </w:p>
    <w:p>
      <w:pPr>
        <w:pStyle w:val="ListBullet"/>
      </w:pPr>
      <w:r>
        <w:t>WAF, DDoS protection and rate limiting at the edge</w:t>
      </w:r>
    </w:p>
    <w:p>
      <w:pPr>
        <w:pStyle w:val="ListBullet"/>
      </w:pPr>
      <w:r>
        <w:t>JWT/API key authentication and RBAC authorization</w:t>
      </w:r>
    </w:p>
    <w:p>
      <w:pPr>
        <w:pStyle w:val="ListBullet"/>
      </w:pPr>
      <w:r>
        <w:t>MFA for privileged roles</w:t>
      </w:r>
    </w:p>
    <w:p>
      <w:pPr>
        <w:pStyle w:val="ListBullet"/>
      </w:pPr>
      <w:r>
        <w:t>Encryption in transit and at rest</w:t>
      </w:r>
    </w:p>
    <w:p>
      <w:pPr>
        <w:pStyle w:val="ListBullet"/>
      </w:pPr>
      <w:r>
        <w:t>Sensitive field masking and audit logging</w:t>
      </w:r>
    </w:p>
    <w:p>
      <w:pPr>
        <w:pStyle w:val="ListBullet"/>
      </w:pPr>
      <w:r>
        <w:t>Malware scanning for uploaded content</w:t>
      </w:r>
    </w:p>
    <w:p>
      <w:pPr>
        <w:pStyle w:val="Heading1"/>
      </w:pPr>
      <w:r>
        <w:t>9. Regulatory and Treasury Architecture</w:t>
      </w:r>
    </w:p>
    <w:p>
      <w:pPr>
        <w:pStyle w:val="ListBullet"/>
      </w:pPr>
      <w:r>
        <w:t>SEF / e-Fakture integration for invoice transmission and status sync</w:t>
      </w:r>
    </w:p>
    <w:p>
      <w:pPr>
        <w:pStyle w:val="ListBullet"/>
      </w:pPr>
      <w:r>
        <w:t>CIS / eTurista integration for regulatory trip/traveler reporting</w:t>
      </w:r>
    </w:p>
    <w:p>
      <w:pPr>
        <w:pStyle w:val="ListBullet"/>
      </w:pPr>
      <w:r>
        <w:t>Fiscalization integration for advance and final fiscal receipts</w:t>
      </w:r>
    </w:p>
    <w:p>
      <w:pPr>
        <w:pStyle w:val="ListBullet"/>
      </w:pPr>
      <w:r>
        <w:t>Supplier treasury flows through SEPA transfers, card payments and VCC issuance</w:t>
      </w:r>
    </w:p>
    <w:p>
      <w:pPr>
        <w:pStyle w:val="Heading1"/>
      </w:pPr>
      <w:r>
        <w:t>10. Infrastructure and Deployment</w:t>
      </w:r>
    </w:p>
    <w:p>
      <w:r>
        <w:drawing>
          <wp:inline xmlns:a="http://schemas.openxmlformats.org/drawingml/2006/main" xmlns:pic="http://schemas.openxmlformats.org/drawingml/2006/picture">
            <wp:extent cx="6217920" cy="4239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CP_Infrastructure_Deployment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Infrastructure deployment and resilience overview.</w:t>
      </w:r>
    </w:p>
    <w:p>
      <w:pPr>
        <w:pStyle w:val="ListBullet"/>
      </w:pPr>
      <w:r>
        <w:t>Kubernetes/container platform for app services and workers</w:t>
      </w:r>
    </w:p>
    <w:p>
      <w:pPr>
        <w:pStyle w:val="ListBullet"/>
      </w:pPr>
      <w:r>
        <w:t>PostgreSQL primary + replica topology</w:t>
      </w:r>
    </w:p>
    <w:p>
      <w:pPr>
        <w:pStyle w:val="ListBullet"/>
      </w:pPr>
      <w:r>
        <w:t>Redis cluster, search index, object storage</w:t>
      </w:r>
    </w:p>
    <w:p>
      <w:pPr>
        <w:pStyle w:val="ListBullet"/>
      </w:pPr>
      <w:r>
        <w:t>Monitoring, logging, alerting and backup services</w:t>
      </w:r>
    </w:p>
    <w:p>
      <w:pPr>
        <w:pStyle w:val="ListBullet"/>
      </w:pPr>
      <w:r>
        <w:t>Standby/failover procedure with target RPO 5-15 min and RTO 30-60 min</w:t>
      </w:r>
    </w:p>
    <w:p>
      <w:pPr>
        <w:pStyle w:val="Heading1"/>
      </w:pPr>
      <w:r>
        <w:t>11. Development and Operational Standards</w:t>
      </w:r>
    </w:p>
    <w:p>
      <w:pPr>
        <w:pStyle w:val="ListBullet"/>
      </w:pPr>
      <w:r>
        <w:t>Versioned schema migrations by domain and release</w:t>
      </w:r>
    </w:p>
    <w:p>
      <w:pPr>
        <w:pStyle w:val="ListBullet"/>
      </w:pPr>
      <w:r>
        <w:t>Contract tests for APIs and integrations</w:t>
      </w:r>
    </w:p>
    <w:p>
      <w:pPr>
        <w:pStyle w:val="ListBullet"/>
      </w:pPr>
      <w:r>
        <w:t>Golden E2E workflows for booking, finance, rooming and regulatory scenarios</w:t>
      </w:r>
    </w:p>
    <w:p>
      <w:pPr>
        <w:pStyle w:val="ListBullet"/>
      </w:pPr>
      <w:r>
        <w:t>Feature flags for controlled rollouts</w:t>
      </w:r>
    </w:p>
    <w:p>
      <w:pPr>
        <w:pStyle w:val="ListBullet"/>
      </w:pPr>
      <w:r>
        <w:t>Observability baked into each domain and worker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t>UTCP - Software Architecture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B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A7AF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