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1A2B4B"/>
          <w:sz w:val="44"/>
        </w:rPr>
        <w:t>Unified Travel Commerce Platform (UTCP)</w:t>
      </w:r>
    </w:p>
    <w:p>
      <w:pPr>
        <w:pStyle w:val="Subtitle"/>
        <w:jc w:val="center"/>
      </w:pPr>
      <w:r>
        <w:t>Ažurirani finalni enterprise arhitektonski dokument</w:t>
      </w:r>
    </w:p>
    <w:p>
      <w:pPr>
        <w:pStyle w:val="Subtitle"/>
        <w:jc w:val="center"/>
      </w:pPr>
      <w:r>
        <w:t>Core platform + B2C website + SEF + CIS/eTurista + fiskalizacija + treasury + security + resilience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5953"/>
      </w:tblGrid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F"/>
          </w:tcPr>
          <w:p>
            <w:r>
              <w:rPr>
                <w:b/>
              </w:rPr>
              <w:t>Dokument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Final Architecture Update v3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F"/>
          </w:tcPr>
          <w:p>
            <w:r>
              <w:rPr>
                <w:b/>
              </w:rPr>
              <w:t>Obuhvat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Core + regulatory + treasury + resilience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F"/>
          </w:tcPr>
          <w:p>
            <w:r>
              <w:rPr>
                <w:b/>
              </w:rPr>
              <w:t>Namena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CTO / Product / Delivery / Security / Finance / Integrations</w:t>
            </w:r>
          </w:p>
        </w:tc>
      </w:tr>
      <w:t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3FF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Mart 2026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3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cp_updated_enterprise_domain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Slika 1. Ažurirana enterprise mapa domena platforme.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t>UTCP objedinjuje OTA prodaju, organizovana putovanja, čarter operacije, B2B distribuciju, operativu, finansije, centralnu komunikaciju, marketing, AI asistenciju i B2C website publishing. U ovoj verziji arhitektura je proširena regulatornim integracijama za Srbiju, treasury funkcijama za plaćanje dobavljačima i punim security/resilience slojem.</w:t>
      </w:r>
    </w:p>
    <w:p>
      <w:r>
        <w:t>Platforma je modularna, domain-first, sa jasnim API granicama, event/queue slojem i data strategijom koja omogućava nadogradnju bez lomljenja core sistema.</w:t>
      </w:r>
    </w:p>
    <w:p>
      <w:pPr>
        <w:pStyle w:val="Heading1"/>
        <w:keepNext/>
      </w:pPr>
      <w:r>
        <w:t>2. Ažurirani domeni platforme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576"/>
      </w:tblGrid>
      <w:tr>
        <w:tc>
          <w:tcPr>
            <w:tcW w:type="dxa" w:w="4986"/>
            <w:shd w:fill="EAF2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Domeni</w:t>
            </w:r>
          </w:p>
        </w:tc>
        <w:tc>
          <w:tcPr>
            <w:tcW w:type="dxa" w:w="4986"/>
            <w:shd w:fill="EAF2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Sadržaj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Core commerce</w:t>
            </w:r>
          </w:p>
        </w:tc>
        <w:tc>
          <w:tcPr>
            <w:tcW w:type="dxa" w:w="6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Identity &amp; Access, CRM, Product Master, Contracting &amp; Rates, Search &amp; Offers, Booking Core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Operations</w:t>
            </w:r>
          </w:p>
        </w:tc>
        <w:tc>
          <w:tcPr>
            <w:tcW w:type="dxa" w:w="6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Reservation Operations, Finance &amp; Settlement, Rooming &amp; Capacity, Tour Operator Programs, Charter &amp; Series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Growth &amp; control</w:t>
            </w:r>
          </w:p>
        </w:tc>
        <w:tc>
          <w:tcPr>
            <w:tcW w:type="dxa" w:w="6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B2B Distribution, Mail &amp; Communication, Inbox Users, Marketing Automation, AI Governance, Website/CMS/SEO, Audit/Monitoring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Regulatory &amp; Fiscal</w:t>
            </w:r>
          </w:p>
        </w:tc>
        <w:tc>
          <w:tcPr>
            <w:tcW w:type="dxa" w:w="6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SEF / e-Fakture, CIS / eTurista, fiskalizacija, regulatorni audit i status sync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Treasury &amp; Supplier Payments</w:t>
            </w:r>
          </w:p>
        </w:tc>
        <w:tc>
          <w:tcPr>
            <w:tcW w:type="dxa" w:w="6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SEPA, kartice, VCC, payout approvals, supplier bank accounts, reconciliation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Security / Privacy / Resilience</w:t>
            </w:r>
          </w:p>
        </w:tc>
        <w:tc>
          <w:tcPr>
            <w:tcW w:type="dxa" w:w="65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WAF, DDoS, encryption, PII controls, malware scanning, backup, PITR, failover, DR</w:t>
            </w:r>
          </w:p>
        </w:tc>
      </w:tr>
    </w:tbl>
    <w:p>
      <w:pPr>
        <w:pStyle w:val="Heading1"/>
        <w:keepNext/>
      </w:pPr>
      <w:r>
        <w:t>3. Regulatory &amp; Fiscal Hub</w:t>
      </w:r>
    </w:p>
    <w:p>
      <w:pPr>
        <w:ind w:left="255"/>
      </w:pPr>
      <w:r>
        <w:rPr>
          <w:b/>
        </w:rPr>
        <w:t xml:space="preserve">• </w:t>
      </w:r>
      <w:r>
        <w:t>SEF / e-Fakture: kreiranje, slanje, status praćenje, prihvatanje/odbijanje, arhiviranje i audit.</w:t>
      </w:r>
    </w:p>
    <w:p>
      <w:pPr>
        <w:ind w:left="255"/>
      </w:pPr>
      <w:r>
        <w:rPr>
          <w:b/>
        </w:rPr>
        <w:t xml:space="preserve">• </w:t>
      </w:r>
      <w:r>
        <w:t>CIS / eTurista: priprema i slanje podataka o putnicima i putovanjima, status potvrde i istorija slanja.</w:t>
      </w:r>
    </w:p>
    <w:p>
      <w:pPr>
        <w:ind w:left="255"/>
      </w:pPr>
      <w:r>
        <w:rPr>
          <w:b/>
        </w:rPr>
        <w:t xml:space="preserve">• </w:t>
      </w:r>
      <w:r>
        <w:t>Fiskalizacija: avansni fiskalni račun, konačni fiskalni račun, storno/korektivni račun, QR/reference i vezivanje za payment i booking.</w:t>
      </w:r>
    </w:p>
    <w:p>
      <w:pPr>
        <w:pStyle w:val="Heading1"/>
        <w:keepNext/>
      </w:pPr>
      <w:r>
        <w:t>4. Treasury &amp; Supplier Payments</w:t>
      </w:r>
    </w:p>
    <w:p>
      <w:pPr>
        <w:ind w:left="255"/>
      </w:pPr>
      <w:r>
        <w:rPr>
          <w:b/>
        </w:rPr>
        <w:t xml:space="preserve">• </w:t>
      </w:r>
      <w:r>
        <w:t>Supplier payables prelaze iz pasivnog praćenja u aktivno izvršenje plaćanja iz sistema.</w:t>
      </w:r>
    </w:p>
    <w:p>
      <w:pPr>
        <w:ind w:left="255"/>
      </w:pPr>
      <w:r>
        <w:rPr>
          <w:b/>
        </w:rPr>
        <w:t xml:space="preserve">• </w:t>
      </w:r>
      <w:r>
        <w:t>Podržani rails: SEPA transferi, kartična plaćanja dobavljačima i VCC / virtual card issuing tokovi.</w:t>
      </w:r>
    </w:p>
    <w:p>
      <w:pPr>
        <w:ind w:left="255"/>
      </w:pPr>
      <w:r>
        <w:rPr>
          <w:b/>
        </w:rPr>
        <w:t xml:space="preserve">• </w:t>
      </w:r>
      <w:r>
        <w:t>Approval workflow, limiti, whitelist bank računa, dual control, treasury audit trail i reconciliation su obavezni delovi modula.</w:t>
      </w:r>
    </w:p>
    <w:p>
      <w:pPr>
        <w:pStyle w:val="Heading1"/>
        <w:keepNext/>
      </w:pPr>
      <w:r>
        <w:t>5. Security, Privacy &amp; Resilience</w:t>
      </w:r>
    </w:p>
    <w:p>
      <w:pPr>
        <w:ind w:left="255"/>
      </w:pPr>
      <w:r>
        <w:rPr>
          <w:b/>
        </w:rPr>
        <w:t xml:space="preserve">• </w:t>
      </w:r>
      <w:r>
        <w:t>Edge zaštita: WAF, DDoS, rate limiting, IP allowlist i bot/abuse kontrola.</w:t>
      </w:r>
    </w:p>
    <w:p>
      <w:pPr>
        <w:ind w:left="255"/>
      </w:pPr>
      <w:r>
        <w:rPr>
          <w:b/>
        </w:rPr>
        <w:t xml:space="preserve">• </w:t>
      </w:r>
      <w:r>
        <w:t>Identity zaštita: MFA, session/device control, least privilege RBAC i privileged access review.</w:t>
      </w:r>
    </w:p>
    <w:p>
      <w:pPr>
        <w:ind w:left="255"/>
      </w:pPr>
      <w:r>
        <w:rPr>
          <w:b/>
        </w:rPr>
        <w:t xml:space="preserve">• </w:t>
      </w:r>
      <w:r>
        <w:t>Data zaštita: TLS, encryption at rest, PII masking, audit pristupa pasošima, dokumentima i finansijskim podacima.</w:t>
      </w:r>
    </w:p>
    <w:p>
      <w:pPr>
        <w:ind w:left="255"/>
      </w:pPr>
      <w:r>
        <w:rPr>
          <w:b/>
        </w:rPr>
        <w:t xml:space="preserve">• </w:t>
      </w:r>
      <w:r>
        <w:t>Resilience: dnevni full backup, frequent incremental/WAL backup, point-in-time recovery, cross-region kopija, failover procedura i restore testovi.</w:t>
      </w:r>
    </w:p>
    <w:p>
      <w:pPr>
        <w:pStyle w:val="Heading1"/>
        <w:keepNext/>
      </w:pPr>
      <w:r>
        <w:t>6. Ključni arhitektonski vizuali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86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cp_security_compliance_resilienc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Slika 2. Security, compliance i resilience arhitektura.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413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cp_key_ui_wirefr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13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Slika 3. Ključni UI wireframe ekrani.</w:t>
      </w:r>
    </w:p>
    <w:p>
      <w:r>
        <w:br w:type="page"/>
      </w:r>
    </w:p>
    <w:p>
      <w:pPr>
        <w:pStyle w:val="Heading1"/>
        <w:keepNext/>
      </w:pPr>
      <w:r>
        <w:t>7. Regulatorne i finansijske integracije za Srbiju</w:t>
      </w:r>
    </w:p>
    <w:p>
      <w:pPr>
        <w:pStyle w:val="Heading2"/>
        <w:keepNext/>
      </w:pPr>
      <w:r>
        <w:t>7.1 SEF / e-Fakture</w:t>
      </w:r>
    </w:p>
    <w:p>
      <w:r>
        <w:t>Platforma mora imati adapter sloj za SEF koji podržava formiranje dokumenta, slanje, polling ili prijem statusa, evidentiranje prihvatanja/odbijanja, ponovno slanje i audit istoriju. SEF tok mora biti povezan sa invoice lifecycle-om i ne sme rušiti core booking flow.</w:t>
      </w:r>
    </w:p>
    <w:p>
      <w:pPr>
        <w:pStyle w:val="Heading2"/>
        <w:keepNext/>
      </w:pPr>
      <w:r>
        <w:t>7.2 CIS / eTurista</w:t>
      </w:r>
    </w:p>
    <w:p>
      <w:r>
        <w:t>Potrebno je izdvojiti submission pipeline za turističke evidencije, sa validacionim korakom, mapping slojem, regulatornim logovima i mogućnošću ručnog re-send-a.</w:t>
      </w:r>
    </w:p>
    <w:p>
      <w:pPr>
        <w:pStyle w:val="Heading2"/>
        <w:keepNext/>
      </w:pPr>
      <w:r>
        <w:t>7.3 Fiskalizacija</w:t>
      </w:r>
    </w:p>
    <w:p>
      <w:r>
        <w:t>Fiskalni podsistem mora podržati avansne, konačne i storno račune, čuvanje identifikatora i fiskalnih referenci, kao i povezivanje fiskalnog dokumenta sa payment i finance summary slojem.</w:t>
      </w:r>
    </w:p>
    <w:p>
      <w:pPr>
        <w:pStyle w:val="Heading2"/>
        <w:keepNext/>
      </w:pPr>
      <w:r>
        <w:t>7.4 Supplier payments</w:t>
      </w:r>
    </w:p>
    <w:p>
      <w:r>
        <w:t>Treasury modul mora iz payable-a generisati payment order, provući approval workflow, izvršiti SEPA/card/VCC tok, ažurirati status i zapisati settlement događaj.</w:t>
      </w:r>
    </w:p>
    <w:p>
      <w:pPr>
        <w:pStyle w:val="Heading2"/>
        <w:keepNext/>
      </w:pPr>
      <w:r>
        <w:t>7.5 Kontrolni okvir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08"/>
        <w:gridCol w:w="4649"/>
      </w:tblGrid>
      <w:tr>
        <w:tc>
          <w:tcPr>
            <w:tcW w:type="dxa" w:w="3324"/>
            <w:shd w:fill="EAF2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Oblast</w:t>
            </w:r>
          </w:p>
        </w:tc>
        <w:tc>
          <w:tcPr>
            <w:tcW w:type="dxa" w:w="3324"/>
            <w:shd w:fill="EAF2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3324"/>
            <w:shd w:fill="EAF2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Security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WAF / DDoS / rate limits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Obavezno na edge sloju; štiti public site, chatbot i API perimeter.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Identity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MFA + RBAC + session policy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Admin i finansije moraju imati pojačane zahteve i audit.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Data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Encryption + PII masking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Pasoši, dokumenta i finansijski podaci pod posebnim režimom pristupa.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Files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Malware scanning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Upload i attachment pipeline skenira fajlove pre dostupnosti korisnicima.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Backup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Full + PITR + cross-region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Cilj: RPO 5-15 min za booking/finance; redovni restore testovi.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8FBFF"/>
          </w:tcPr>
          <w:p>
            <w:r>
              <w:t>DR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Standby / failover / runbook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Planiran prelazak na sekundarnu lokaciju i nastavak rada platforme.</w:t>
            </w:r>
          </w:p>
        </w:tc>
      </w:tr>
    </w:tbl>
    <w:p>
      <w:pPr>
        <w:pStyle w:val="Heading1"/>
        <w:keepNext/>
      </w:pPr>
      <w:r>
        <w:t>8. Extensibility i nadogradivost sistema</w:t>
      </w:r>
    </w:p>
    <w:p>
      <w:pPr>
        <w:ind w:left="255"/>
      </w:pPr>
      <w:r>
        <w:rPr>
          <w:b/>
        </w:rPr>
        <w:t xml:space="preserve">• </w:t>
      </w:r>
      <w:r>
        <w:t>Platforma mora biti građena domain-first: svaki modul ima svoje tabele, API boundary, evente i worker-e.</w:t>
      </w:r>
    </w:p>
    <w:p>
      <w:pPr>
        <w:ind w:left="255"/>
      </w:pPr>
      <w:r>
        <w:rPr>
          <w:b/>
        </w:rPr>
        <w:t xml:space="preserve">• </w:t>
      </w:r>
      <w:r>
        <w:t>Integracije (SEF, CIS, fiskalizacija, banke, VCC issuing, supplier API) treba implementirati preko adapter pattern-a, kako bi promena provajdera bila lokalizovana i bez lomljenja core logike.</w:t>
      </w:r>
    </w:p>
    <w:p>
      <w:pPr>
        <w:ind w:left="255"/>
      </w:pPr>
      <w:r>
        <w:rPr>
          <w:b/>
        </w:rPr>
        <w:t xml:space="preserve">• </w:t>
      </w:r>
      <w:r>
        <w:t>API, eventi i regulatorni payload-i moraju biti verzionisani. Feature flags omogućavaju postepeno puštanje novih modula i integracija.</w:t>
      </w:r>
    </w:p>
    <w:p>
      <w:pPr>
        <w:ind w:left="255"/>
      </w:pPr>
      <w:r>
        <w:rPr>
          <w:b/>
        </w:rPr>
        <w:t xml:space="preserve">• </w:t>
      </w:r>
      <w:r>
        <w:t>Outbox/event-driven pristup omogućava da kasniji moduli slušaju postojeće događaje bez menjanja booking ili finance jezgra.</w:t>
      </w:r>
    </w:p>
    <w:p>
      <w:pPr>
        <w:pStyle w:val="Heading1"/>
        <w:keepNext/>
      </w:pPr>
      <w:r>
        <w:t>9. Preporučeni sledeći koraci</w:t>
      </w:r>
    </w:p>
    <w:p>
      <w:pPr>
        <w:ind w:left="170"/>
      </w:pPr>
      <w:r>
        <w:t>1. Potvrditi regulatorne zahteve sa pravnim i računovodstvenim partnerom i mapirati ih na SEF/CIS/fiskalizaciju.</w:t>
      </w:r>
    </w:p>
    <w:p>
      <w:pPr>
        <w:ind w:left="170"/>
      </w:pPr>
      <w:r>
        <w:t>2. Izabrati bankarski/PSP/VCC partner model za treasury rails i definisati approval limits.</w:t>
      </w:r>
    </w:p>
    <w:p>
      <w:pPr>
        <w:ind w:left="170"/>
      </w:pPr>
      <w:r>
        <w:t>3. Definisati security baseline: WAF, MFA, secrets vault, backup/DR, malware scanning i SIEM/log forwarding.</w:t>
      </w:r>
    </w:p>
    <w:p>
      <w:pPr>
        <w:ind w:left="170"/>
      </w:pPr>
      <w:r>
        <w:t>4. Ažurirati finalni backlog tako da novi domeni uđu u delivery faze: Regulatory &amp; Fiscal, Treasury, Security/Resilience.</w:t>
      </w:r>
    </w:p>
    <w:p>
      <w:pPr>
        <w:ind w:left="170"/>
      </w:pPr>
      <w:r>
        <w:t>5. Prevesti ovaj dokument u operativni SAD/PRD/backlog paket za development i procurement.</w:t>
      </w:r>
    </w:p>
    <w:p>
      <w:pPr>
        <w:pStyle w:val="Heading1"/>
        <w:keepNext/>
      </w:pPr>
      <w:r>
        <w:t>10. Prilozi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86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cp_final_ui_navigation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6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Slika 4. Finalna UI navigation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cp_booking_flow_hotel_flight_transfer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Slika 5. Rezervacioni tok: hotel + let + transfer + aktivnost.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A2B4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3A7AF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A2B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5A64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