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topography relaxation model is the same as case 1 from (Crameri et al., 2012) which is used here to validate the free surface implementation. The model setups are shown in Fig 1. It has a 600 km thick mantle, overlain by a 100 km thick lithosphere with a prescribed 7km amplitude cosine topography. The model box is 2800 km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×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700 km,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 xml:space="preserve">caluated by the resolution of </w:t>
      </w:r>
      <w:r>
        <w:rPr>
          <w:rFonts w:hint="eastAsia"/>
          <w:lang w:val="en-US" w:eastAsia="zh-CN"/>
        </w:rPr>
        <w:t>280</w:t>
      </w:r>
      <w:r>
        <w:rPr>
          <w:rFonts w:hint="default"/>
          <w:lang w:val="en-US"/>
        </w:rPr>
        <w:t xml:space="preserve"> × </w:t>
      </w:r>
      <w:r>
        <w:rPr>
          <w:rFonts w:hint="eastAsia"/>
          <w:lang w:val="en-US" w:eastAsia="zh-CN"/>
        </w:rPr>
        <w:t xml:space="preserve">70 (140 </w:t>
      </w:r>
      <w:r>
        <w:rPr>
          <w:rFonts w:hint="default"/>
          <w:lang w:val="en-US"/>
        </w:rPr>
        <w:t>×</w:t>
      </w:r>
      <w:r>
        <w:rPr>
          <w:rFonts w:hint="eastAsia"/>
          <w:lang w:val="en-US" w:eastAsia="zh-CN"/>
        </w:rPr>
        <w:t xml:space="preserve"> 35</w:t>
      </w:r>
      <w:bookmarkStart w:id="0" w:name="_GoBack"/>
      <w:bookmarkEnd w:id="0"/>
      <w:r>
        <w:rPr>
          <w:rFonts w:hint="eastAsia"/>
          <w:lang w:val="en-US" w:eastAsia="zh-CN"/>
        </w:rPr>
        <w:t>)</w:t>
      </w:r>
      <w:r>
        <w:rPr>
          <w:rFonts w:hint="default"/>
          <w:lang w:val="en-US"/>
        </w:rPr>
        <w:t xml:space="preserve"> gridpoints with 9 particles per element.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maximum topography of this model at time t can be derived analytically (Ramberg, 1967) using the relaxation rate γ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 xml:space="preserve">the initial maximum topography </w:t>
      </w:r>
      <m:oMath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ℎ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init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</m:oMath>
      <w:r>
        <w:rPr>
          <w:rFonts w:hint="default" w:hAnsi="DejaVu Math TeX Gyre"/>
          <w:i w:val="0"/>
          <w:lang w:val="en-US"/>
        </w:rPr>
        <w:t>: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7039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pct"/>
          </w:tcPr>
          <w:p/>
        </w:tc>
        <w:tc>
          <w:tcPr>
            <w:tcW w:w="4130" w:type="pct"/>
          </w:tcPr>
          <w:p>
            <w:pPr>
              <w:rPr>
                <w:rFonts w:hint="defaul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ℎ</m:t>
                    </m:r>
                    <m:ctrlPr>
                      <w:rPr>
                        <w:rFonts w:ascii="DejaVu Math TeX Gyre" w:hAnsi="DejaVu Math TeX Gyr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analytic</m:t>
                    </m:r>
                    <m:ctrlPr>
                      <w:rPr>
                        <w:rFonts w:ascii="DejaVu Math TeX Gyre" w:hAnsi="DejaVu Math TeX Gyre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hint="default" w:ascii="DejaVu Math TeX Gyre" w:hAnsi="DejaVu Math TeX Gyr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ℎ</m:t>
                    </m:r>
                    <m:ctrlPr>
                      <w:rPr>
                        <w:rFonts w:hint="default" w:ascii="DejaVu Math TeX Gyre" w:hAnsi="DejaVu Math TeX Gyr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init</m:t>
                    </m:r>
                    <m:ctrlPr>
                      <w:rPr>
                        <w:rFonts w:hint="default" w:ascii="DejaVu Math TeX Gyre" w:hAnsi="DejaVu Math TeX Gyr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exp</m:t>
                </m:r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(</m:t>
                </m:r>
                <m:r>
                  <m:rPr/>
                  <w:rPr>
                    <w:rFonts w:ascii="DejaVu Math TeX Gyre" w:hAnsi="DejaVu Math TeX Gyr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)</m:t>
                </m:r>
              </m:oMath>
            </m:oMathPara>
          </w:p>
        </w:tc>
        <w:tc>
          <w:tcPr>
            <w:tcW w:w="597" w:type="pct"/>
          </w:tcPr>
          <w:p>
            <w:r>
              <w:t>(X)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t = 14.825 ka is the characteristic relaxation time and γ = −0.2139×10−11 s−1 is the characteristic relaxation rate.</w:t>
      </w:r>
    </w:p>
    <w:p>
      <w:pPr>
        <w:rPr>
          <w:rFonts w:hint="default"/>
          <w:lang w:val="en-US"/>
        </w:rPr>
      </w:pPr>
    </w:p>
    <w:p>
      <w:r>
        <w:rPr>
          <w:rFonts w:hint="default"/>
        </w:rPr>
        <w:t xml:space="preserve">The Arbitrary Lagrangian–Eulerian formulation is adapted here to simulate the free surface. In general, the mesh is regridding to fit the free surface with the following </w:t>
      </w:r>
      <w:r>
        <w:rPr>
          <w:rFonts w:hint="default"/>
          <w:lang w:val="en-US"/>
        </w:rPr>
        <w:t xml:space="preserve">three </w:t>
      </w:r>
      <w:r>
        <w:rPr>
          <w:rFonts w:hint="default"/>
        </w:rPr>
        <w:t>steps (Thieulot, 2011)</w:t>
      </w:r>
      <w:r>
        <w:rPr>
          <w:rFonts w:hint="default"/>
          <w:lang w:val="en-US"/>
        </w:rPr>
        <w:t xml:space="preserve">. (1) Advection the </w:t>
      </w:r>
      <w:r>
        <w:rPr>
          <w:rFonts w:hint="default"/>
        </w:rPr>
        <w:t>free surface</w:t>
      </w:r>
      <w:r>
        <w:rPr>
          <w:rFonts w:hint="default"/>
          <w:lang w:val="en-US"/>
        </w:rPr>
        <w:t>: advect t</w:t>
      </w:r>
      <w:r>
        <w:rPr>
          <w:rFonts w:hint="default"/>
        </w:rPr>
        <w:t xml:space="preserve">he top row mesh points </w:t>
      </w:r>
      <w:r>
        <w:rPr>
          <w:rFonts w:hint="eastAsia"/>
          <w:lang w:val="en-US" w:eastAsia="zh-CN"/>
        </w:rPr>
        <w:t xml:space="preserve">which </w:t>
      </w:r>
      <w:r>
        <w:rPr>
          <w:rFonts w:hint="default"/>
        </w:rPr>
        <w:t>are the discrete free surface of the domain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by the Eulerian velocity</w:t>
      </w:r>
      <w:r>
        <w:rPr>
          <w:rFonts w:hint="default"/>
          <w:lang w:val="en-US"/>
        </w:rPr>
        <w:t xml:space="preserve">, (2) </w:t>
      </w:r>
      <w:r>
        <w:rPr>
          <w:rFonts w:hint="default"/>
        </w:rPr>
        <w:t>resample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free surface resample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use a Clough-Tocher scheme to resample the free surface between </w:t>
      </w:r>
      <w:r>
        <w:rPr>
          <w:rFonts w:hint="default"/>
          <w:lang w:val="en-US"/>
        </w:rPr>
        <w:t>x</w:t>
      </w:r>
      <w:r>
        <w:rPr>
          <w:rFonts w:hint="default"/>
        </w:rPr>
        <w:t>=0 and </w:t>
      </w:r>
      <w:r>
        <w:rPr>
          <w:rFonts w:hint="default"/>
          <w:lang w:val="en-US"/>
        </w:rPr>
        <w:t xml:space="preserve">x=L </w:t>
      </w:r>
      <w:r>
        <w:rPr>
          <w:rFonts w:hint="default"/>
        </w:rPr>
        <w:t>as the grid points position is fixed at these locations</w:t>
      </w:r>
      <w:r>
        <w:rPr>
          <w:rFonts w:hint="default"/>
          <w:lang w:val="en-US"/>
        </w:rPr>
        <w:t xml:space="preserve">, (3) regrid </w:t>
      </w:r>
      <w:r>
        <w:rPr>
          <w:rFonts w:hint="default"/>
        </w:rPr>
        <w:t>mesh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solving the Poisson equation to get a uniform distribution of the mesh vertical coordinates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 xml:space="preserve">the applied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boundary conditions</w:t>
      </w:r>
      <w:r>
        <w:rPr>
          <w:rFonts w:hint="eastAsia"/>
          <w:lang w:val="en-US" w:eastAsia="zh-CN"/>
        </w:rPr>
        <w:t xml:space="preserve"> are</w:t>
      </w:r>
      <w:r>
        <w:rPr>
          <w:rFonts w:hint="default"/>
        </w:rPr>
        <w:t xml:space="preserve"> a Dirichlet constraint and defines that the top is the updated free surface, bottom is the original mesh bottom.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2882" w:hanging="360"/>
      </w:pPr>
    </w:p>
    <w:p>
      <w:pPr>
        <w:rPr>
          <w:rFonts w:hint="default" w:hAnsi="DejaVu Math TeX Gyre"/>
          <w:i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FEB48"/>
    <w:multiLevelType w:val="multilevel"/>
    <w:tmpl w:val="DFBFE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63A67"/>
    <w:rsid w:val="1FFF6DB9"/>
    <w:rsid w:val="3CAFADE4"/>
    <w:rsid w:val="53FB1C55"/>
    <w:rsid w:val="7CEFE7A3"/>
    <w:rsid w:val="7ECB64BB"/>
    <w:rsid w:val="7EF63A67"/>
    <w:rsid w:val="7FFE2BED"/>
    <w:rsid w:val="B6BFAC18"/>
    <w:rsid w:val="BD2D0FFD"/>
    <w:rsid w:val="F94DA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2024-03-17T17:53:00Z</dcterms:created>
  <dc:creator>nl</dc:creator>
  <cp:lastModifiedBy>nl</cp:lastModifiedBy>
  <dcterms:modified xsi:type="dcterms:W3CDTF">2024-03-17T20:05:17Z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