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74" w:rsidRPr="00B85BB4" w:rsidRDefault="00B85BB4" w:rsidP="00B85BB4">
      <w:pPr>
        <w:pStyle w:val="a3"/>
        <w:numPr>
          <w:ilvl w:val="0"/>
          <w:numId w:val="5"/>
        </w:numPr>
      </w:pPr>
      <w:r w:rsidRPr="00B85BB4">
        <w:rPr>
          <w:lang w:val="en-US"/>
        </w:rPr>
        <w:t>What is the function of the annotation @</w:t>
      </w:r>
      <w:proofErr w:type="spellStart"/>
      <w:r w:rsidRPr="00B85BB4">
        <w:rPr>
          <w:lang w:val="en-US"/>
        </w:rPr>
        <w:t>ResponseBody</w:t>
      </w:r>
      <w:proofErr w:type="spellEnd"/>
      <w:r w:rsidRPr="00B85BB4">
        <w:rPr>
          <w:lang w:val="en-US"/>
        </w:rPr>
        <w:t>?</w:t>
      </w:r>
    </w:p>
    <w:p w:rsidR="00B85BB4" w:rsidRDefault="00B85BB4" w:rsidP="00D76C0D">
      <w:pPr>
        <w:pStyle w:val="a3"/>
        <w:numPr>
          <w:ilvl w:val="1"/>
          <w:numId w:val="5"/>
        </w:numPr>
        <w:rPr>
          <w:lang w:val="en-US"/>
        </w:rPr>
      </w:pPr>
      <w:r w:rsidRPr="00D76C0D">
        <w:rPr>
          <w:lang w:val="en-US"/>
        </w:rPr>
        <w:t xml:space="preserve">To tell a controller that the object returned is automatically serialized into JSON and passed back into the </w:t>
      </w:r>
      <w:proofErr w:type="spellStart"/>
      <w:r w:rsidRPr="00D76C0D">
        <w:rPr>
          <w:lang w:val="en-US"/>
        </w:rPr>
        <w:t>HttpResponse</w:t>
      </w:r>
      <w:proofErr w:type="spellEnd"/>
      <w:r w:rsidRPr="00D76C0D">
        <w:rPr>
          <w:lang w:val="en-US"/>
        </w:rPr>
        <w:t xml:space="preserve"> object</w:t>
      </w:r>
    </w:p>
    <w:p w:rsidR="00D76C0D" w:rsidRPr="00D76C0D" w:rsidRDefault="00D76C0D" w:rsidP="00D76C0D">
      <w:pPr>
        <w:pStyle w:val="a3"/>
        <w:ind w:left="1440"/>
        <w:rPr>
          <w:lang w:val="en-US"/>
        </w:rPr>
      </w:pPr>
    </w:p>
    <w:p w:rsidR="00B85BB4" w:rsidRDefault="00B85BB4" w:rsidP="00B85BB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Do these annotations work the same way? @</w:t>
      </w:r>
      <w:proofErr w:type="spellStart"/>
      <w:r>
        <w:rPr>
          <w:lang w:val="en-US"/>
        </w:rPr>
        <w:t>GetMapping</w:t>
      </w:r>
      <w:proofErr w:type="spellEnd"/>
      <w:r>
        <w:rPr>
          <w:lang w:val="en-US"/>
        </w:rPr>
        <w:t>(“/dog”) &amp; @</w:t>
      </w:r>
      <w:proofErr w:type="spellStart"/>
      <w:r>
        <w:rPr>
          <w:lang w:val="en-US"/>
        </w:rPr>
        <w:t>RequestMapping</w:t>
      </w:r>
      <w:proofErr w:type="spellEnd"/>
      <w:r>
        <w:rPr>
          <w:lang w:val="en-US"/>
        </w:rPr>
        <w:t>(value = “/dog”, method = GET)</w:t>
      </w:r>
    </w:p>
    <w:p w:rsidR="00B85BB4" w:rsidRDefault="00B85BB4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Yes?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B85BB4" w:rsidRDefault="00B85BB4" w:rsidP="00B85BB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is a “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Link(URL) Expressions”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‘@{…}’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Which annotation do we use to avoid confusion when multiple instances of bean type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present?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@Qualifier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Dependency injection is better in spring?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Constructor Injection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function of the annotation @</w:t>
      </w: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?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To bind the HTTP body request to a domain object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get a parameter from a path variable in a method in our controller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ModelAndView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userInfo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@</w:t>
      </w:r>
      <w:proofErr w:type="spellStart"/>
      <w:r>
        <w:rPr>
          <w:lang w:val="en-US"/>
        </w:rPr>
        <w:t>PathVariable</w:t>
      </w:r>
      <w:proofErr w:type="spellEnd"/>
      <w:r>
        <w:rPr>
          <w:lang w:val="en-US"/>
        </w:rPr>
        <w:t xml:space="preserve"> String id){…}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Which is the correct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syntax for adding a class when we have an error on our HTML element?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Th:errorclass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-success”;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Should we inject the </w:t>
      </w:r>
      <w:proofErr w:type="spellStart"/>
      <w:r>
        <w:rPr>
          <w:lang w:val="en-US"/>
        </w:rPr>
        <w:t>bindingResult</w:t>
      </w:r>
      <w:proofErr w:type="spellEnd"/>
      <w:r>
        <w:rPr>
          <w:lang w:val="en-US"/>
        </w:rPr>
        <w:t xml:space="preserve"> immediately after the Model that validates?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Yes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get a parameter from a query string in a method in our controller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Public </w:t>
      </w:r>
      <w:proofErr w:type="spellStart"/>
      <w:proofErr w:type="gramStart"/>
      <w:r>
        <w:rPr>
          <w:lang w:val="en-US"/>
        </w:rPr>
        <w:t>ModelAndView</w:t>
      </w:r>
      <w:proofErr w:type="spellEnd"/>
      <w:r>
        <w:rPr>
          <w:lang w:val="en-US"/>
        </w:rPr>
        <w:t xml:space="preserve">  search</w:t>
      </w:r>
      <w:proofErr w:type="gramEnd"/>
      <w:r>
        <w:rPr>
          <w:lang w:val="en-US"/>
        </w:rPr>
        <w:t>(@</w:t>
      </w:r>
      <w:proofErr w:type="spellStart"/>
      <w:r>
        <w:rPr>
          <w:lang w:val="en-US"/>
        </w:rPr>
        <w:t>RequestParam</w:t>
      </w:r>
      <w:proofErr w:type="spellEnd"/>
      <w:r>
        <w:rPr>
          <w:lang w:val="en-US"/>
        </w:rPr>
        <w:t>(name=”author”) String author){…}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send an id to catch it in the controller like a Path Variable?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@{/users/{id}(id = ${user.id})}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we replace @Service annotation with @Component?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Yes, but it is the incorrect way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to pass a query string parameter with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>?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th:href</w:t>
      </w:r>
      <w:proofErr w:type="spellEnd"/>
      <w:r>
        <w:rPr>
          <w:lang w:val="en-US"/>
        </w:rPr>
        <w:t>=”@{/details(id=${game.id})}”&gt;Details&lt;/a&gt;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is the annotation responsible for injecting a bean by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type?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Autowired</w:t>
      </w:r>
      <w:proofErr w:type="spellEnd"/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of the following is NOT a valid bean scope?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Controller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design pattern that allows us to remove the hard-coded dependencies and makes our application loosely coupled, extendable and maintainable is: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Dependency Injection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Which is a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Fragment Expression?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~{…}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is the </w:t>
      </w:r>
      <w:proofErr w:type="spellStart"/>
      <w:r>
        <w:rPr>
          <w:lang w:val="en-US"/>
        </w:rPr>
        <w:t>BindingResult</w:t>
      </w:r>
      <w:proofErr w:type="spellEnd"/>
      <w:r>
        <w:rPr>
          <w:lang w:val="en-US"/>
        </w:rPr>
        <w:t>?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An interface that can be used to detect and report errors in the submitted form</w:t>
      </w:r>
    </w:p>
    <w:p w:rsidR="00D76C0D" w:rsidRDefault="00D76C0D" w:rsidP="00D76C0D">
      <w:pPr>
        <w:pStyle w:val="a3"/>
        <w:ind w:left="1440"/>
        <w:rPr>
          <w:lang w:val="en-US"/>
        </w:rPr>
      </w:pPr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a “THIN” controller?</w:t>
      </w:r>
    </w:p>
    <w:p w:rsid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That doesn’t have any additional logic</w:t>
      </w:r>
    </w:p>
    <w:p w:rsidR="00D76C0D" w:rsidRDefault="00D76C0D" w:rsidP="00D76C0D">
      <w:pPr>
        <w:pStyle w:val="a3"/>
        <w:ind w:left="1440"/>
        <w:rPr>
          <w:lang w:val="en-US"/>
        </w:rPr>
      </w:pPr>
      <w:bookmarkStart w:id="0" w:name="_GoBack"/>
      <w:bookmarkEnd w:id="0"/>
    </w:p>
    <w:p w:rsidR="00D76C0D" w:rsidRDefault="00D76C0D" w:rsidP="00D76C0D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IoC</w:t>
      </w:r>
      <w:proofErr w:type="spellEnd"/>
    </w:p>
    <w:p w:rsidR="00D76C0D" w:rsidRPr="00D76C0D" w:rsidRDefault="00D76C0D" w:rsidP="00D76C0D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Inversion of Control</w:t>
      </w:r>
    </w:p>
    <w:p w:rsidR="00B85BB4" w:rsidRPr="00B85BB4" w:rsidRDefault="00B85BB4" w:rsidP="00B85BB4">
      <w:pPr>
        <w:ind w:left="360"/>
        <w:rPr>
          <w:lang w:val="en-US"/>
        </w:rPr>
      </w:pPr>
    </w:p>
    <w:sectPr w:rsidR="00B85BB4" w:rsidRPr="00B85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96182"/>
    <w:multiLevelType w:val="hybridMultilevel"/>
    <w:tmpl w:val="A120DDF6"/>
    <w:lvl w:ilvl="0" w:tplc="8C30B84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684B6E"/>
    <w:multiLevelType w:val="hybridMultilevel"/>
    <w:tmpl w:val="27AC5B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6589F"/>
    <w:multiLevelType w:val="hybridMultilevel"/>
    <w:tmpl w:val="E0666C22"/>
    <w:lvl w:ilvl="0" w:tplc="8C30B8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D80E7D"/>
    <w:multiLevelType w:val="hybridMultilevel"/>
    <w:tmpl w:val="1BB68D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44572"/>
    <w:multiLevelType w:val="hybridMultilevel"/>
    <w:tmpl w:val="560A37A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775A8"/>
    <w:multiLevelType w:val="hybridMultilevel"/>
    <w:tmpl w:val="DA86BE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9C"/>
    <w:rsid w:val="001D6A74"/>
    <w:rsid w:val="00A0449C"/>
    <w:rsid w:val="00B85BB4"/>
    <w:rsid w:val="00BC3765"/>
    <w:rsid w:val="00D7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2021-10-25T09:18:00Z</dcterms:created>
  <dcterms:modified xsi:type="dcterms:W3CDTF">2021-10-25T09:38:00Z</dcterms:modified>
</cp:coreProperties>
</file>