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A6FA8" w:sz="24" w:space="4"/>
        </w:pBdr>
        <w:spacing w:after="200"/>
      </w:pPr>
    </w:p>
    <w:p>
      <w:pPr>
        <w:spacing w:after="120" w:before="120"/>
        <w:jc w:val="center"/>
      </w:pPr>
      <w:r>
        <w:rPr>
          <w:rFonts w:ascii="Arial" w:cs="Arial" w:eastAsia="Arial" w:hAnsi="Arial"/>
          <w:b/>
          <w:bCs/>
          <w:color w:val="1A6FA8"/>
          <w:sz w:val="56"/>
          <w:szCs w:val="56"/>
        </w:rPr>
        <w:t xml:space="preserve">THE CITIZENS STANDARD</w:t>
      </w:r>
    </w:p>
    <w:p>
      <w:pPr>
        <w:spacing w:after="60" w:before="0"/>
        <w:jc w:val="center"/>
      </w:pPr>
      <w:r>
        <w:rPr>
          <w:rFonts w:ascii="Arial" w:cs="Arial" w:eastAsia="Arial" w:hAnsi="Arial"/>
          <w:color w:val="333333"/>
          <w:sz w:val="30"/>
          <w:szCs w:val="30"/>
        </w:rPr>
        <w:t xml:space="preserve">Bounded Citizen Ownership and the Transactional-Money Locus</w:t>
      </w:r>
    </w:p>
    <w:p>
      <w:pPr>
        <w:spacing w:after="200" w:before="0"/>
        <w:jc w:val="center"/>
      </w:pPr>
      <w:r>
        <w:rPr>
          <w:rFonts w:ascii="Arial" w:cs="Arial" w:eastAsia="Arial" w:hAnsi="Arial"/>
          <w:i/>
          <w:iCs/>
          <w:color w:val="555555"/>
          <w:sz w:val="24"/>
          <w:szCs w:val="24"/>
        </w:rPr>
        <w:t xml:space="preserve">Price Determination and the Limits of Structural Ownership under Rules-Based Money Creation</w:t>
      </w:r>
    </w:p>
    <w:p>
      <w:pPr>
        <w:pBdr>
          <w:bottom w:val="single" w:color="CCCCCC" w:sz="6" w:space="4"/>
        </w:pBdr>
        <w:spacing w:after="180"/>
      </w:pPr>
    </w:p>
    <w:p>
      <w:pPr>
        <w:spacing w:after="30" w:before="0"/>
        <w:jc w:val="center"/>
      </w:pPr>
      <w:r>
        <w:rPr>
          <w:rFonts w:ascii="Arial" w:cs="Arial" w:eastAsia="Arial" w:hAnsi="Arial"/>
          <w:b/>
          <w:bCs/>
          <w:sz w:val="24"/>
          <w:szCs w:val="24"/>
        </w:rPr>
        <w:t xml:space="preserve">Neo-Solon</w:t>
      </w:r>
    </w:p>
    <w:p>
      <w:pPr>
        <w:spacing w:after="200" w:before="0"/>
        <w:jc w:val="center"/>
      </w:pPr>
      <w:r>
        <w:rPr>
          <w:rFonts w:ascii="Arial" w:cs="Arial" w:eastAsia="Arial" w:hAnsi="Arial"/>
          <w:color w:val="333333"/>
          <w:sz w:val="22"/>
          <w:szCs w:val="22"/>
        </w:rPr>
        <w:t xml:space="preserve">Neo-Solon@hotmail.com</w:t>
      </w:r>
    </w:p>
    <w:p>
      <w:pPr>
        <w:spacing w:after="220" w:before="0"/>
        <w:jc w:val="center"/>
      </w:pPr>
      <w:r>
        <w:rPr>
          <w:rFonts w:ascii="Arial" w:cs="Arial" w:eastAsia="Arial" w:hAnsi="Arial"/>
          <w:b/>
          <w:bCs/>
          <w:color w:val="777777"/>
          <w:sz w:val="20"/>
          <w:szCs w:val="20"/>
        </w:rPr>
        <w:t xml:space="preserve">WORKING PAPER — JUNE 2026</w:t>
      </w:r>
    </w:p>
    <w:p>
      <w:pPr>
        <w:spacing w:after="100" w:before="0"/>
        <w:jc w:val="center"/>
      </w:pPr>
      <w:r>
        <w:rPr>
          <w:rFonts w:ascii="Arial" w:cs="Arial" w:eastAsia="Arial" w:hAnsi="Arial"/>
          <w:b/>
          <w:bCs/>
          <w:color w:val="777777"/>
          <w:sz w:val="20"/>
          <w:szCs w:val="20"/>
        </w:rPr>
        <w:t xml:space="preserve">COMPANION PAPERS</w:t>
      </w:r>
    </w:p>
    <w:p>
      <w:pPr>
        <w:spacing w:after="70" w:line="240"/>
        <w:jc w:val="center"/>
      </w:pPr>
      <w:r>
        <w:rPr>
          <w:rFonts w:ascii="Arial" w:cs="Arial" w:eastAsia="Arial" w:hAnsi="Arial"/>
          <w:color w:val="333333"/>
          <w:sz w:val="16"/>
          <w:szCs w:val="16"/>
        </w:rPr>
        <w:t xml:space="preserve">The Citizens Standard: One Model, Many Systems (Neo-Solon, 2026a) · SSRN 6702518</w:t>
      </w:r>
    </w:p>
    <w:p>
      <w:pPr>
        <w:spacing w:after="70" w:line="240"/>
        <w:jc w:val="center"/>
      </w:pPr>
      <w:r>
        <w:rPr>
          <w:rFonts w:ascii="Arial" w:cs="Arial" w:eastAsia="Arial" w:hAnsi="Arial"/>
          <w:color w:val="333333"/>
          <w:sz w:val="16"/>
          <w:szCs w:val="16"/>
        </w:rPr>
        <w:t xml:space="preserve">The Citizens Standard: A Historical Counterfactual (Neo-Solon, 2026b) · SSRN 6735078</w:t>
      </w:r>
    </w:p>
    <w:p>
      <w:pPr>
        <w:spacing w:after="70" w:line="240"/>
        <w:jc w:val="center"/>
      </w:pPr>
      <w:r>
        <w:rPr>
          <w:rFonts w:ascii="Arial" w:cs="Arial" w:eastAsia="Arial" w:hAnsi="Arial"/>
          <w:color w:val="333333"/>
          <w:sz w:val="16"/>
          <w:szCs w:val="16"/>
        </w:rPr>
        <w:t xml:space="preserve">The Citizens Standard: Transition Architecture and Migration Mechanics (Neo-Solon, 2026c) · SSRN 6810741</w:t>
      </w:r>
    </w:p>
    <w:p>
      <w:pPr>
        <w:spacing w:after="70" w:line="240"/>
        <w:jc w:val="center"/>
      </w:pPr>
      <w:r>
        <w:rPr>
          <w:rFonts w:ascii="Arial" w:cs="Arial" w:eastAsia="Arial" w:hAnsi="Arial"/>
          <w:color w:val="333333"/>
          <w:sz w:val="16"/>
          <w:szCs w:val="16"/>
        </w:rPr>
        <w:t>The Citizens Standard: Constitutional Vulnerability of a Rules-Based Monetary Statute (Neo-Solon, 2026d)</w:t>
      </w:r>
    </w:p>
    <w:p>
      <w:pPr>
        <w:spacing w:after="70" w:line="240"/>
        <w:jc w:val="center"/>
      </w:pPr>
      <w:r>
        <w:rPr>
          <w:rFonts w:ascii="Arial" w:cs="Arial" w:eastAsia="Arial" w:hAnsi="Arial"/>
          <w:color w:val="333333"/>
          <w:sz w:val="16"/>
          <w:szCs w:val="16"/>
        </w:rPr>
        <w:t xml:space="preserve">The Citizens Standard: A Macroeconomic Model of a Dual-Circuit Monetary System (Neo-Solon, 2026e) · SSRN 6939418</w:t>
      </w:r>
    </w:p>
    <w:p>
      <w:pPr>
        <w:spacing w:after="70" w:line="240"/>
        <w:jc w:val="center"/>
      </w:pPr>
      <w:r>
        <w:rPr>
          <w:rFonts w:ascii="Arial" w:cs="Arial" w:eastAsia="Arial" w:hAnsi="Arial"/>
          <w:color w:val="333333"/>
          <w:sz w:val="16"/>
          <w:szCs w:val="16"/>
        </w:rPr>
        <w:t xml:space="preserve">The Citizens Standard: Full-Reserve Banking and the Dual-Circuit System (Neo-Solon, 2026f) · SSRN 6939498</w:t>
      </w:r>
    </w:p>
    <w:p>
      <w:pPr>
        <w:spacing w:after="70" w:line="240"/>
        <w:jc w:val="center"/>
      </w:pPr>
      <w:r>
        <w:rPr>
          <w:rFonts w:ascii="Arial" w:cs="Arial" w:eastAsia="Arial" w:hAnsi="Arial"/>
          <w:color w:val="333333"/>
          <w:sz w:val="16"/>
          <w:szCs w:val="16"/>
        </w:rPr>
        <w:t xml:space="preserve">The Citizens Standard: External Interoperability and the Common Anchor (Neo-Solon, 2026g) · SSRN 6939600</w:t>
      </w:r>
    </w:p>
    <w:p>
      <w:pPr>
        <w:spacing w:after="70" w:line="240"/>
        <w:jc w:val="center"/>
      </w:pPr>
      <w:r>
        <w:rPr>
          <w:rFonts w:ascii="Arial" w:cs="Arial" w:eastAsia="Arial" w:hAnsi="Arial"/>
          <w:color w:val="333333"/>
          <w:sz w:val="16"/>
          <w:szCs w:val="16"/>
        </w:rPr>
        <w:t xml:space="preserve">The Citizens Standard: The Structural Buyer (Neo-Solon, 2026h) · SSRN 6945320</w:t>
      </w:r>
    </w:p>
    <w:p>
      <w:pPr>
        <w:spacing w:after="70" w:line="240"/>
        <w:jc w:val="center"/>
      </w:pPr>
      <w:r>
        <w:rPr>
          <w:rFonts w:ascii="Arial" w:cs="Arial" w:eastAsia="Arial" w:hAnsi="Arial"/>
          <w:color w:val="333333"/>
          <w:sz w:val="16"/>
          <w:szCs w:val="16"/>
        </w:rPr>
        <w:t xml:space="preserve">The Citizens Standard: Empirical Validation of the Transactional Aggregate (Neo-Solon, 2026j)</w:t>
      </w:r>
    </w:p>
    <w:p>
      <w:pPr>
        <w:spacing w:after="70" w:line="240"/>
        <w:jc w:val="center"/>
      </w:pPr>
      <w:r>
        <w:rPr>
          <w:rFonts w:ascii="Arial" w:cs="Arial" w:eastAsia="Arial" w:hAnsi="Arial"/>
          <w:color w:val="333333"/>
          <w:sz w:val="16"/>
          <w:szCs w:val="16"/>
        </w:rPr>
        <w:t xml:space="preserve">The Citizens Standard: Governance and the Political Economy of the Parameters (Neo-Solon, 2026k)</w:t>
      </w:r>
    </w:p>
    <w:p>
      <w:pPr>
        <w:spacing w:after="70" w:line="240"/>
        <w:jc w:val="center"/>
      </w:pPr>
      <w:r>
        <w:rPr>
          <w:rFonts w:ascii="Arial" w:cs="Arial" w:eastAsia="Arial" w:hAnsi="Arial"/>
          <w:color w:val="333333"/>
          <w:sz w:val="16"/>
          <w:szCs w:val="16"/>
        </w:rPr>
        <w:t xml:space="preserve">The Citizens Standard: Crisis Behaviour and Failure Modes (Neo-Solon, 2026l)</w:t>
      </w:r>
    </w:p>
    <w:p>
      <w:pPr>
        <w:spacing w:after="70" w:line="240"/>
        <w:jc w:val="center"/>
      </w:pPr>
      <w:r>
        <w:rPr>
          <w:rFonts w:ascii="Arial" w:cs="Arial" w:eastAsia="Arial" w:hAnsi="Arial"/>
          <w:color w:val="333333"/>
          <w:sz w:val="16"/>
          <w:szCs w:val="16"/>
        </w:rPr>
        <w:t xml:space="preserve">The Citizens Standard: Comparison with Alternative Monetary and Distributional Systems (Neo-Solon, 2026m)</w:t>
      </w:r>
    </w:p>
    <w:p>
      <w:pPr>
        <w:spacing w:after="70" w:line="240"/>
        <w:jc w:val="center"/>
      </w:pPr>
      <w:r>
        <w:rPr>
          <w:rFonts w:ascii="Arial" w:cs="Arial" w:eastAsia="Arial" w:hAnsi="Arial"/>
          <w:color w:val="333333"/>
          <w:sz w:val="16"/>
          <w:szCs w:val="16"/>
        </w:rPr>
        <w:t xml:space="preserve">The Citizens Standard: Distribution and Wealth Inequality (Neo-Solon, 2026n)</w:t>
      </w:r>
    </w:p>
    <w:p>
      <w:r>
        <w:br w:type="page"/>
      </w:r>
    </w:p>
    <w:p>
      <w:pPr>
        <w:pStyle w:val="Heading1"/>
        <w:spacing w:after="130" w:before="120"/>
      </w:pPr>
      <w:r>
        <w:rPr>
          <w:rFonts w:ascii="Arial" w:cs="Arial" w:eastAsia="Arial" w:hAnsi="Arial"/>
          <w:color w:val="2E74B5"/>
          <w:sz w:val="32"/>
          <w:szCs w:val="32"/>
        </w:rPr>
        <w:t xml:space="preserve">Abstract</w:t>
      </w:r>
    </w:p>
    <w:p>
      <w:pPr>
        <w:spacing w:after="200" w:line="276"/>
        <w:jc w:val="both"/>
      </w:pPr>
      <w:r>
        <w:rPr>
          <w:rFonts w:ascii="Arial" w:cs="Arial" w:eastAsia="Arial" w:hAnsi="Arial"/>
        </w:rPr>
        <w:t xml:space="preserve">This paper derives the price-level and ownership consequences of rules-based money creation in a two-circuit monetary system, in which newly issued money is routed between a transactional circuit that prices goods and an asset circuit that holds claims on the productive economy. Inflation and citizen ownership are treated not as free parameters but as outputs of the issuance rule. Three results follow. First, price stability under a standing citizen dividend is a locus rather than a coincidence: for a given real growth rate the transactional circuit admits exactly one growth-matched expansion, which on the United States calibration is g·Mᵀ ≈ $229.7B. Issuance beyond it is absorbed by the asset circuit, where it raises claims values rather than goods prices; issuance below it is deflationary. The four channels (K1, K2, K3, KI) are therefore a single budget under a constraint, not four free dials. Second, structural citizen ownership is bounded above by c/g — the ratio of the equity absorption flow to the growth rate — and cannot run to the whole market. The issuing authority is a permanent gross buyer with a demographically lagged gross seller attached: floors accumulate over a working life and are liquidated in retirement. The no-decumulation counterfactual diverges; the decumulating system converges. Universal ownership is thus self-limiting by construction, and the common-ownership concerns raised against large passive holders bear on a bounded share rather than on literal universal ownership. Third, the fixed-supply limit sits inside the model rather than outside it: setting every creation channel to zero yields a mildly deflationary hard-money regime as a special case, which makes the architecture a dial rather than a commitment to expansion. The paper then treats the four points at which the structure is most exposed — the Mᵀ decomposition, the asset-to-goods spillover, the market-capitalisation assumptions, and the governance of the constitutional parameters — and reports how far each conclusion moves under plausible calibration error. In each case the contested quantities are empirical inputs with stated identification strategies and bounded effects rather than load-bearing constants. Replication code for every quantity reported is cited in the references.</w:t>
      </w:r>
    </w:p>
    <w:p>
      <w:pPr>
        <w:spacing w:after="60" w:line="264"/>
        <w:jc w:val="both"/>
      </w:pPr>
      <w:r>
        <w:rPr>
          <w:rFonts w:ascii="Arial" w:cs="Arial" w:eastAsia="Arial" w:hAnsi="Arial"/>
          <w:b/>
          <w:bCs/>
          <w:sz w:val="22"/>
          <w:szCs w:val="22"/>
        </w:rPr>
        <w:t xml:space="preserve">JEL classification: </w:t>
      </w:r>
      <w:r>
        <w:rPr>
          <w:rFonts w:ascii="Arial" w:cs="Arial" w:eastAsia="Arial" w:hAnsi="Arial"/>
          <w:sz w:val="22"/>
          <w:szCs w:val="22"/>
        </w:rPr>
        <w:t xml:space="preserve">E31, E42, E51, E52, E58, G12</w:t>
      </w:r>
    </w:p>
    <w:p>
      <w:pPr>
        <w:spacing w:after="120" w:line="264"/>
        <w:jc w:val="both"/>
      </w:pPr>
      <w:r>
        <w:rPr>
          <w:rFonts w:ascii="Arial" w:cs="Arial" w:eastAsia="Arial" w:hAnsi="Arial"/>
          <w:b/>
          <w:bCs/>
          <w:sz w:val="22"/>
          <w:szCs w:val="22"/>
        </w:rPr>
        <w:t xml:space="preserve">Keywords: </w:t>
      </w:r>
      <w:r>
        <w:rPr>
          <w:rFonts w:ascii="Arial" w:cs="Arial" w:eastAsia="Arial" w:hAnsi="Arial"/>
          <w:sz w:val="22"/>
          <w:szCs w:val="22"/>
        </w:rPr>
        <w:t>price-stability locus; bounded ownership; two-circuit monetary system; rules-based money creation; structural buyer; universal equity ownership; sensitivity analysis</w:t>
      </w:r>
    </w:p>
    <w:p>
      <w:r>
        <w:br w:type="page"/>
      </w:r>
    </w:p>
    <w:p>
      <w:pPr>
        <w:pStyle w:val="Heading1"/>
        <w:spacing w:after="140" w:before="280"/>
      </w:pPr>
      <w:r>
        <w:rPr>
          <w:rFonts w:ascii="Arial" w:cs="Arial" w:eastAsia="Arial" w:hAnsi="Arial"/>
          <w:b/>
          <w:bCs/>
          <w:color w:val="2E74B5"/>
          <w:sz w:val="32"/>
          <w:szCs w:val="32"/>
        </w:rPr>
        <w:t xml:space="preserve">Contents</w:t>
      </w:r>
    </w:p>
    <w:p>
      <w:pPr>
        <w:tabs>
          <w:tab w:val="right" w:pos="9360" w:leader="dot"/>
        </w:tabs>
        <w:spacing w:after="30" w:line="264"/>
      </w:pPr>
      <w:r>
        <w:rPr>
          <w:rFonts w:ascii="Arial" w:cs="Arial" w:eastAsia="Arial" w:hAnsi="Arial"/>
          <w:b w:val="false"/>
          <w:bCs w:val="false"/>
          <w:sz w:val="20"/>
          <w:szCs w:val="20"/>
        </w:rPr>
        <w:t xml:space="preserve">1.  Introduction</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2.  Architecture: one budget, two circuits</w:t>
      </w:r>
      <w:r>
        <w:rPr>
          <w:rFonts w:ascii="Arial" w:cs="Arial" w:eastAsia="Arial" w:hAnsi="Arial"/>
          <w:sz w:val="20"/>
          <w:szCs w:val="20"/>
        </w:rPr>
        <w:t xml:space="preserve">	4</w:t>
      </w:r>
    </w:p>
    <w:p>
      <w:pPr>
        <w:tabs>
          <w:tab w:val="right" w:pos="9360" w:leader="dot"/>
        </w:tabs>
        <w:spacing w:after="30" w:line="264"/>
      </w:pPr>
      <w:r>
        <w:rPr>
          <w:rFonts w:ascii="Arial" w:cs="Arial" w:eastAsia="Arial" w:hAnsi="Arial"/>
          <w:b w:val="false"/>
          <w:bCs w:val="false"/>
          <w:sz w:val="20"/>
          <w:szCs w:val="20"/>
        </w:rPr>
        <w:t xml:space="preserve">3.  The four issuance channels</w:t>
      </w:r>
      <w:r>
        <w:rPr>
          <w:rFonts w:ascii="Arial" w:cs="Arial" w:eastAsia="Arial" w:hAnsi="Arial"/>
          <w:sz w:val="20"/>
          <w:szCs w:val="20"/>
        </w:rPr>
        <w:t xml:space="preserve">	4</w:t>
      </w:r>
    </w:p>
    <w:p>
      <w:pPr>
        <w:tabs>
          <w:tab w:val="right" w:pos="9360" w:leader="dot"/>
        </w:tabs>
        <w:spacing w:after="30" w:line="264"/>
        <w:ind w:left="360"/>
      </w:pPr>
      <w:r>
        <w:rPr>
          <w:rFonts w:ascii="Arial" w:cs="Arial" w:eastAsia="Arial" w:hAnsi="Arial"/>
          <w:b w:val="false"/>
          <w:bCs w:val="false"/>
          <w:sz w:val="20"/>
          <w:szCs w:val="20"/>
        </w:rPr>
        <w:t xml:space="preserve">3.1  K1 — Citizenship</w:t>
      </w:r>
      <w:r>
        <w:rPr>
          <w:rFonts w:ascii="Arial" w:cs="Arial" w:eastAsia="Arial" w:hAnsi="Arial"/>
          <w:sz w:val="20"/>
          <w:szCs w:val="20"/>
        </w:rPr>
        <w:t xml:space="preserve">	5</w:t>
      </w:r>
    </w:p>
    <w:p>
      <w:pPr>
        <w:tabs>
          <w:tab w:val="right" w:pos="9360" w:leader="dot"/>
        </w:tabs>
        <w:spacing w:after="30" w:line="264"/>
        <w:ind w:left="360"/>
      </w:pPr>
      <w:r>
        <w:rPr>
          <w:rFonts w:ascii="Arial" w:cs="Arial" w:eastAsia="Arial" w:hAnsi="Arial"/>
          <w:b w:val="false"/>
          <w:bCs w:val="false"/>
          <w:sz w:val="20"/>
          <w:szCs w:val="20"/>
        </w:rPr>
        <w:t xml:space="preserve">3.2  K2 — the growth budget</w:t>
      </w:r>
      <w:r>
        <w:rPr>
          <w:rFonts w:ascii="Arial" w:cs="Arial" w:eastAsia="Arial" w:hAnsi="Arial"/>
          <w:sz w:val="20"/>
          <w:szCs w:val="20"/>
        </w:rPr>
        <w:t xml:space="preserve">	5</w:t>
      </w:r>
    </w:p>
    <w:p>
      <w:pPr>
        <w:tabs>
          <w:tab w:val="right" w:pos="9360" w:leader="dot"/>
        </w:tabs>
        <w:spacing w:after="30" w:line="264"/>
        <w:ind w:left="360"/>
      </w:pPr>
      <w:r>
        <w:rPr>
          <w:rFonts w:ascii="Arial" w:cs="Arial" w:eastAsia="Arial" w:hAnsi="Arial"/>
          <w:b w:val="false"/>
          <w:bCs w:val="false"/>
          <w:sz w:val="20"/>
          <w:szCs w:val="20"/>
        </w:rPr>
        <w:t xml:space="preserve">3.3  K3 — the dividend share (κ_d): a router, not a spigot</w:t>
      </w:r>
      <w:r>
        <w:rPr>
          <w:rFonts w:ascii="Arial" w:cs="Arial" w:eastAsia="Arial" w:hAnsi="Arial"/>
          <w:sz w:val="20"/>
          <w:szCs w:val="20"/>
        </w:rPr>
        <w:t xml:space="preserve">	5</w:t>
      </w:r>
    </w:p>
    <w:p>
      <w:pPr>
        <w:tabs>
          <w:tab w:val="right" w:pos="9360" w:leader="dot"/>
        </w:tabs>
        <w:spacing w:after="30" w:line="264"/>
        <w:ind w:left="360"/>
      </w:pPr>
      <w:r>
        <w:rPr>
          <w:rFonts w:ascii="Arial" w:cs="Arial" w:eastAsia="Arial" w:hAnsi="Arial"/>
          <w:b w:val="false"/>
          <w:bCs w:val="false"/>
          <w:sz w:val="20"/>
          <w:szCs w:val="20"/>
        </w:rPr>
        <w:t xml:space="preserve">3.4  KI — the inflation gap</w:t>
      </w:r>
      <w:r>
        <w:rPr>
          <w:rFonts w:ascii="Arial" w:cs="Arial" w:eastAsia="Arial" w:hAnsi="Arial"/>
          <w:sz w:val="20"/>
          <w:szCs w:val="20"/>
        </w:rPr>
        <w:t xml:space="preserve">	5</w:t>
      </w:r>
    </w:p>
    <w:p>
      <w:pPr>
        <w:tabs>
          <w:tab w:val="right" w:pos="9360" w:leader="dot"/>
        </w:tabs>
        <w:spacing w:after="30" w:line="264"/>
      </w:pPr>
      <w:r>
        <w:rPr>
          <w:rFonts w:ascii="Arial" w:cs="Arial" w:eastAsia="Arial" w:hAnsi="Arial"/>
          <w:b w:val="false"/>
          <w:bCs w:val="false"/>
          <w:sz w:val="20"/>
          <w:szCs w:val="20"/>
        </w:rPr>
        <w:t xml:space="preserve">4.  Inflation as a derived quantity</w:t>
      </w:r>
      <w:r>
        <w:rPr>
          <w:rFonts w:ascii="Arial" w:cs="Arial" w:eastAsia="Arial" w:hAnsi="Arial"/>
          <w:sz w:val="20"/>
          <w:szCs w:val="20"/>
        </w:rPr>
        <w:t xml:space="preserve">	6</w:t>
      </w:r>
    </w:p>
    <w:p>
      <w:pPr>
        <w:tabs>
          <w:tab w:val="right" w:pos="9360" w:leader="dot"/>
        </w:tabs>
        <w:spacing w:after="30" w:line="264"/>
      </w:pPr>
      <w:r>
        <w:rPr>
          <w:rFonts w:ascii="Arial" w:cs="Arial" w:eastAsia="Arial" w:hAnsi="Arial"/>
          <w:b w:val="false"/>
          <w:bCs w:val="false"/>
          <w:sz w:val="20"/>
          <w:szCs w:val="20"/>
        </w:rPr>
        <w:t xml:space="preserve">5.  The zero-issuance limit</w:t>
      </w:r>
      <w:r>
        <w:rPr>
          <w:rFonts w:ascii="Arial" w:cs="Arial" w:eastAsia="Arial" w:hAnsi="Arial"/>
          <w:sz w:val="20"/>
          <w:szCs w:val="20"/>
        </w:rPr>
        <w:t xml:space="preserve">	6</w:t>
      </w:r>
    </w:p>
    <w:p>
      <w:pPr>
        <w:tabs>
          <w:tab w:val="right" w:pos="9360" w:leader="dot"/>
        </w:tabs>
        <w:spacing w:after="30" w:line="264"/>
      </w:pPr>
      <w:r>
        <w:rPr>
          <w:rFonts w:ascii="Arial" w:cs="Arial" w:eastAsia="Arial" w:hAnsi="Arial"/>
          <w:b w:val="false"/>
          <w:bCs w:val="false"/>
          <w:sz w:val="20"/>
          <w:szCs w:val="20"/>
        </w:rPr>
        <w:t xml:space="preserve">6.  Index versus dividend: the bounded structural buyer</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 xml:space="preserve">7.  Dividend scaling with growth: an illustrative comparative static</w:t>
      </w:r>
      <w:r>
        <w:rPr>
          <w:rFonts w:ascii="Arial" w:cs="Arial" w:eastAsia="Arial" w:hAnsi="Arial"/>
          <w:sz w:val="20"/>
          <w:szCs w:val="20"/>
        </w:rPr>
        <w:t xml:space="preserve">	7</w:t>
      </w:r>
    </w:p>
    <w:p>
      <w:pPr>
        <w:tabs>
          <w:tab w:val="right" w:pos="9360" w:leader="dot"/>
        </w:tabs>
        <w:spacing w:after="30" w:line="264"/>
      </w:pPr>
      <w:r>
        <w:rPr>
          <w:rFonts w:ascii="Arial" w:cs="Arial" w:eastAsia="Arial" w:hAnsi="Arial"/>
          <w:b w:val="false"/>
          <w:bCs w:val="false"/>
          <w:sz w:val="20"/>
          <w:szCs w:val="20"/>
        </w:rPr>
        <w:t>8.  Where the results are most exposed</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8.1  The Mᵀ decomposition (the largest vulnerability)</w:t>
      </w:r>
      <w:r>
        <w:rPr>
          <w:rFonts w:ascii="Arial" w:cs="Arial" w:eastAsia="Arial" w:hAnsi="Arial"/>
          <w:sz w:val="20"/>
          <w:szCs w:val="20"/>
        </w:rPr>
        <w:t xml:space="preserve">	9</w:t>
      </w:r>
    </w:p>
    <w:p>
      <w:pPr>
        <w:tabs>
          <w:tab w:val="right" w:pos="9360" w:leader="dot"/>
        </w:tabs>
        <w:spacing w:after="30" w:line="264"/>
        <w:ind w:left="360"/>
      </w:pPr>
      <w:r>
        <w:rPr>
          <w:rFonts w:ascii="Arial" w:cs="Arial" w:eastAsia="Arial" w:hAnsi="Arial"/>
          <w:b w:val="false"/>
          <w:bCs w:val="false"/>
          <w:sz w:val="20"/>
          <w:szCs w:val="20"/>
        </w:rPr>
        <w:t xml:space="preserve">8.2  The 20% spillover</w:t>
      </w:r>
      <w:r>
        <w:rPr>
          <w:rFonts w:ascii="Arial" w:cs="Arial" w:eastAsia="Arial" w:hAnsi="Arial"/>
          <w:sz w:val="20"/>
          <w:szCs w:val="20"/>
        </w:rPr>
        <w:t xml:space="preserve">	10</w:t>
      </w:r>
    </w:p>
    <w:p>
      <w:pPr>
        <w:tabs>
          <w:tab w:val="right" w:pos="9360" w:leader="dot"/>
        </w:tabs>
        <w:spacing w:after="30" w:line="264"/>
        <w:ind w:left="360"/>
      </w:pPr>
      <w:r>
        <w:rPr>
          <w:rFonts w:ascii="Arial" w:cs="Arial" w:eastAsia="Arial" w:hAnsi="Arial"/>
          <w:b w:val="false"/>
          <w:bCs w:val="false"/>
          <w:sz w:val="20"/>
          <w:szCs w:val="20"/>
        </w:rPr>
        <w:t xml:space="preserve">8.3  Market-cap ownership assumptions</w:t>
      </w:r>
      <w:r>
        <w:rPr>
          <w:rFonts w:ascii="Arial" w:cs="Arial" w:eastAsia="Arial" w:hAnsi="Arial"/>
          <w:sz w:val="20"/>
          <w:szCs w:val="20"/>
        </w:rPr>
        <w:t xml:space="preserve">	10</w:t>
      </w:r>
    </w:p>
    <w:p>
      <w:pPr>
        <w:tabs>
          <w:tab w:val="right" w:pos="9360" w:leader="dot"/>
        </w:tabs>
        <w:spacing w:after="30" w:line="264"/>
        <w:ind w:left="360"/>
      </w:pPr>
      <w:r>
        <w:rPr>
          <w:rFonts w:ascii="Arial" w:cs="Arial" w:eastAsia="Arial" w:hAnsi="Arial"/>
          <w:b w:val="false"/>
          <w:bCs w:val="false"/>
          <w:sz w:val="20"/>
          <w:szCs w:val="20"/>
        </w:rPr>
        <w:t xml:space="preserve">8.4  Governance of the constitutional parameters</w:t>
      </w:r>
      <w:r>
        <w:rPr>
          <w:rFonts w:ascii="Arial" w:cs="Arial" w:eastAsia="Arial" w:hAnsi="Arial"/>
          <w:sz w:val="20"/>
          <w:szCs w:val="20"/>
        </w:rPr>
        <w:t xml:space="preserve">	11</w:t>
      </w:r>
    </w:p>
    <w:p>
      <w:pPr>
        <w:tabs>
          <w:tab w:val="right" w:pos="9360" w:leader="dot"/>
        </w:tabs>
        <w:spacing w:after="30" w:line="264"/>
      </w:pPr>
      <w:r>
        <w:rPr>
          <w:rFonts w:ascii="Arial" w:cs="Arial" w:eastAsia="Arial" w:hAnsi="Arial"/>
          <w:b w:val="false"/>
          <w:bCs w:val="false"/>
          <w:sz w:val="20"/>
          <w:szCs w:val="20"/>
        </w:rPr>
        <w:t xml:space="preserve">9.  Robustness: what the sensitivities add up to</w:t>
      </w:r>
      <w:r>
        <w:rPr>
          <w:rFonts w:ascii="Arial" w:cs="Arial" w:eastAsia="Arial" w:hAnsi="Arial"/>
          <w:sz w:val="20"/>
          <w:szCs w:val="20"/>
        </w:rPr>
        <w:t xml:space="preserve">	11</w:t>
      </w:r>
    </w:p>
    <w:p>
      <w:pPr>
        <w:tabs>
          <w:tab w:val="right" w:pos="9360" w:leader="dot"/>
        </w:tabs>
        <w:spacing w:after="30" w:line="264"/>
      </w:pPr>
      <w:r>
        <w:rPr>
          <w:rFonts w:ascii="Arial" w:cs="Arial" w:eastAsia="Arial" w:hAnsi="Arial"/>
          <w:b w:val="false"/>
          <w:bCs w:val="false"/>
          <w:sz w:val="20"/>
          <w:szCs w:val="20"/>
        </w:rPr>
        <w:t xml:space="preserve">10.  Conclusion</w:t>
      </w:r>
      <w:r>
        <w:rPr>
          <w:rFonts w:ascii="Arial" w:cs="Arial" w:eastAsia="Arial" w:hAnsi="Arial"/>
          <w:sz w:val="20"/>
          <w:szCs w:val="20"/>
        </w:rPr>
        <w:t xml:space="preserve">	12</w:t>
      </w:r>
    </w:p>
    <w:p>
      <w:pPr>
        <w:tabs>
          <w:tab w:val="right" w:pos="9360" w:leader="dot"/>
        </w:tabs>
        <w:spacing w:after="30" w:line="264"/>
      </w:pPr>
      <w:r>
        <w:rPr>
          <w:rFonts w:ascii="Arial" w:cs="Arial" w:eastAsia="Arial" w:hAnsi="Arial"/>
          <w:b w:val="false"/>
          <w:bCs w:val="false"/>
          <w:sz w:val="20"/>
          <w:szCs w:val="20"/>
        </w:rPr>
        <w:t xml:space="preserve">References</w:t>
      </w:r>
      <w:r>
        <w:rPr>
          <w:rFonts w:ascii="Arial" w:cs="Arial" w:eastAsia="Arial" w:hAnsi="Arial"/>
          <w:sz w:val="20"/>
          <w:szCs w:val="20"/>
        </w:rPr>
        <w:t xml:space="preserve">	13</w:t>
      </w:r>
    </w:p>
    <w:p>
      <w:pPr>
        <w:tabs>
          <w:tab w:val="right" w:pos="9360" w:leader="dot"/>
        </w:tabs>
        <w:spacing w:after="30" w:line="264"/>
      </w:pPr>
      <w:r>
        <w:rPr>
          <w:rFonts w:ascii="Arial" w:cs="Arial" w:eastAsia="Arial" w:hAnsi="Arial"/>
          <w:b w:val="false"/>
          <w:bCs w:val="false"/>
          <w:sz w:val="20"/>
          <w:szCs w:val="20"/>
        </w:rPr>
        <w:t>Appendix A — The issuance rule in full, and its replication</w:t>
      </w:r>
      <w:r>
        <w:rPr>
          <w:rFonts w:ascii="Arial" w:cs="Arial" w:eastAsia="Arial" w:hAnsi="Arial"/>
          <w:sz w:val="20"/>
          <w:szCs w:val="20"/>
        </w:rPr>
      </w:r>
    </w:p>
    <w:p>
      <w:pPr>
        <w:tabs>
          <w:tab w:val="right" w:pos="9360" w:leader="dot"/>
        </w:tabs>
        <w:spacing w:after="30" w:line="264"/>
      </w:pPr>
      <w:r>
        <w:rPr>
          <w:rFonts w:ascii="Arial" w:cs="Arial" w:eastAsia="Arial" w:hAnsi="Arial"/>
          <w:b w:val="false"/>
          <w:bCs w:val="false"/>
          <w:sz w:val="20"/>
          <w:szCs w:val="20"/>
        </w:rPr>
        <w:t xml:space="preserve">    A.1  Calibration</w:t>
      </w:r>
      <w:r>
        <w:rPr>
          <w:rFonts w:ascii="Arial" w:cs="Arial" w:eastAsia="Arial" w:hAnsi="Arial"/>
          <w:sz w:val="20"/>
          <w:szCs w:val="20"/>
        </w:rPr>
      </w:r>
    </w:p>
    <w:p>
      <w:pPr>
        <w:tabs>
          <w:tab w:val="right" w:pos="9360" w:leader="dot"/>
        </w:tabs>
        <w:spacing w:after="30" w:line="264"/>
      </w:pPr>
      <w:r>
        <w:rPr>
          <w:rFonts w:ascii="Arial" w:cs="Arial" w:eastAsia="Arial" w:hAnsi="Arial"/>
          <w:b w:val="false"/>
          <w:bCs w:val="false"/>
          <w:sz w:val="20"/>
          <w:szCs w:val="20"/>
        </w:rPr>
        <w:t xml:space="preserve">    A.2  The four channels</w:t>
      </w:r>
      <w:r>
        <w:rPr>
          <w:rFonts w:ascii="Arial" w:cs="Arial" w:eastAsia="Arial" w:hAnsi="Arial"/>
          <w:sz w:val="20"/>
          <w:szCs w:val="20"/>
        </w:rPr>
      </w:r>
    </w:p>
    <w:p>
      <w:pPr>
        <w:tabs>
          <w:tab w:val="right" w:pos="9360" w:leader="dot"/>
        </w:tabs>
        <w:spacing w:after="30" w:line="264"/>
      </w:pPr>
      <w:r>
        <w:rPr>
          <w:rFonts w:ascii="Arial" w:cs="Arial" w:eastAsia="Arial" w:hAnsi="Arial"/>
          <w:b w:val="false"/>
          <w:bCs w:val="false"/>
          <w:sz w:val="20"/>
          <w:szCs w:val="20"/>
        </w:rPr>
        <w:t xml:space="preserve">    A.3  The price-stability locus, derived</w:t>
      </w:r>
      <w:r>
        <w:rPr>
          <w:rFonts w:ascii="Arial" w:cs="Arial" w:eastAsia="Arial" w:hAnsi="Arial"/>
          <w:sz w:val="20"/>
          <w:szCs w:val="20"/>
        </w:rPr>
      </w:r>
    </w:p>
    <w:p>
      <w:pPr>
        <w:tabs>
          <w:tab w:val="right" w:pos="9360" w:leader="dot"/>
        </w:tabs>
        <w:spacing w:after="30" w:line="264"/>
      </w:pPr>
      <w:r>
        <w:rPr>
          <w:rFonts w:ascii="Arial" w:cs="Arial" w:eastAsia="Arial" w:hAnsi="Arial"/>
          <w:b w:val="false"/>
          <w:bCs w:val="false"/>
          <w:sz w:val="20"/>
          <w:szCs w:val="20"/>
        </w:rPr>
        <w:t xml:space="preserve">    A.4  The ownership bound, derived</w:t>
      </w:r>
      <w:r>
        <w:rPr>
          <w:rFonts w:ascii="Arial" w:cs="Arial" w:eastAsia="Arial" w:hAnsi="Arial"/>
          <w:sz w:val="20"/>
          <w:szCs w:val="20"/>
        </w:rPr>
      </w:r>
    </w:p>
    <w:p>
      <w:pPr>
        <w:tabs>
          <w:tab w:val="right" w:pos="9360" w:leader="dot"/>
        </w:tabs>
        <w:spacing w:after="30" w:line="264"/>
      </w:pPr>
      <w:r>
        <w:rPr>
          <w:rFonts w:ascii="Arial" w:cs="Arial" w:eastAsia="Arial" w:hAnsi="Arial"/>
          <w:b w:val="false"/>
          <w:bCs w:val="false"/>
          <w:sz w:val="20"/>
          <w:szCs w:val="20"/>
        </w:rPr>
        <w:t xml:space="preserve">    A.5  The zero-issuance limit</w:t>
      </w:r>
      <w:r>
        <w:rPr>
          <w:rFonts w:ascii="Arial" w:cs="Arial" w:eastAsia="Arial" w:hAnsi="Arial"/>
          <w:sz w:val="20"/>
          <w:szCs w:val="20"/>
        </w:rPr>
      </w:r>
    </w:p>
    <w:p>
      <w:pPr>
        <w:tabs>
          <w:tab w:val="right" w:pos="9360" w:leader="dot"/>
        </w:tabs>
        <w:spacing w:after="30" w:line="264"/>
      </w:pPr>
      <w:r>
        <w:rPr>
          <w:rFonts w:ascii="Arial" w:cs="Arial" w:eastAsia="Arial" w:hAnsi="Arial"/>
          <w:b w:val="false"/>
          <w:bCs w:val="false"/>
          <w:sz w:val="20"/>
          <w:szCs w:val="20"/>
        </w:rPr>
        <w:t xml:space="preserve">    A.6  Replication</w:t>
      </w:r>
      <w:r>
        <w:rPr>
          <w:rFonts w:ascii="Arial" w:cs="Arial" w:eastAsia="Arial" w:hAnsi="Arial"/>
          <w:sz w:val="20"/>
          <w:szCs w:val="20"/>
        </w:rPr>
      </w:r>
    </w:p>
    <w:p>
      <w:r>
        <w:br w:type="page"/>
      </w:r>
    </w:p>
    <w:p>
      <w:pPr>
        <w:pStyle w:val="Heading1"/>
        <w:spacing w:after="130" w:before="320"/>
      </w:pPr>
      <w:r>
        <w:rPr>
          <w:rFonts w:ascii="Arial" w:cs="Arial" w:eastAsia="Arial" w:hAnsi="Arial"/>
          <w:color w:val="2E74B5"/>
          <w:sz w:val="32"/>
          <w:szCs w:val="32"/>
        </w:rPr>
        <w:t xml:space="preserve">1.  Introduction</w:t>
      </w:r>
    </w:p>
    <w:p>
      <w:pPr>
        <w:spacing w:after="130" w:line="268"/>
        <w:jc w:val="both"/>
      </w:pPr>
      <w:r>
        <w:rPr>
          <w:rFonts w:ascii="Arial" w:cs="Arial" w:eastAsia="Arial" w:hAnsi="Arial"/>
        </w:rPr>
        <w:t xml:space="preserve">A monetary architecture that creates money by formula and distributes it equally to citizens raises two questions that must be answered before any of its distributional claims can be assessed: what does it do to the price level, and how much of the capital stock does it end up owning? This paper answers both, and the answers take the same form. Each has a bound rather than a parameter. Price stability is a locus — a single growth-matched expansion of the transactional circuit, fixed by the growth rate and not chosen by the designer. Citizen ownership is capped at c/g by the arithmetic of accumulation against decumulation, and cannot be driven to the whole market by any setting of the rule. Neither outcome is selected; both are implied. What follows derives them, and then goes to the places the derivation is most exposed and meets them directly.</w:t>
      </w:r>
    </w:p>
    <w:p>
      <w:pPr>
        <w:spacing w:after="130" w:line="268"/>
        <w:jc w:val="both"/>
      </w:pPr>
      <w:r>
        <w:rPr>
          <w:rFonts w:ascii="Arial" w:cs="Arial" w:eastAsia="Arial" w:hAnsi="Arial"/>
        </w:rPr>
        <w:t xml:space="preserve">Two commitments organise the argument. First, </w:t>
      </w:r>
      <w:r>
        <w:rPr>
          <w:rFonts w:ascii="Arial" w:cs="Arial" w:eastAsia="Arial" w:hAnsi="Arial"/>
          <w:i/>
          <w:iCs/>
        </w:rPr>
        <w:t>transparency</w:t>
      </w:r>
      <w:r>
        <w:rPr>
          <w:rFonts w:ascii="Arial" w:cs="Arial" w:eastAsia="Arial" w:hAnsi="Arial"/>
        </w:rPr>
        <w:t xml:space="preserve">: every quantity reported is derived rather than asserted, channel by channel, with no step hidden in prose; the computation is public and the code is cited. Second, </w:t>
      </w:r>
      <w:r>
        <w:rPr>
          <w:rFonts w:ascii="Arial" w:cs="Arial" w:eastAsia="Arial" w:hAnsi="Arial"/>
          <w:i/>
          <w:iCs/>
        </w:rPr>
        <w:t>falsifiability</w:t>
      </w:r>
      <w:r>
        <w:rPr>
          <w:rFonts w:ascii="Arial" w:cs="Arial" w:eastAsia="Arial" w:hAnsi="Arial"/>
        </w:rPr>
        <w:t>: where a number is an empirical estimate rather than an identity — and three of them are — we say so, give the identification strategy, and report how far the conclusions move when the estimate is wrong. A result that cannot survive its own sensitivity analysis does not deserve adoption; one that can should be judged on its structure, not on a contested decimal.</w:t>
      </w:r>
    </w:p>
    <w:p>
      <w:pPr>
        <w:spacing w:after="130" w:line="268"/>
        <w:jc w:val="both"/>
      </w:pPr>
      <w:r>
        <w:rPr>
          <w:rFonts w:ascii="Arial" w:cs="Arial" w:eastAsia="Arial" w:hAnsi="Arial"/>
        </w:rPr>
        <w:t xml:space="preserve">Sections 2–6 develop the model: the dual-circuit architecture (§2), the four issuance channels and their formulae (§3), inflation as a derived quantity and the price-stability locus (§4), the zero-issuance limit (§5), and the index-versus-dividend distinction with the bounded structural buyer (§6). Section 7 — the heart of the paper — confronts the four anticipated lines of critique. Section 8 synthesises the robustness picture; §9 concludes. Throughout, the calibration is the United States: broad money </w:t>
      </w:r>
      <w:r>
        <w:rPr>
          <w:rFonts w:ascii="Arial" w:cs="Arial" w:eastAsia="Arial" w:hAnsi="Arial"/>
          <w:b w:val="false"/>
          <w:bCs w:val="false"/>
          <w:i w:val="false"/>
          <w:iCs w:val="false"/>
        </w:rPr>
        <w:t xml:space="preserve">M2 ≈</w:t>
      </w:r>
      <w:r>
        <w:rPr>
          <w:rFonts w:ascii="Arial" w:cs="Arial" w:eastAsia="Arial" w:hAnsi="Arial"/>
        </w:rPr>
        <w:t xml:space="preserve"> $22.4T, real growth </w:t>
      </w:r>
      <w:r>
        <w:rPr>
          <w:rFonts w:ascii="Arial" w:cs="Arial" w:eastAsia="Arial" w:hAnsi="Arial"/>
          <w:b w:val="false"/>
          <w:bCs w:val="false"/>
          <w:i w:val="false"/>
          <w:iCs w:val="false"/>
        </w:rPr>
        <w:t xml:space="preserve">g </w:t>
      </w:r>
      <w:r>
        <w:rPr>
          <w:rFonts w:ascii="Arial" w:cs="Arial" w:eastAsia="Arial" w:hAnsi="Arial"/>
        </w:rPr>
        <w:t xml:space="preserve">≈ 2%, GDP ≈ $30.8T, population ≈ 342M, and a domestic equity-index capitalisation of ≈ $69T.</w:t>
      </w:r>
    </w:p>
    <w:p>
      <w:pPr>
        <w:pStyle w:val="Heading1"/>
        <w:spacing w:after="130" w:before="320"/>
      </w:pPr>
      <w:r>
        <w:rPr>
          <w:rFonts w:ascii="Arial" w:cs="Arial" w:eastAsia="Arial" w:hAnsi="Arial"/>
          <w:color w:val="2E74B5"/>
          <w:sz w:val="32"/>
          <w:szCs w:val="32"/>
        </w:rPr>
        <w:t xml:space="preserve">2.  Architecture: one budget, two circuits</w:t>
      </w:r>
    </w:p>
    <w:p>
      <w:pPr>
        <w:spacing w:after="130" w:line="268"/>
        <w:jc w:val="both"/>
      </w:pPr>
      <w:r>
        <w:rPr>
          <w:rFonts w:ascii="Arial" w:cs="Arial" w:eastAsia="Arial" w:hAnsi="Arial"/>
        </w:rPr>
        <w:t xml:space="preserve">The engine issues, at most, one growth-matched budget of new money each year, and the single analytical move that makes the rest tractable is to recognise that newly issued money does not all act on prices. It lands in one of two circuits. The </w:t>
      </w:r>
      <w:r>
        <w:rPr>
          <w:rFonts w:ascii="Arial" w:cs="Arial" w:eastAsia="Arial" w:hAnsi="Arial"/>
          <w:i/>
          <w:iCs/>
        </w:rPr>
        <w:t xml:space="preserve">transactional circuit </w:t>
      </w:r>
      <w:r>
        <w:rPr>
          <w:rFonts w:ascii="Arial" w:cs="Arial" w:eastAsia="Arial" w:hAnsi="Arial"/>
        </w:rPr>
        <w:t xml:space="preserve">(Mᵀ) is money that circulates against currently-produced goods and services; by the quantity identity it, and only it, sets the goods price level:</w:t>
      </w:r>
    </w:p>
    <w:p>
      <w:pPr>
        <w:spacing w:after="120" w:before="80" w:line="252"/>
        <w:jc w:val="center"/>
      </w:pPr>
      <w:r>
        <w:rPr>
          <w:rFonts w:ascii="Arial" w:cs="Arial" w:eastAsia="Arial" w:hAnsi="Arial"/>
          <w:b w:val="false"/>
          <w:bCs w:val="false"/>
          <w:i/>
          <w:iCs/>
        </w:rPr>
        <w:t xml:space="preserve">P</w:t>
      </w:r>
      <w:r>
        <w:rPr>
          <w:rFonts w:ascii="Arial" w:cs="Arial" w:eastAsia="Arial" w:hAnsi="Arial"/>
        </w:rPr>
        <w:t xml:space="preserve"> = </w:t>
      </w:r>
      <w:r>
        <w:rPr>
          <w:rFonts w:ascii="Arial" w:cs="Arial" w:eastAsia="Arial" w:hAnsi="Arial"/>
          <w:b w:val="false"/>
          <w:bCs w:val="false"/>
          <w:i/>
          <w:iCs/>
        </w:rPr>
        <w:t xml:space="preserve">M</w:t>
      </w:r>
      <w:r>
        <w:rPr>
          <w:rFonts w:ascii="Arial" w:cs="Arial" w:eastAsia="Arial" w:hAnsi="Arial"/>
          <w:b w:val="false"/>
          <w:bCs w:val="false"/>
          <w:i w:val="false"/>
          <w:iCs w:val="false"/>
          <w:vertAlign w:val="superscript"/>
        </w:rPr>
        <w:t xml:space="preserve">T</w:t>
      </w:r>
      <w:r>
        <w:rPr>
          <w:rFonts w:ascii="Arial" w:cs="Arial" w:eastAsia="Arial" w:hAnsi="Arial"/>
        </w:rPr>
        <w:t xml:space="preserve"> · </w:t>
      </w:r>
      <w:r>
        <w:rPr>
          <w:rFonts w:ascii="Arial" w:cs="Arial" w:eastAsia="Arial" w:hAnsi="Arial"/>
          <w:b w:val="false"/>
          <w:bCs w:val="false"/>
          <w:i/>
          <w:iCs/>
        </w:rPr>
        <w:t xml:space="preserve">V</w:t>
      </w:r>
      <w:r>
        <w:rPr>
          <w:rFonts w:ascii="Arial" w:cs="Arial" w:eastAsia="Arial" w:hAnsi="Arial"/>
        </w:rPr>
        <w:t xml:space="preserve"> / </w:t>
      </w:r>
      <w:r>
        <w:rPr>
          <w:rFonts w:ascii="Arial" w:cs="Arial" w:eastAsia="Arial" w:hAnsi="Arial"/>
          <w:b w:val="false"/>
          <w:bCs w:val="false"/>
          <w:i/>
          <w:iCs/>
        </w:rPr>
        <w:t xml:space="preserve">Y</w:t>
      </w:r>
    </w:p>
    <w:p>
      <w:pPr>
        <w:spacing w:after="130" w:line="268"/>
        <w:jc w:val="both"/>
      </w:pPr>
      <w:r>
        <w:rPr>
          <w:rFonts w:ascii="Arial" w:cs="Arial" w:eastAsia="Arial" w:hAnsi="Arial"/>
        </w:rPr>
        <w:t xml:space="preserve">The </w:t>
      </w:r>
      <w:r>
        <w:rPr>
          <w:rFonts w:ascii="Arial" w:cs="Arial" w:eastAsia="Arial" w:hAnsi="Arial"/>
          <w:i/>
          <w:iCs/>
        </w:rPr>
        <w:t xml:space="preserve">asset circuit </w:t>
      </w:r>
      <w:r>
        <w:rPr>
          <w:rFonts w:ascii="Arial" w:cs="Arial" w:eastAsia="Arial" w:hAnsi="Arial"/>
        </w:rPr>
        <w:t xml:space="preserve">(Mᵃ) is money that is locked into the citizen savings floor and held as equity. It bids on existing assets, not on groceries, so it is inert with respect to goods prices except through a small, explicitly-modelled leakage (the spillover of §4). The decomposition is the whole trick: it is what allows a large gross issuance to be price-neutral, because most of it can be routed into Mᵃ, where it builds wealth without chasing output. Holding this distinction, the modes stop looking like sleight of hand and become what they are — different routings of one budget between two circuits.</w:t>
      </w:r>
    </w:p>
    <w:p>
      <w:pPr>
        <w:spacing w:after="130" w:line="268"/>
        <w:jc w:val="both"/>
      </w:pPr>
      <w:r>
        <w:rPr>
          <w:rFonts w:ascii="Arial" w:cs="Arial" w:eastAsia="Arial" w:hAnsi="Arial"/>
        </w:rPr>
        <w:t xml:space="preserve">The transactional share is written </w:t>
      </w:r>
      <w:r>
        <w:rPr>
          <w:rFonts w:ascii="Arial" w:cs="Arial" w:eastAsia="Arial" w:hAnsi="Arial"/>
          <w:b w:val="false"/>
          <w:bCs w:val="false"/>
          <w:i/>
          <w:iCs/>
        </w:rPr>
        <w:t xml:space="preserve">μ </w:t>
      </w:r>
      <w:r>
        <w:rPr>
          <w:rFonts w:ascii="Arial" w:cs="Arial" w:eastAsia="Arial" w:hAnsi="Arial"/>
        </w:rPr>
        <w:t xml:space="preserve">= </w:t>
      </w:r>
      <w:r>
        <w:rPr>
          <w:rFonts w:ascii="Arial" w:cs="Arial" w:eastAsia="Arial" w:hAnsi="Arial"/>
          <w:b w:val="false"/>
          <w:bCs w:val="false"/>
          <w:i/>
          <w:iCs/>
        </w:rPr>
        <w:t xml:space="preserve">M</w:t>
      </w:r>
      <w:r>
        <w:rPr>
          <w:rFonts w:ascii="Arial" w:cs="Arial" w:eastAsia="Arial" w:hAnsi="Arial"/>
          <w:b w:val="false"/>
          <w:bCs w:val="false"/>
          <w:i w:val="false"/>
          <w:iCs w:val="false"/>
          <w:vertAlign w:val="superscript"/>
        </w:rPr>
        <w:t xml:space="preserve">T</w:t>
      </w:r>
      <w:r>
        <w:rPr>
          <w:rFonts w:ascii="Arial" w:cs="Arial" w:eastAsia="Arial" w:hAnsi="Arial"/>
        </w:rPr>
        <w:t xml:space="preserve">/</w:t>
      </w:r>
      <w:r>
        <w:rPr>
          <w:rFonts w:ascii="Arial" w:cs="Arial" w:eastAsia="Arial" w:hAnsi="Arial"/>
          <w:b w:val="false"/>
          <w:bCs w:val="false"/>
          <w:i/>
          <w:iCs/>
        </w:rPr>
        <w:t xml:space="preserve">M</w:t>
      </w:r>
      <w:r>
        <w:rPr>
          <w:rFonts w:ascii="Arial" w:cs="Arial" w:eastAsia="Arial" w:hAnsi="Arial"/>
        </w:rPr>
        <w:t xml:space="preserve">2, with a calibrated value </w:t>
      </w:r>
      <w:r>
        <w:rPr>
          <w:rFonts w:ascii="Arial" w:cs="Arial" w:eastAsia="Arial" w:hAnsi="Arial"/>
          <w:b w:val="false"/>
          <w:bCs w:val="false"/>
          <w:i/>
          <w:iCs/>
        </w:rPr>
        <w:t xml:space="preserve">μ </w:t>
      </w:r>
      <w:r>
        <w:rPr>
          <w:rFonts w:ascii="Arial" w:cs="Arial" w:eastAsia="Arial" w:hAnsi="Arial"/>
        </w:rPr>
        <w:t xml:space="preserve">≈ 0.5135, so </w:t>
      </w:r>
      <w:r>
        <w:rPr>
          <w:rFonts w:ascii="Arial" w:cs="Arial" w:eastAsia="Arial" w:hAnsi="Arial"/>
          <w:b w:val="false"/>
          <w:bCs w:val="false"/>
          <w:i/>
          <w:iCs/>
        </w:rPr>
        <w:t xml:space="preserve">M</w:t>
      </w:r>
      <w:r>
        <w:rPr>
          <w:rFonts w:ascii="Arial" w:cs="Arial" w:eastAsia="Arial" w:hAnsi="Arial"/>
          <w:b w:val="false"/>
          <w:bCs w:val="false"/>
          <w:i w:val="false"/>
          <w:iCs w:val="false"/>
          <w:vertAlign w:val="superscript"/>
        </w:rPr>
        <w:t xml:space="preserve">T</w:t>
      </w:r>
      <w:r>
        <w:rPr>
          <w:rFonts w:ascii="Arial" w:cs="Arial" w:eastAsia="Arial" w:hAnsi="Arial"/>
        </w:rPr>
        <w:t xml:space="preserve"> ≈ $11.5T. This single number is the most consequential empirical input in the framework, and §7.1 is devoted to defending it.</w:t>
      </w:r>
    </w:p>
    <w:p>
      <w:pPr>
        <w:pStyle w:val="Heading1"/>
        <w:spacing w:after="130" w:before="320"/>
      </w:pPr>
      <w:r>
        <w:rPr>
          <w:rFonts w:ascii="Arial" w:cs="Arial" w:eastAsia="Arial" w:hAnsi="Arial"/>
          <w:color w:val="2E74B5"/>
          <w:sz w:val="32"/>
          <w:szCs w:val="32"/>
        </w:rPr>
        <w:t xml:space="preserve">3.  The four issuance channels</w:t>
      </w:r>
    </w:p>
    <w:p>
      <w:pPr>
        <w:spacing w:after="130" w:line="268"/>
        <w:jc w:val="both"/>
      </w:pPr>
      <w:r>
        <w:rPr>
          <w:rFonts w:ascii="Arial" w:cs="Arial" w:eastAsia="Arial" w:hAnsi="Arial"/>
        </w:rPr>
        <w:t xml:space="preserve">Each year the engine evaluates four channels in a fixed order. The first sizes a per-citizen endowment; the second sizes the whole growth budget; the third routes that budget between the two circuits; the fourth, used only when inflation is deliberately wanted, issues above the growth line.</w:t>
      </w:r>
    </w:p>
    <w:p>
      <w:pPr>
        <w:pStyle w:val="Heading2"/>
        <w:spacing w:after="80" w:before="220"/>
      </w:pPr>
      <w:r>
        <w:rPr>
          <w:rFonts w:ascii="Arial" w:cs="Arial" w:eastAsia="Arial" w:hAnsi="Arial"/>
          <w:color w:val="2E74B5"/>
          <w:sz w:val="26"/>
          <w:szCs w:val="26"/>
        </w:rPr>
        <w:t xml:space="preserve">3.1  K1 — Citizenship</w:t>
      </w:r>
    </w:p>
    <w:p>
      <w:pPr>
        <w:spacing w:after="130" w:line="268"/>
        <w:jc w:val="both"/>
      </w:pPr>
      <w:r>
        <w:rPr>
          <w:rFonts w:ascii="Arial" w:cs="Arial" w:eastAsia="Arial" w:hAnsi="Arial"/>
        </w:rPr>
        <w:t xml:space="preserve">A one-time endowment paid into the floor for each new citizen, sized as a share </w:t>
      </w:r>
      <w:r>
        <w:rPr>
          <w:rFonts w:ascii="Arial" w:cs="Arial" w:eastAsia="Arial" w:hAnsi="Arial"/>
          <w:i/>
          <w:iCs/>
        </w:rPr>
        <w:t xml:space="preserve">k₁</w:t>
      </w:r>
      <w:r>
        <w:rPr>
          <w:rFonts w:ascii="Arial" w:cs="Arial" w:eastAsia="Arial" w:hAnsi="Arial"/>
        </w:rPr>
        <w:t xml:space="preserve"> of GDP per capita:</w:t>
      </w:r>
    </w:p>
    <w:p>
      <w:pPr>
        <w:spacing w:after="120" w:before="80" w:line="252"/>
        <w:jc w:val="center"/>
      </w:pPr>
      <w:r>
        <w:rPr>
          <w:rFonts w:ascii="Arial" w:cs="Arial" w:eastAsia="Arial" w:hAnsi="Arial"/>
          <w:b w:val="false"/>
          <w:bCs w:val="false"/>
          <w:i/>
          <w:iCs/>
        </w:rPr>
        <w:t xml:space="preserve">K</w:t>
      </w:r>
      <w:r>
        <w:rPr>
          <w:rFonts w:ascii="Arial" w:cs="Arial" w:eastAsia="Arial" w:hAnsi="Arial"/>
          <w:b w:val="false"/>
          <w:bCs w:val="false"/>
          <w:i w:val="false"/>
          <w:iCs w:val="false"/>
          <w:vertAlign w:val="subscript"/>
        </w:rPr>
        <w:t xml:space="preserve">1</w:t>
      </w:r>
      <w:r>
        <w:rPr>
          <w:rFonts w:ascii="Arial" w:cs="Arial" w:eastAsia="Arial" w:hAnsi="Arial"/>
        </w:rPr>
        <w:t xml:space="preserve"> = </w:t>
      </w:r>
      <w:r>
        <w:rPr>
          <w:rFonts w:ascii="Arial" w:cs="Arial" w:eastAsia="Arial" w:hAnsi="Arial"/>
          <w:b w:val="false"/>
          <w:bCs w:val="false"/>
          <w:i/>
          <w:iCs/>
        </w:rPr>
        <w:t xml:space="preserve">k</w:t>
      </w:r>
      <w:r>
        <w:rPr>
          <w:rFonts w:ascii="Arial" w:cs="Arial" w:eastAsia="Arial" w:hAnsi="Arial"/>
          <w:b w:val="false"/>
          <w:bCs w:val="false"/>
          <w:i w:val="false"/>
          <w:iCs w:val="false"/>
          <w:vertAlign w:val="subscript"/>
        </w:rPr>
        <w:t xml:space="preserve">1</w:t>
      </w:r>
      <w:r>
        <w:rPr>
          <w:rFonts w:ascii="Arial" w:cs="Arial" w:eastAsia="Arial" w:hAnsi="Arial"/>
        </w:rPr>
        <w:t xml:space="preserve"> · (</w:t>
      </w:r>
      <w:r>
        <w:rPr>
          <w:rFonts w:ascii="Arial" w:cs="Arial" w:eastAsia="Arial" w:hAnsi="Arial"/>
          <w:b w:val="false"/>
          <w:bCs w:val="false"/>
          <w:i/>
          <w:iCs/>
        </w:rPr>
        <w:t xml:space="preserve">GDP</w:t>
      </w:r>
      <w:r>
        <w:rPr>
          <w:rFonts w:ascii="Arial" w:cs="Arial" w:eastAsia="Arial" w:hAnsi="Arial"/>
        </w:rPr>
        <w:t xml:space="preserve"> / </w:t>
      </w:r>
      <w:r>
        <w:rPr>
          <w:rFonts w:ascii="Arial" w:cs="Arial" w:eastAsia="Arial" w:hAnsi="Arial"/>
          <w:b w:val="false"/>
          <w:bCs w:val="false"/>
          <w:i/>
          <w:iCs/>
        </w:rPr>
        <w:t xml:space="preserve">N</w:t>
      </w:r>
      <w:r>
        <w:rPr>
          <w:rFonts w:ascii="Arial" w:cs="Arial" w:eastAsia="Arial" w:hAnsi="Arial"/>
        </w:rPr>
        <w:t xml:space="preserve">) · </w:t>
      </w:r>
      <w:r>
        <w:rPr>
          <w:rFonts w:ascii="Arial" w:cs="Arial" w:eastAsia="Arial" w:hAnsi="Arial"/>
          <w:b w:val="false"/>
          <w:bCs w:val="false"/>
          <w:i/>
          <w:iCs/>
        </w:rPr>
        <w:t xml:space="preserve">B</w:t>
      </w:r>
    </w:p>
    <w:p>
      <w:pPr>
        <w:spacing w:after="130" w:line="268"/>
        <w:jc w:val="both"/>
      </w:pPr>
      <w:r>
        <w:rPr>
          <w:rFonts w:ascii="Arial" w:cs="Arial" w:eastAsia="Arial" w:hAnsi="Arial"/>
          <w:i/>
          <w:iCs/>
        </w:rPr>
        <w:t xml:space="preserve">N</w:t>
      </w:r>
      <w:r>
        <w:rPr>
          <w:rFonts w:ascii="Arial" w:cs="Arial" w:eastAsia="Arial" w:hAnsi="Arial"/>
        </w:rPr>
        <w:t xml:space="preserve"> is population and </w:t>
      </w:r>
      <w:r>
        <w:rPr>
          <w:rFonts w:ascii="Arial" w:cs="Arial" w:eastAsia="Arial" w:hAnsi="Arial"/>
          <w:i/>
          <w:iCs/>
        </w:rPr>
        <w:t xml:space="preserve">B</w:t>
      </w:r>
      <w:r>
        <w:rPr>
          <w:rFonts w:ascii="Arial" w:cs="Arial" w:eastAsia="Arial" w:hAnsi="Arial"/>
        </w:rPr>
        <w:t xml:space="preserve"> the gross number of new citizens in the year. K1 is set by citizenship, not by growth: it fires for each new citizen at k₁ times GDP per capita whatever the growth rate, and is charged first against the growth budget. In a normal year the budget more than covers it; in a flat or contracting year the budget is small or zero, so K1 still flows to new citizens as a guaranteed citizenship floor while the residual for K2 and K3 falls to zero. The default is </w:t>
      </w:r>
      <w:r>
        <w:rPr>
          <w:rFonts w:ascii="Arial" w:cs="Arial" w:eastAsia="Arial" w:hAnsi="Arial"/>
          <w:i/>
          <w:iCs/>
        </w:rPr>
        <w:t xml:space="preserve">k₁</w:t>
      </w:r>
      <w:r>
        <w:rPr>
          <w:rFonts w:ascii="Arial" w:cs="Arial" w:eastAsia="Arial" w:hAnsi="Arial"/>
        </w:rPr>
        <w:t xml:space="preserve"> = 2.5%; setting </w:t>
      </w:r>
      <w:r>
        <w:rPr>
          <w:rFonts w:ascii="Arial" w:cs="Arial" w:eastAsia="Arial" w:hAnsi="Arial"/>
          <w:i/>
          <w:iCs/>
        </w:rPr>
        <w:t xml:space="preserve">k₁</w:t>
      </w:r>
      <w:r>
        <w:rPr>
          <w:rFonts w:ascii="Arial" w:cs="Arial" w:eastAsia="Arial" w:hAnsi="Arial"/>
        </w:rPr>
        <w:t xml:space="preserve"> = 0 creates no endowment.</w:t>
      </w:r>
    </w:p>
    <w:p>
      <w:pPr>
        <w:pStyle w:val="Heading2"/>
        <w:spacing w:after="80" w:before="220"/>
      </w:pPr>
      <w:r>
        <w:rPr>
          <w:rFonts w:ascii="Arial" w:cs="Arial" w:eastAsia="Arial" w:hAnsi="Arial"/>
          <w:color w:val="2E74B5"/>
          <w:sz w:val="26"/>
          <w:szCs w:val="26"/>
        </w:rPr>
        <w:t xml:space="preserve">3.2  K2 — the growth budget</w:t>
      </w:r>
    </w:p>
    <w:p>
      <w:pPr>
        <w:spacing w:after="130" w:line="268"/>
        <w:jc w:val="both"/>
      </w:pPr>
      <w:r>
        <w:rPr>
          <w:rFonts w:ascii="Arial" w:cs="Arial" w:eastAsia="Arial" w:hAnsi="Arial"/>
        </w:rPr>
        <w:t xml:space="preserve">The throttle that sets how much new money exists. The full growth-matched budget is </w:t>
      </w:r>
      <w:r>
        <w:rPr>
          <w:rFonts w:ascii="Arial" w:cs="Arial" w:eastAsia="Arial" w:hAnsi="Arial"/>
          <w:i/>
          <w:iCs/>
        </w:rPr>
        <w:t xml:space="preserve">M</w:t>
      </w:r>
      <w:r>
        <w:rPr>
          <w:rFonts w:ascii="Arial" w:cs="Arial" w:eastAsia="Arial" w:hAnsi="Arial"/>
        </w:rPr>
        <w:t xml:space="preserve">2 · </w:t>
      </w:r>
      <w:r>
        <w:rPr>
          <w:rFonts w:ascii="Arial" w:cs="Arial" w:eastAsia="Arial" w:hAnsi="Arial"/>
          <w:i/>
          <w:iCs/>
        </w:rPr>
        <w:t xml:space="preserve">g</w:t>
      </w:r>
      <w:r>
        <w:rPr>
          <w:rFonts w:ascii="Arial" w:cs="Arial" w:eastAsia="Arial" w:hAnsi="Arial"/>
        </w:rPr>
        <w:t xml:space="preserve">; the dial </w:t>
      </w:r>
      <w:r>
        <w:rPr>
          <w:rFonts w:ascii="Arial" w:cs="Arial" w:eastAsia="Arial" w:hAnsi="Arial"/>
          <w:i/>
          <w:iCs/>
        </w:rPr>
        <w:t xml:space="preserve">k₂</w:t>
      </w:r>
      <w:r>
        <w:rPr>
          <w:rFonts w:ascii="Arial" w:cs="Arial" w:eastAsia="Arial" w:hAnsi="Arial"/>
        </w:rPr>
        <w:t xml:space="preserve"> issues a chosen share of it:</w:t>
      </w:r>
    </w:p>
    <w:p>
      <w:pPr>
        <w:spacing w:after="120" w:before="80" w:line="252"/>
        <w:jc w:val="center"/>
      </w:pPr>
      <w:r>
        <w:rPr>
          <w:rFonts w:ascii="Arial" w:cs="Arial" w:eastAsia="Arial" w:hAnsi="Arial"/>
          <w:b w:val="false"/>
          <w:bCs w:val="false"/>
          <w:i/>
          <w:iCs/>
        </w:rPr>
        <w:t xml:space="preserve">G</w:t>
      </w:r>
      <w:r>
        <w:rPr>
          <w:rFonts w:ascii="Arial" w:cs="Arial" w:eastAsia="Arial" w:hAnsi="Arial"/>
        </w:rPr>
        <w:t xml:space="preserve"> = </w:t>
      </w:r>
      <w:r>
        <w:rPr>
          <w:rFonts w:ascii="Arial" w:cs="Arial" w:eastAsia="Arial" w:hAnsi="Arial"/>
          <w:b w:val="false"/>
          <w:bCs w:val="false"/>
          <w:i/>
          <w:iCs/>
        </w:rPr>
        <w:t xml:space="preserve">k</w:t>
      </w:r>
      <w:r>
        <w:rPr>
          <w:rFonts w:ascii="Arial" w:cs="Arial" w:eastAsia="Arial" w:hAnsi="Arial"/>
          <w:b w:val="false"/>
          <w:bCs w:val="false"/>
          <w:i w:val="false"/>
          <w:iCs w:val="false"/>
          <w:vertAlign w:val="subscript"/>
        </w:rPr>
        <w:t xml:space="preserve">2</w:t>
      </w:r>
      <w:r>
        <w:rPr>
          <w:rFonts w:ascii="Arial" w:cs="Arial" w:eastAsia="Arial" w:hAnsi="Arial"/>
        </w:rPr>
        <w:t xml:space="preserve"> · </w:t>
      </w:r>
      <w:r>
        <w:rPr>
          <w:rFonts w:ascii="Arial" w:cs="Arial" w:eastAsia="Arial" w:hAnsi="Arial"/>
          <w:b w:val="false"/>
          <w:bCs w:val="false"/>
          <w:i/>
          <w:iCs/>
        </w:rPr>
        <w:t xml:space="preserve">M</w:t>
      </w:r>
      <w:r>
        <w:rPr>
          <w:rFonts w:ascii="Arial" w:cs="Arial" w:eastAsia="Arial" w:hAnsi="Arial"/>
        </w:rPr>
        <w:t xml:space="preserve">2 · </w:t>
      </w:r>
      <w:r>
        <w:rPr>
          <w:rFonts w:ascii="Arial" w:cs="Arial" w:eastAsia="Arial" w:hAnsi="Arial"/>
          <w:b w:val="false"/>
          <w:bCs w:val="false"/>
          <w:i/>
          <w:iCs/>
        </w:rPr>
        <w:t xml:space="preserve">g</w:t>
      </w:r>
    </w:p>
    <w:p>
      <w:pPr>
        <w:spacing w:after="130" w:line="268"/>
        <w:jc w:val="both"/>
      </w:pPr>
      <w:r>
        <w:rPr>
          <w:rFonts w:ascii="Arial" w:cs="Arial" w:eastAsia="Arial" w:hAnsi="Arial"/>
        </w:rPr>
        <w:t xml:space="preserve">At </w:t>
      </w:r>
      <w:r>
        <w:rPr>
          <w:rFonts w:ascii="Arial" w:cs="Arial" w:eastAsia="Arial" w:hAnsi="Arial"/>
          <w:i/>
          <w:iCs/>
        </w:rPr>
        <w:t xml:space="preserve">k₂</w:t>
      </w:r>
      <w:r>
        <w:rPr>
          <w:rFonts w:ascii="Arial" w:cs="Arial" w:eastAsia="Arial" w:hAnsi="Arial"/>
        </w:rPr>
        <w:t xml:space="preserve"> = 100% the budget is the full $447B; at 17.5% it is ≈ $78B; at 0% the growth budget is zero. K1 is not drawn from that budget, so it still fires on citizenship; the residual the next dial routes is</w:t>
      </w:r>
    </w:p>
    <w:p>
      <w:pPr>
        <w:spacing w:after="120" w:before="80" w:line="252"/>
        <w:jc w:val="center"/>
      </w:pPr>
      <w:r>
        <w:rPr>
          <w:rFonts w:ascii="Arial" w:cs="Arial" w:eastAsia="Arial" w:hAnsi="Arial"/>
          <w:b w:val="false"/>
          <w:bCs w:val="false"/>
          <w:i/>
          <w:iCs/>
        </w:rPr>
        <w:t xml:space="preserve">R</w:t>
      </w:r>
      <w:r>
        <w:rPr>
          <w:rFonts w:ascii="Arial" w:cs="Arial" w:eastAsia="Arial" w:hAnsi="Arial"/>
        </w:rPr>
        <w:t xml:space="preserve"> = max(0, </w:t>
      </w:r>
      <w:r>
        <w:rPr>
          <w:rFonts w:ascii="Arial" w:cs="Arial" w:eastAsia="Arial" w:hAnsi="Arial"/>
          <w:b w:val="false"/>
          <w:bCs w:val="false"/>
          <w:i/>
          <w:iCs/>
        </w:rPr>
        <w:t xml:space="preserve">G</w:t>
      </w:r>
      <w:r>
        <w:rPr>
          <w:rFonts w:ascii="Arial" w:cs="Arial" w:eastAsia="Arial" w:hAnsi="Arial"/>
        </w:rPr>
        <w:t xml:space="preserve"> − </w:t>
      </w:r>
      <w:r>
        <w:rPr>
          <w:rFonts w:ascii="Arial" w:cs="Arial" w:eastAsia="Arial" w:hAnsi="Arial"/>
          <w:b w:val="false"/>
          <w:bCs w:val="false"/>
          <w:i/>
          <w:iCs/>
        </w:rPr>
        <w:t xml:space="preserve">K</w:t>
      </w:r>
      <w:r>
        <w:rPr>
          <w:rFonts w:ascii="Arial" w:cs="Arial" w:eastAsia="Arial" w:hAnsi="Arial"/>
          <w:b w:val="false"/>
          <w:bCs w:val="false"/>
          <w:i w:val="false"/>
          <w:iCs w:val="false"/>
          <w:vertAlign w:val="subscript"/>
        </w:rPr>
        <w:t xml:space="preserve">1</w:t>
      </w:r>
      <w:r>
        <w:rPr>
          <w:rFonts w:ascii="Arial" w:cs="Arial" w:eastAsia="Arial" w:hAnsi="Arial"/>
        </w:rPr>
        <w:t xml:space="preserve">)</w:t>
      </w:r>
    </w:p>
    <w:p>
      <w:pPr>
        <w:pStyle w:val="Heading2"/>
        <w:spacing w:after="80" w:before="220"/>
      </w:pPr>
      <w:r>
        <w:rPr>
          <w:rFonts w:ascii="Arial" w:cs="Arial" w:eastAsia="Arial" w:hAnsi="Arial"/>
          <w:color w:val="2E74B5"/>
          <w:sz w:val="26"/>
          <w:szCs w:val="26"/>
        </w:rPr>
        <w:t xml:space="preserve">3.3  K3 — the dividend share (κ_d): a router, not a spigot</w:t>
      </w:r>
    </w:p>
    <w:p>
      <w:pPr>
        <w:spacing w:after="130" w:line="268"/>
        <w:jc w:val="both"/>
      </w:pPr>
      <w:r>
        <w:rPr>
          <w:rFonts w:ascii="Arial" w:cs="Arial" w:eastAsia="Arial" w:hAnsi="Arial"/>
        </w:rPr>
        <w:t xml:space="preserve">This is the most misread channel, because it creates no money of its own. It </w:t>
      </w:r>
      <w:r>
        <w:rPr>
          <w:rFonts w:ascii="Arial" w:cs="Arial" w:eastAsia="Arial" w:hAnsi="Arial"/>
          <w:i/>
          <w:iCs/>
        </w:rPr>
        <w:t xml:space="preserve">routes</w:t>
      </w:r>
      <w:r>
        <w:rPr>
          <w:rFonts w:ascii="Arial" w:cs="Arial" w:eastAsia="Arial" w:hAnsi="Arial"/>
        </w:rPr>
        <w:t xml:space="preserve"> the residual budget between the two circuits. A share </w:t>
      </w:r>
      <w:r>
        <w:rPr>
          <w:rFonts w:ascii="Arial" w:cs="Arial" w:eastAsia="Arial" w:hAnsi="Arial"/>
          <w:i/>
          <w:iCs/>
        </w:rPr>
        <w:t xml:space="preserve">κ</w:t>
      </w:r>
      <w:r>
        <w:rPr>
          <w:rFonts w:ascii="Arial" w:cs="Arial" w:eastAsia="Arial" w:hAnsi="Arial"/>
          <w:i/>
          <w:iCs/>
          <w:vertAlign w:val="subscript"/>
        </w:rPr>
        <w:t xml:space="preserve">_d</w:t>
      </w:r>
      <w:r>
        <w:rPr>
          <w:rFonts w:ascii="Arial" w:cs="Arial" w:eastAsia="Arial" w:hAnsi="Arial"/>
        </w:rPr>
        <w:t xml:space="preserve"> is paid out as a spendable dividend (into Mᵀ); the complement is locked into the floor (into Mᵃ):</w:t>
      </w:r>
    </w:p>
    <w:p>
      <w:pPr>
        <w:spacing w:after="120" w:before="80" w:line="252"/>
        <w:jc w:val="center"/>
      </w:pPr>
      <w:r>
        <w:rPr>
          <w:rFonts w:ascii="Arial" w:cs="Arial" w:eastAsia="Arial" w:hAnsi="Arial"/>
          <w:b w:val="false"/>
          <w:bCs w:val="false"/>
          <w:i/>
          <w:iCs/>
        </w:rPr>
        <w:t xml:space="preserve">D</w:t>
      </w:r>
      <w:r>
        <w:rPr>
          <w:rFonts w:ascii="Arial" w:cs="Arial" w:eastAsia="Arial" w:hAnsi="Arial"/>
        </w:rPr>
        <w:t xml:space="preserve"> = </w:t>
      </w:r>
      <w:r>
        <w:rPr>
          <w:rFonts w:ascii="Arial" w:cs="Arial" w:eastAsia="Arial" w:hAnsi="Arial"/>
          <w:b w:val="false"/>
          <w:bCs w:val="false"/>
          <w:i/>
          <w:iCs/>
        </w:rPr>
        <w:t xml:space="preserve">κ</w:t>
      </w:r>
      <w:r>
        <w:rPr>
          <w:rFonts w:ascii="Arial" w:cs="Arial" w:eastAsia="Arial" w:hAnsi="Arial"/>
          <w:b w:val="false"/>
          <w:bCs w:val="false"/>
          <w:i w:val="false"/>
          <w:iCs w:val="false"/>
          <w:vertAlign w:val="subscript"/>
        </w:rPr>
        <w:t xml:space="preserve">d</w:t>
      </w:r>
      <w:r>
        <w:rPr>
          <w:rFonts w:ascii="Arial" w:cs="Arial" w:eastAsia="Arial" w:hAnsi="Arial"/>
        </w:rPr>
        <w:t xml:space="preserve"> · </w:t>
      </w:r>
      <w:r>
        <w:rPr>
          <w:rFonts w:ascii="Arial" w:cs="Arial" w:eastAsia="Arial" w:hAnsi="Arial"/>
          <w:b w:val="false"/>
          <w:bCs w:val="false"/>
          <w:i/>
          <w:iCs/>
        </w:rPr>
        <w:t xml:space="preserve">R</w:t>
      </w:r>
      <w:r>
        <w:rPr>
          <w:rFonts w:ascii="Arial" w:cs="Arial" w:eastAsia="Arial" w:hAnsi="Arial"/>
        </w:rPr>
        <w:t xml:space="preserve">       </w:t>
      </w:r>
      <w:r>
        <w:rPr>
          <w:rFonts w:ascii="Arial" w:cs="Arial" w:eastAsia="Arial" w:hAnsi="Arial"/>
          <w:b w:val="false"/>
          <w:bCs w:val="false"/>
          <w:i/>
          <w:iCs/>
        </w:rPr>
        <w:t xml:space="preserve">F</w:t>
      </w:r>
      <w:r>
        <w:rPr>
          <w:rFonts w:ascii="Arial" w:cs="Arial" w:eastAsia="Arial" w:hAnsi="Arial"/>
        </w:rPr>
        <w:t xml:space="preserve"> = (1 − </w:t>
      </w:r>
      <w:r>
        <w:rPr>
          <w:rFonts w:ascii="Arial" w:cs="Arial" w:eastAsia="Arial" w:hAnsi="Arial"/>
          <w:b w:val="false"/>
          <w:bCs w:val="false"/>
          <w:i/>
          <w:iCs/>
        </w:rPr>
        <w:t xml:space="preserve">κ</w:t>
      </w:r>
      <w:r>
        <w:rPr>
          <w:rFonts w:ascii="Arial" w:cs="Arial" w:eastAsia="Arial" w:hAnsi="Arial"/>
          <w:b w:val="false"/>
          <w:bCs w:val="false"/>
          <w:i w:val="false"/>
          <w:iCs w:val="false"/>
          <w:vertAlign w:val="subscript"/>
        </w:rPr>
        <w:t xml:space="preserve">d</w:t>
      </w:r>
      <w:r>
        <w:rPr>
          <w:rFonts w:ascii="Arial" w:cs="Arial" w:eastAsia="Arial" w:hAnsi="Arial"/>
        </w:rPr>
        <w:t xml:space="preserve">) · </w:t>
      </w:r>
      <w:r>
        <w:rPr>
          <w:rFonts w:ascii="Arial" w:cs="Arial" w:eastAsia="Arial" w:hAnsi="Arial"/>
          <w:b w:val="false"/>
          <w:bCs w:val="false"/>
          <w:i/>
          <w:iCs/>
        </w:rPr>
        <w:t xml:space="preserve">R</w:t>
      </w:r>
    </w:p>
    <w:p>
      <w:pPr>
        <w:spacing w:after="130" w:line="268"/>
        <w:jc w:val="both"/>
      </w:pPr>
      <w:r>
        <w:rPr>
          <w:rFonts w:ascii="Arial" w:cs="Arial" w:eastAsia="Arial" w:hAnsi="Arial"/>
        </w:rPr>
        <w:t xml:space="preserve">The two shares always sum to one, so moving the dividend up moves the floor down by the identical dollars: </w:t>
      </w:r>
      <w:r>
        <w:rPr>
          <w:rFonts w:ascii="Arial" w:cs="Arial" w:eastAsia="Arial" w:hAnsi="Arial"/>
          <w:i/>
          <w:iCs/>
        </w:rPr>
        <w:t xml:space="preserve">the total issued is unchanged.</w:t>
      </w:r>
      <w:r>
        <w:rPr>
          <w:rFonts w:ascii="Arial" w:cs="Arial" w:eastAsia="Arial" w:hAnsi="Arial"/>
        </w:rPr>
        <w:t xml:space="preserve"> K3 is therefore price-relevant — it decides how much of the budget reaches Mᵀ — but it is never a way to create additional money. </w:t>
      </w:r>
      <w:r>
        <w:rPr>
          <w:rFonts w:ascii="Arial" w:cs="Arial" w:eastAsia="Arial" w:hAnsi="Arial"/>
          <w:i/>
          <w:iCs/>
        </w:rPr>
        <w:t xml:space="preserve">κ</w:t>
      </w:r>
      <w:r>
        <w:rPr>
          <w:rFonts w:ascii="Arial" w:cs="Arial" w:eastAsia="Arial" w:hAnsi="Arial"/>
          <w:i/>
          <w:iCs/>
          <w:vertAlign w:val="subscript"/>
        </w:rPr>
        <w:t xml:space="preserve">_d</w:t>
      </w:r>
      <w:r>
        <w:rPr>
          <w:rFonts w:ascii="Arial" w:cs="Arial" w:eastAsia="Arial" w:hAnsi="Arial"/>
        </w:rPr>
        <w:t xml:space="preserve"> = 0 is all-floor; </w:t>
      </w:r>
      <w:r>
        <w:rPr>
          <w:rFonts w:ascii="Arial" w:cs="Arial" w:eastAsia="Arial" w:hAnsi="Arial"/>
          <w:i/>
          <w:iCs/>
        </w:rPr>
        <w:t xml:space="preserve">κ</w:t>
      </w:r>
      <w:r>
        <w:rPr>
          <w:rFonts w:ascii="Arial" w:cs="Arial" w:eastAsia="Arial" w:hAnsi="Arial"/>
          <w:i/>
          <w:iCs/>
          <w:vertAlign w:val="subscript"/>
        </w:rPr>
        <w:t xml:space="preserve">_d</w:t>
      </w:r>
      <w:r>
        <w:rPr>
          <w:rFonts w:ascii="Arial" w:cs="Arial" w:eastAsia="Arial" w:hAnsi="Arial"/>
        </w:rPr>
        <w:t xml:space="preserve"> = 100% is all-dividend.</w:t>
      </w:r>
    </w:p>
    <w:p>
      <w:pPr>
        <w:pStyle w:val="Heading2"/>
        <w:spacing w:after="80" w:before="220"/>
      </w:pPr>
      <w:r>
        <w:rPr>
          <w:rFonts w:ascii="Arial" w:cs="Arial" w:eastAsia="Arial" w:hAnsi="Arial"/>
          <w:color w:val="2E74B5"/>
          <w:sz w:val="26"/>
          <w:szCs w:val="26"/>
        </w:rPr>
        <w:t xml:space="preserve">3.4  KI — the inflation gap</w:t>
      </w:r>
    </w:p>
    <w:p>
      <w:pPr>
        <w:spacing w:after="130" w:line="268"/>
        <w:jc w:val="both"/>
      </w:pPr>
      <w:r>
        <w:rPr>
          <w:rFonts w:ascii="Arial" w:cs="Arial" w:eastAsia="Arial" w:hAnsi="Arial"/>
        </w:rPr>
        <w:t xml:space="preserve">The only channel that issues </w:t>
      </w:r>
      <w:r>
        <w:rPr>
          <w:rFonts w:ascii="Arial" w:cs="Arial" w:eastAsia="Arial" w:hAnsi="Arial"/>
          <w:i/>
          <w:iCs/>
        </w:rPr>
        <w:t xml:space="preserve">above</w:t>
      </w:r>
      <w:r>
        <w:rPr>
          <w:rFonts w:ascii="Arial" w:cs="Arial" w:eastAsia="Arial" w:hAnsi="Arial"/>
        </w:rPr>
        <w:t xml:space="preserve"> the growth line, and so the only one that deliberately creates inflation. It is additive — piled on top of the growth budget, not carved from it — and lands in Mᵀ:</w:t>
      </w:r>
    </w:p>
    <w:p>
      <w:pPr>
        <w:spacing w:after="120" w:before="80" w:line="252"/>
        <w:jc w:val="center"/>
      </w:pPr>
      <w:r>
        <w:rPr>
          <w:rFonts w:ascii="Arial" w:cs="Arial" w:eastAsia="Arial" w:hAnsi="Arial"/>
          <w:b w:val="false"/>
          <w:bCs w:val="false"/>
          <w:i/>
          <w:iCs/>
        </w:rPr>
        <w:t xml:space="preserve">KI</w:t>
      </w:r>
      <w:r>
        <w:rPr>
          <w:rFonts w:ascii="Arial" w:cs="Arial" w:eastAsia="Arial" w:hAnsi="Arial"/>
        </w:rPr>
        <w:t xml:space="preserve"> = </w:t>
      </w:r>
      <w:r>
        <w:rPr>
          <w:rFonts w:ascii="Arial" w:cs="Arial" w:eastAsia="Arial" w:hAnsi="Arial"/>
          <w:b w:val="false"/>
          <w:bCs w:val="false"/>
          <w:i/>
          <w:iCs/>
        </w:rPr>
        <w:t xml:space="preserve">k</w:t>
      </w:r>
      <w:r>
        <w:rPr>
          <w:rFonts w:ascii="Arial" w:cs="Arial" w:eastAsia="Arial" w:hAnsi="Arial"/>
          <w:b w:val="false"/>
          <w:bCs w:val="false"/>
          <w:i w:val="false"/>
          <w:iCs w:val="false"/>
          <w:vertAlign w:val="subscript"/>
        </w:rPr>
        <w:t xml:space="preserve">I</w:t>
      </w:r>
      <w:r>
        <w:rPr>
          <w:rFonts w:ascii="Arial" w:cs="Arial" w:eastAsia="Arial" w:hAnsi="Arial"/>
        </w:rPr>
        <w:t xml:space="preserve"> · </w:t>
      </w:r>
      <w:r>
        <w:rPr>
          <w:rFonts w:ascii="Arial" w:cs="Arial" w:eastAsia="Arial" w:hAnsi="Arial"/>
          <w:b w:val="false"/>
          <w:bCs w:val="false"/>
          <w:i/>
          <w:iCs/>
        </w:rPr>
        <w:t xml:space="preserve">M</w:t>
      </w:r>
      <w:r>
        <w:rPr>
          <w:rFonts w:ascii="Arial" w:cs="Arial" w:eastAsia="Arial" w:hAnsi="Arial"/>
        </w:rPr>
        <w:t xml:space="preserve">2</w:t>
      </w:r>
    </w:p>
    <w:p>
      <w:pPr>
        <w:spacing w:after="130" w:line="268"/>
        <w:jc w:val="both"/>
      </w:pPr>
      <w:r>
        <w:rPr>
          <w:rFonts w:ascii="Arial" w:cs="Arial" w:eastAsia="Arial" w:hAnsi="Arial"/>
        </w:rPr>
        <w:t xml:space="preserve">Setting </w:t>
      </w:r>
      <w:r>
        <w:rPr>
          <w:rFonts w:ascii="Arial" w:cs="Arial" w:eastAsia="Arial" w:hAnsi="Arial"/>
          <w:i/>
          <w:iCs/>
        </w:rPr>
        <w:t xml:space="preserve">k_I</w:t>
      </w:r>
      <w:r>
        <w:rPr>
          <w:rFonts w:ascii="Arial" w:cs="Arial" w:eastAsia="Arial" w:hAnsi="Arial"/>
        </w:rPr>
        <w:t xml:space="preserve"> = 0 leaves no above-line issuance. The framework’s inflationary mode (Mode C, §4) uses this channel to fund a visible monthly dividend at the cost of a target rate of inflation.</w:t>
      </w:r>
    </w:p>
    <w:p>
      <w:pPr>
        <w:spacing w:after="80" w:before="60"/>
        <w:jc w:val="both"/>
      </w:pPr>
      <w:r>
        <w:rPr>
          <w:rFonts w:ascii="Arial" w:cs="Arial" w:eastAsia="Arial" w:hAnsi="Arial"/>
        </w:rPr>
        <w:t xml:space="preserve">Table 1 collects the four channels.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4360"/>
      </w:tblGrid>
      <w:tr>
        <w:trPr>
          <w:tblHeader/>
        </w:trPr>
        <w:tc>
          <w:tcPr>
            <w:tcW w:type="dxa" w:w="150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left"/>
            </w:pPr>
            <w:r>
              <w:rPr>
                <w:rFonts w:ascii="Arial" w:cs="Arial" w:eastAsia="Arial" w:hAnsi="Arial"/>
                <w:b/>
                <w:bCs/>
                <w:color w:val="1A1A1A"/>
                <w:sz w:val="19"/>
                <w:szCs w:val="19"/>
              </w:rPr>
              <w:t xml:space="preserve">Channel</w:t>
            </w:r>
          </w:p>
        </w:tc>
        <w:tc>
          <w:tcPr>
            <w:tcW w:type="dxa" w:w="340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Formula</w:t>
            </w:r>
          </w:p>
        </w:tc>
        <w:tc>
          <w:tcPr>
            <w:tcW w:type="dxa" w:w="436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What it does</w:t>
            </w:r>
          </w:p>
        </w:tc>
      </w:tr>
      <w:tr>
        <w:trPr>
          <w:tblHeader w:val="false"/>
        </w:trP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K1</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k₁ · (GDP/N) · B</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Per-new-citizen endowment into the floor; paid first.</w:t>
            </w:r>
          </w:p>
        </w:tc>
      </w:tr>
      <w:tr>
        <w:trPr>
          <w:tblHeader w:val="false"/>
        </w:trPr>
        <w:tc>
          <w:tcPr>
            <w:tcW w:type="dxa" w:w="15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K2</w:t>
            </w:r>
          </w:p>
        </w:tc>
        <w:tc>
          <w:tcPr>
            <w:tcW w:type="dxa" w:w="34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k₂ · M2 · g</w:t>
            </w:r>
          </w:p>
        </w:tc>
        <w:tc>
          <w:tcPr>
            <w:tcW w:type="dxa" w:w="43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Sets the size of the whole growth budget.</w:t>
            </w:r>
          </w:p>
        </w:tc>
      </w:tr>
      <w:tr>
        <w:trPr>
          <w:tblHeader w:val="false"/>
        </w:trP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K3 (κ_d)</w:t>
            </w:r>
          </w:p>
        </w:tc>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D = κ_d·R ; F = (1−κ_d)·R</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Routes the budget between spendable dividend and locked floor; total unchanged.</w:t>
            </w:r>
          </w:p>
        </w:tc>
      </w:tr>
      <w:tr>
        <w:trPr>
          <w:tblHeader w:val="false"/>
        </w:trPr>
        <w:tc>
          <w:tcPr>
            <w:tcW w:type="dxa" w:w="15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KI</w:t>
            </w:r>
          </w:p>
        </w:tc>
        <w:tc>
          <w:tcPr>
            <w:tcW w:type="dxa" w:w="34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k_I · M2</w:t>
            </w:r>
          </w:p>
        </w:tc>
        <w:tc>
          <w:tcPr>
            <w:tcW w:type="dxa" w:w="43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Above-line issuance; the sole inflation channel.</w:t>
            </w:r>
          </w:p>
        </w:tc>
      </w:tr>
    </w:tbl>
    <w:p>
      <w:pPr>
        <w:spacing w:after="160" w:before="60"/>
        <w:jc w:val="left"/>
      </w:pPr>
      <w:r>
        <w:rPr>
          <w:rFonts w:ascii="Arial" w:cs="Arial" w:eastAsia="Arial" w:hAnsi="Arial"/>
          <w:i/>
          <w:iCs/>
          <w:color w:val="555555"/>
          <w:sz w:val="18"/>
          <w:szCs w:val="18"/>
        </w:rPr>
        <w:t xml:space="preserve">Table 1. The four issuance channels. R = max(0, G − K1) is the residual budget after the citizenship endowment; K1 itself is fixed by citizenship and fires even when G is zero.</w:t>
      </w:r>
    </w:p>
    <w:p>
      <w:pPr>
        <w:pStyle w:val="Heading1"/>
        <w:spacing w:after="130" w:before="320"/>
      </w:pPr>
      <w:r>
        <w:rPr>
          <w:rFonts w:ascii="Arial" w:cs="Arial" w:eastAsia="Arial" w:hAnsi="Arial"/>
          <w:color w:val="2E74B5"/>
          <w:sz w:val="32"/>
          <w:szCs w:val="32"/>
        </w:rPr>
        <w:t xml:space="preserve">4.  Inflation as a derived quantity</w:t>
      </w:r>
    </w:p>
    <w:p>
      <w:pPr>
        <w:spacing w:after="130" w:line="268"/>
        <w:jc w:val="both"/>
      </w:pPr>
      <w:r>
        <w:rPr>
          <w:rFonts w:ascii="Arial" w:cs="Arial" w:eastAsia="Arial" w:hAnsi="Arial"/>
        </w:rPr>
        <w:t xml:space="preserve">The engine never asks for an inflation rate; it computes one. What matters is the flow that actually reaches the transactional circuit: the dividend </w:t>
      </w:r>
      <w:r>
        <w:rPr>
          <w:rFonts w:ascii="Arial" w:cs="Arial" w:eastAsia="Arial" w:hAnsi="Arial"/>
          <w:i/>
          <w:iCs/>
        </w:rPr>
        <w:t xml:space="preserve">D</w:t>
      </w:r>
      <w:r>
        <w:rPr>
          <w:rFonts w:ascii="Arial" w:cs="Arial" w:eastAsia="Arial" w:hAnsi="Arial"/>
        </w:rPr>
        <w:t xml:space="preserve">, the inflation-gap issuance </w:t>
      </w:r>
      <w:r>
        <w:rPr>
          <w:rFonts w:ascii="Arial" w:cs="Arial" w:eastAsia="Arial" w:hAnsi="Arial"/>
          <w:i/>
          <w:iCs/>
        </w:rPr>
        <w:t xml:space="preserve">KI</w:t>
      </w:r>
      <w:r>
        <w:rPr>
          <w:rFonts w:ascii="Arial" w:cs="Arial" w:eastAsia="Arial" w:hAnsi="Arial"/>
        </w:rPr>
        <w:t xml:space="preserve">, and the spillover </w:t>
      </w:r>
      <w:r>
        <w:rPr>
          <w:rFonts w:ascii="Arial" w:cs="Arial" w:eastAsia="Arial" w:hAnsi="Arial"/>
          <w:i/>
          <w:iCs/>
        </w:rPr>
        <w:t xml:space="preserve">L</w:t>
      </w:r>
      <w:r>
        <w:rPr>
          <w:rFonts w:ascii="Arial" w:cs="Arial" w:eastAsia="Arial" w:hAnsi="Arial"/>
        </w:rPr>
        <w:t xml:space="preserve"> of asset-circuit money into goods demand. Writing </w:t>
      </w:r>
      <w:r>
        <w:rPr>
          <w:rFonts w:ascii="Arial" w:cs="Arial" w:eastAsia="Arial" w:hAnsi="Arial"/>
          <w:i/>
          <w:iCs/>
        </w:rPr>
        <w:t xml:space="preserve">A*</w:t>
      </w:r>
      <w:r>
        <w:rPr>
          <w:rFonts w:ascii="Arial" w:cs="Arial" w:eastAsia="Arial" w:hAnsi="Arial"/>
        </w:rPr>
        <w:t xml:space="preserve"> for the floor inflow (§6) and </w:t>
      </w:r>
      <w:r>
        <w:rPr>
          <w:rFonts w:ascii="Arial" w:cs="Arial" w:eastAsia="Arial" w:hAnsi="Arial"/>
          <w:i/>
          <w:iCs/>
        </w:rPr>
        <w:t xml:space="preserve">λ</w:t>
      </w:r>
      <w:r>
        <w:rPr>
          <w:rFonts w:ascii="Arial" w:cs="Arial" w:eastAsia="Arial" w:hAnsi="Arial"/>
        </w:rPr>
        <w:t xml:space="preserve"> for the spillover fraction,</w:t>
      </w:r>
    </w:p>
    <w:p>
      <w:pPr>
        <w:spacing w:after="120" w:before="80" w:line="252"/>
        <w:jc w:val="center"/>
      </w:pPr>
      <w:r>
        <w:rPr>
          <w:rFonts w:ascii="Arial" w:cs="Arial" w:eastAsia="Arial" w:hAnsi="Arial"/>
          <w:b w:val="false"/>
          <w:bCs w:val="false"/>
          <w:i/>
          <w:iCs/>
        </w:rPr>
        <w:t xml:space="preserve">L</w:t>
      </w:r>
      <w:r>
        <w:rPr>
          <w:rFonts w:ascii="Arial" w:cs="Arial" w:eastAsia="Arial" w:hAnsi="Arial"/>
        </w:rPr>
        <w:t xml:space="preserve"> = </w:t>
      </w:r>
      <w:r>
        <w:rPr>
          <w:rFonts w:ascii="Arial" w:cs="Arial" w:eastAsia="Arial" w:hAnsi="Arial"/>
          <w:b w:val="false"/>
          <w:bCs w:val="false"/>
          <w:i/>
          <w:iCs/>
        </w:rPr>
        <w:t xml:space="preserve">λ</w:t>
      </w:r>
      <w:r>
        <w:rPr>
          <w:rFonts w:ascii="Arial" w:cs="Arial" w:eastAsia="Arial" w:hAnsi="Arial"/>
        </w:rPr>
        <w:t xml:space="preserve"> · </w:t>
      </w:r>
      <w:r>
        <w:rPr>
          <w:rFonts w:ascii="Arial" w:cs="Arial" w:eastAsia="Arial" w:hAnsi="Arial"/>
          <w:b w:val="false"/>
          <w:bCs w:val="false"/>
          <w:i/>
          <w:iCs/>
        </w:rPr>
        <w:t xml:space="preserve">A</w:t>
      </w:r>
      <w:r>
        <w:rPr>
          <w:rFonts w:ascii="Arial" w:cs="Arial" w:eastAsia="Arial" w:hAnsi="Arial"/>
        </w:rPr>
        <w:t xml:space="preserve">*,    </w:t>
      </w:r>
      <w:r>
        <w:rPr>
          <w:rFonts w:ascii="Arial" w:cs="Arial" w:eastAsia="Arial" w:hAnsi="Arial"/>
          <w:b w:val="false"/>
          <w:bCs w:val="false"/>
          <w:i/>
          <w:iCs/>
        </w:rPr>
        <w:t xml:space="preserve">λ</w:t>
      </w:r>
      <w:r>
        <w:rPr>
          <w:rFonts w:ascii="Arial" w:cs="Arial" w:eastAsia="Arial" w:hAnsi="Arial"/>
        </w:rPr>
        <w:t xml:space="preserve"> = 0.20</w:t>
      </w:r>
    </w:p>
    <w:p>
      <w:pPr>
        <w:spacing w:after="130" w:line="268"/>
        <w:jc w:val="both"/>
      </w:pPr>
      <w:r>
        <w:rPr>
          <w:rFonts w:ascii="Arial" w:cs="Arial" w:eastAsia="Arial" w:hAnsi="Arial"/>
        </w:rPr>
        <w:t xml:space="preserve">the realised goods inflation is the transactional injection expressed against the transactional stock, net of real growth:</w:t>
      </w:r>
    </w:p>
    <w:p>
      <w:pPr>
        <w:spacing w:after="120" w:before="80" w:line="252"/>
        <w:jc w:val="center"/>
      </w:pPr>
      <w:r>
        <w:rPr>
          <w:rFonts w:ascii="Arial" w:cs="Arial" w:eastAsia="Arial" w:hAnsi="Arial"/>
          <w:b w:val="false"/>
          <w:bCs w:val="false"/>
          <w:i/>
          <w:iCs/>
        </w:rPr>
        <w:t xml:space="preserve">π</w:t>
      </w:r>
      <w:r>
        <w:rPr>
          <w:rFonts w:ascii="Arial" w:cs="Arial" w:eastAsia="Arial" w:hAnsi="Arial"/>
        </w:rPr>
        <w:t xml:space="preserve"> = (</w:t>
      </w:r>
      <w:r>
        <w:rPr>
          <w:rFonts w:ascii="Arial" w:cs="Arial" w:eastAsia="Arial" w:hAnsi="Arial"/>
          <w:b w:val="false"/>
          <w:bCs w:val="false"/>
          <w:i/>
          <w:iCs/>
        </w:rPr>
        <w:t xml:space="preserve">D</w:t>
      </w:r>
      <w:r>
        <w:rPr>
          <w:rFonts w:ascii="Arial" w:cs="Arial" w:eastAsia="Arial" w:hAnsi="Arial"/>
        </w:rPr>
        <w:t xml:space="preserve"> + </w:t>
      </w:r>
      <w:r>
        <w:rPr>
          <w:rFonts w:ascii="Arial" w:cs="Arial" w:eastAsia="Arial" w:hAnsi="Arial"/>
          <w:b w:val="false"/>
          <w:bCs w:val="false"/>
          <w:i/>
          <w:iCs/>
        </w:rPr>
        <w:t xml:space="preserve">KI</w:t>
      </w:r>
      <w:r>
        <w:rPr>
          <w:rFonts w:ascii="Arial" w:cs="Arial" w:eastAsia="Arial" w:hAnsi="Arial"/>
        </w:rPr>
        <w:t xml:space="preserve"> + </w:t>
      </w:r>
      <w:r>
        <w:rPr>
          <w:rFonts w:ascii="Arial" w:cs="Arial" w:eastAsia="Arial" w:hAnsi="Arial"/>
          <w:b w:val="false"/>
          <w:bCs w:val="false"/>
          <w:i/>
          <w:iCs/>
        </w:rPr>
        <w:t xml:space="preserve">L</w:t>
      </w:r>
      <w:r>
        <w:rPr>
          <w:rFonts w:ascii="Arial" w:cs="Arial" w:eastAsia="Arial" w:hAnsi="Arial"/>
        </w:rPr>
        <w:t xml:space="preserve">) / </w:t>
      </w:r>
      <w:r>
        <w:rPr>
          <w:rFonts w:ascii="Arial" w:cs="Arial" w:eastAsia="Arial" w:hAnsi="Arial"/>
          <w:b w:val="false"/>
          <w:bCs w:val="false"/>
          <w:i/>
          <w:iCs/>
        </w:rPr>
        <w:t xml:space="preserve">M</w:t>
      </w:r>
      <w:r>
        <w:rPr>
          <w:rFonts w:ascii="Arial" w:cs="Arial" w:eastAsia="Arial" w:hAnsi="Arial"/>
          <w:b w:val="false"/>
          <w:bCs w:val="false"/>
          <w:i w:val="false"/>
          <w:iCs w:val="false"/>
          <w:vertAlign w:val="superscript"/>
        </w:rPr>
        <w:t xml:space="preserve">T</w:t>
      </w:r>
      <w:r>
        <w:rPr>
          <w:rFonts w:ascii="Arial" w:cs="Arial" w:eastAsia="Arial" w:hAnsi="Arial"/>
        </w:rPr>
        <w:t xml:space="preserve"> − </w:t>
      </w:r>
      <w:r>
        <w:rPr>
          <w:rFonts w:ascii="Arial" w:cs="Arial" w:eastAsia="Arial" w:hAnsi="Arial"/>
          <w:b w:val="false"/>
          <w:bCs w:val="false"/>
          <w:i/>
          <w:iCs/>
        </w:rPr>
        <w:t xml:space="preserve">g</w:t>
      </w:r>
    </w:p>
    <w:p>
      <w:pPr>
        <w:spacing w:after="130" w:line="268"/>
        <w:jc w:val="both"/>
      </w:pPr>
      <w:r>
        <w:rPr>
          <w:rFonts w:ascii="Arial" w:cs="Arial" w:eastAsia="Arial" w:hAnsi="Arial"/>
        </w:rPr>
        <w:t xml:space="preserve">If transactional money grows at exactly the real rate, the two terms cancel and prices are flat. This defines the </w:t>
      </w:r>
      <w:r>
        <w:rPr>
          <w:rFonts w:ascii="Arial" w:cs="Arial" w:eastAsia="Arial" w:hAnsi="Arial"/>
          <w:i/>
          <w:iCs/>
        </w:rPr>
        <w:t xml:space="preserve">price-stability locus</w:t>
      </w:r>
      <w:r>
        <w:rPr>
          <w:rFonts w:ascii="Arial" w:cs="Arial" w:eastAsia="Arial" w:hAnsi="Arial"/>
        </w:rPr>
        <w:t xml:space="preserve">: the system is price-neutral precisely when the injection equals </w:t>
      </w:r>
      <w:r>
        <w:rPr>
          <w:rFonts w:ascii="Arial" w:cs="Arial" w:eastAsia="Arial" w:hAnsi="Arial"/>
          <w:i/>
          <w:iCs/>
        </w:rPr>
        <w:t xml:space="preserve">g</w:t>
      </w:r>
      <w:r>
        <w:rPr>
          <w:rFonts w:ascii="Arial" w:cs="Arial" w:eastAsia="Arial" w:hAnsi="Arial"/>
        </w:rPr>
        <w:t xml:space="preserve"> · Mᵀ.</w:t>
      </w:r>
    </w:p>
    <w:p>
      <w:pPr>
        <w:spacing w:after="120" w:before="80" w:line="252"/>
        <w:jc w:val="center"/>
      </w:pPr>
      <w:r>
        <w:rPr>
          <w:rFonts w:ascii="Arial" w:cs="Arial" w:eastAsia="Arial" w:hAnsi="Arial"/>
          <w:b w:val="false"/>
          <w:bCs w:val="false"/>
          <w:i/>
          <w:iCs/>
        </w:rPr>
        <w:t xml:space="preserve">D</w:t>
      </w:r>
      <w:r>
        <w:rPr>
          <w:rFonts w:ascii="Arial" w:cs="Arial" w:eastAsia="Arial" w:hAnsi="Arial"/>
        </w:rPr>
        <w:t xml:space="preserve"> + </w:t>
      </w:r>
      <w:r>
        <w:rPr>
          <w:rFonts w:ascii="Arial" w:cs="Arial" w:eastAsia="Arial" w:hAnsi="Arial"/>
          <w:b w:val="false"/>
          <w:bCs w:val="false"/>
          <w:i/>
          <w:iCs/>
        </w:rPr>
        <w:t xml:space="preserve">KI</w:t>
      </w:r>
      <w:r>
        <w:rPr>
          <w:rFonts w:ascii="Arial" w:cs="Arial" w:eastAsia="Arial" w:hAnsi="Arial"/>
        </w:rPr>
        <w:t xml:space="preserve"> + </w:t>
      </w:r>
      <w:r>
        <w:rPr>
          <w:rFonts w:ascii="Arial" w:cs="Arial" w:eastAsia="Arial" w:hAnsi="Arial"/>
          <w:b w:val="false"/>
          <w:bCs w:val="false"/>
          <w:i/>
          <w:iCs/>
        </w:rPr>
        <w:t xml:space="preserve">L</w:t>
      </w:r>
      <w:r>
        <w:rPr>
          <w:rFonts w:ascii="Arial" w:cs="Arial" w:eastAsia="Arial" w:hAnsi="Arial"/>
        </w:rPr>
        <w:t xml:space="preserve"> = </w:t>
      </w:r>
      <w:r>
        <w:rPr>
          <w:rFonts w:ascii="Arial" w:cs="Arial" w:eastAsia="Arial" w:hAnsi="Arial"/>
          <w:b w:val="false"/>
          <w:bCs w:val="false"/>
          <w:i/>
          <w:iCs/>
        </w:rPr>
        <w:t xml:space="preserve">g</w:t>
      </w:r>
      <w:r>
        <w:rPr>
          <w:rFonts w:ascii="Arial" w:cs="Arial" w:eastAsia="Arial" w:hAnsi="Arial"/>
        </w:rPr>
        <w:t xml:space="preserve"> · </w:t>
      </w:r>
      <w:r>
        <w:rPr>
          <w:rFonts w:ascii="Arial" w:cs="Arial" w:eastAsia="Arial" w:hAnsi="Arial"/>
          <w:b w:val="false"/>
          <w:bCs w:val="false"/>
          <w:i/>
          <w:iCs/>
        </w:rPr>
        <w:t xml:space="preserve">M</w:t>
      </w:r>
      <w:r>
        <w:rPr>
          <w:rFonts w:ascii="Arial" w:cs="Arial" w:eastAsia="Arial" w:hAnsi="Arial"/>
          <w:b w:val="false"/>
          <w:bCs w:val="false"/>
          <w:i w:val="false"/>
          <w:iCs w:val="false"/>
          <w:vertAlign w:val="superscript"/>
        </w:rPr>
        <w:t xml:space="preserve">T</w:t>
      </w:r>
      <w:r>
        <w:rPr>
          <w:rFonts w:ascii="Arial" w:cs="Arial" w:eastAsia="Arial" w:hAnsi="Arial"/>
        </w:rPr>
        <w:t xml:space="preserve"> ≈ $229.7B</w:t>
      </w:r>
    </w:p>
    <w:p>
      <w:pPr>
        <w:spacing w:after="130" w:line="268"/>
        <w:jc w:val="both"/>
      </w:pPr>
      <w:r>
        <w:rPr>
          <w:rFonts w:ascii="Arial" w:cs="Arial" w:eastAsia="Arial" w:hAnsi="Arial"/>
        </w:rPr>
        <w:t xml:space="preserve">Locked floor money (the K2/Mᵃ share) barely appears, because it is not chasing goods — it enters </w:t>
      </w:r>
      <w:r>
        <w:rPr>
          <w:rFonts w:ascii="Arial" w:cs="Arial" w:eastAsia="Arial" w:hAnsi="Arial"/>
          <w:i/>
          <w:iCs/>
        </w:rPr>
        <w:t xml:space="preserve">π</w:t>
      </w:r>
      <w:r>
        <w:rPr>
          <w:rFonts w:ascii="Arial" w:cs="Arial" w:eastAsia="Arial" w:hAnsi="Arial"/>
        </w:rPr>
        <w:t xml:space="preserve"> only through the modest spillover </w:t>
      </w:r>
      <w:r>
        <w:rPr>
          <w:rFonts w:ascii="Arial" w:cs="Arial" w:eastAsia="Arial" w:hAnsi="Arial"/>
          <w:i/>
          <w:iCs/>
        </w:rPr>
        <w:t xml:space="preserve">L</w:t>
      </w:r>
      <w:r>
        <w:rPr>
          <w:rFonts w:ascii="Arial" w:cs="Arial" w:eastAsia="Arial" w:hAnsi="Arial"/>
        </w:rPr>
        <w:t xml:space="preserve">. This is why a mode can issue a large gross budget and still hold prices flat: it routes the bulk into the asset circuit. Table 2 shows the four base modes as points in this space; each inflation figure can be checked by hand from the formula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760"/>
        <w:gridCol w:w="760"/>
        <w:gridCol w:w="900"/>
        <w:gridCol w:w="760"/>
        <w:gridCol w:w="2870"/>
        <w:gridCol w:w="1460"/>
      </w:tblGrid>
      <w:tr>
        <w:trPr>
          <w:tblHeader/>
        </w:trPr>
        <w:tc>
          <w:tcPr>
            <w:tcW w:type="dxa" w:w="185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left"/>
            </w:pPr>
            <w:r>
              <w:rPr>
                <w:rFonts w:ascii="Arial" w:cs="Arial" w:eastAsia="Arial" w:hAnsi="Arial"/>
                <w:b/>
                <w:bCs/>
                <w:color w:val="1A1A1A"/>
                <w:sz w:val="19"/>
                <w:szCs w:val="19"/>
              </w:rPr>
              <w:t xml:space="preserve">Mode</w:t>
            </w:r>
          </w:p>
        </w:tc>
        <w:tc>
          <w:tcPr>
            <w:tcW w:type="dxa" w:w="76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k₁</w:t>
            </w:r>
          </w:p>
        </w:tc>
        <w:tc>
          <w:tcPr>
            <w:tcW w:type="dxa" w:w="76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k₂</w:t>
            </w:r>
          </w:p>
        </w:tc>
        <w:tc>
          <w:tcPr>
            <w:tcW w:type="dxa" w:w="90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κ_d</w:t>
            </w:r>
          </w:p>
        </w:tc>
        <w:tc>
          <w:tcPr>
            <w:tcW w:type="dxa" w:w="76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k_I</w:t>
            </w:r>
          </w:p>
        </w:tc>
        <w:tc>
          <w:tcPr>
            <w:tcW w:type="dxa" w:w="287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Reaches Mᵀ</w:t>
            </w:r>
          </w:p>
        </w:tc>
        <w:tc>
          <w:tcPr>
            <w:tcW w:type="dxa" w:w="146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Inflation</w:t>
            </w:r>
          </w:p>
        </w:tc>
      </w:tr>
      <w:tr>
        <w:trPr>
          <w:tblHeader w:val="false"/>
        </w:trPr>
        <w:tc>
          <w:tcPr>
            <w:tcW w:type="dxa" w:w="18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A  deflation</w:t>
            </w:r>
          </w:p>
        </w:tc>
        <w:tc>
          <w:tcPr>
            <w:tcW w:type="dxa" w:w="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2.5%</w:t>
            </w:r>
          </w:p>
        </w:tc>
        <w:tc>
          <w:tcPr>
            <w:tcW w:type="dxa" w:w="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17.5%</w:t>
            </w:r>
          </w:p>
        </w:tc>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c>
          <w:tcPr>
            <w:tcW w:type="dxa" w:w="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c>
          <w:tcPr>
            <w:tcW w:type="dxa" w:w="287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spillover only (≈$16B)</w:t>
            </w:r>
          </w:p>
        </w:tc>
        <w:tc>
          <w:tcPr>
            <w:tcW w:type="dxa" w:w="14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−1.86%</w:t>
            </w:r>
          </w:p>
        </w:tc>
      </w:tr>
      <w:tr>
        <w:trPr>
          <w:tblHeader w:val="false"/>
        </w:trPr>
        <w:tc>
          <w:tcPr>
            <w:tcW w:type="dxa" w:w="185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B  stable</w:t>
            </w:r>
          </w:p>
        </w:tc>
        <w:tc>
          <w:tcPr>
            <w:tcW w:type="dxa" w:w="7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2.5%</w:t>
            </w:r>
          </w:p>
        </w:tc>
        <w:tc>
          <w:tcPr>
            <w:tcW w:type="dxa" w:w="7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100%</w:t>
            </w:r>
          </w:p>
        </w:tc>
        <w:tc>
          <w:tcPr>
            <w:tcW w:type="dxa" w:w="9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40%</w:t>
            </w:r>
          </w:p>
        </w:tc>
        <w:tc>
          <w:tcPr>
            <w:tcW w:type="dxa" w:w="7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c>
          <w:tcPr>
            <w:tcW w:type="dxa" w:w="287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div $179B + spill ≈$54B</w:t>
            </w:r>
          </w:p>
        </w:tc>
        <w:tc>
          <w:tcPr>
            <w:tcW w:type="dxa" w:w="14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r>
      <w:tr>
        <w:trPr>
          <w:tblHeader w:val="false"/>
        </w:trPr>
        <w:tc>
          <w:tcPr>
            <w:tcW w:type="dxa" w:w="18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C  inflation</w:t>
            </w:r>
          </w:p>
        </w:tc>
        <w:tc>
          <w:tcPr>
            <w:tcW w:type="dxa" w:w="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2.5%</w:t>
            </w:r>
          </w:p>
        </w:tc>
        <w:tc>
          <w:tcPr>
            <w:tcW w:type="dxa" w:w="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17.5%</w:t>
            </w:r>
          </w:p>
        </w:tc>
        <w:tc>
          <w:tcPr>
            <w:tcW w:type="dxa" w:w="9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c>
          <w:tcPr>
            <w:tcW w:type="dxa" w:w="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1.98%</w:t>
            </w:r>
          </w:p>
        </w:tc>
        <w:tc>
          <w:tcPr>
            <w:tcW w:type="dxa" w:w="287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KI $443B (≈$108/cit·mo)</w:t>
            </w:r>
          </w:p>
        </w:tc>
        <w:tc>
          <w:tcPr>
            <w:tcW w:type="dxa" w:w="14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+2.0%</w:t>
            </w:r>
          </w:p>
        </w:tc>
      </w:tr>
      <w:tr>
        <w:trPr>
          <w:tblHeader w:val="false"/>
        </w:trPr>
        <w:tc>
          <w:tcPr>
            <w:tcW w:type="dxa" w:w="185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D  pure dividend</w:t>
            </w:r>
          </w:p>
        </w:tc>
        <w:tc>
          <w:tcPr>
            <w:tcW w:type="dxa" w:w="7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c>
          <w:tcPr>
            <w:tcW w:type="dxa" w:w="7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51.35%</w:t>
            </w:r>
          </w:p>
        </w:tc>
        <w:tc>
          <w:tcPr>
            <w:tcW w:type="dxa" w:w="9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100%</w:t>
            </w:r>
          </w:p>
        </w:tc>
        <w:tc>
          <w:tcPr>
            <w:tcW w:type="dxa" w:w="7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c>
          <w:tcPr>
            <w:tcW w:type="dxa" w:w="287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div $230B (on the locus)</w:t>
            </w:r>
          </w:p>
        </w:tc>
        <w:tc>
          <w:tcPr>
            <w:tcW w:type="dxa" w:w="146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w:t>
            </w:r>
          </w:p>
        </w:tc>
      </w:tr>
    </w:tbl>
    <w:p>
      <w:pPr>
        <w:spacing w:after="160" w:before="60"/>
        <w:jc w:val="left"/>
      </w:pPr>
      <w:r>
        <w:rPr>
          <w:rFonts w:ascii="Arial" w:cs="Arial" w:eastAsia="Arial" w:hAnsi="Arial"/>
          <w:i/>
          <w:iCs/>
          <w:color w:val="555555"/>
          <w:sz w:val="18"/>
          <w:szCs w:val="18"/>
        </w:rPr>
        <w:t xml:space="preserve">Table 2. The four base modes. Modes B and D reach price stability by opposite routings — B locks 60% and pays 40%, D locks nothing and pays all — yet both place ≈$230B on the transactional locus.</w:t>
      </w:r>
    </w:p>
    <w:p>
      <w:pPr>
        <w:pStyle w:val="Heading1"/>
        <w:spacing w:after="130" w:before="320"/>
      </w:pPr>
      <w:r>
        <w:rPr>
          <w:rFonts w:ascii="Arial" w:cs="Arial" w:eastAsia="Arial" w:hAnsi="Arial"/>
          <w:color w:val="2E74B5"/>
          <w:sz w:val="32"/>
          <w:szCs w:val="32"/>
        </w:rPr>
        <w:t xml:space="preserve">5.  The zero-issuance limit</w:t>
      </w:r>
    </w:p>
    <w:p>
      <w:pPr>
        <w:spacing w:after="130" w:line="268"/>
        <w:jc w:val="both"/>
      </w:pPr>
      <w:r>
        <w:rPr>
          <w:rFonts w:ascii="Arial" w:cs="Arial" w:eastAsia="Arial" w:hAnsi="Arial"/>
        </w:rPr>
        <w:t xml:space="preserve">Because every creation channel has an independent floor at zero, the engine contains the no-issuance economy as a genuine limiting case. Setting </w:t>
      </w:r>
      <w:r>
        <w:rPr>
          <w:rFonts w:ascii="Arial" w:cs="Arial" w:eastAsia="Arial" w:hAnsi="Arial"/>
          <w:i/>
          <w:iCs/>
        </w:rPr>
        <w:t xml:space="preserve">k₁</w:t>
      </w:r>
      <w:r>
        <w:rPr>
          <w:rFonts w:ascii="Arial" w:cs="Arial" w:eastAsia="Arial" w:hAnsi="Arial"/>
        </w:rPr>
        <w:t xml:space="preserve"> = </w:t>
      </w:r>
      <w:r>
        <w:rPr>
          <w:rFonts w:ascii="Arial" w:cs="Arial" w:eastAsia="Arial" w:hAnsi="Arial"/>
          <w:i/>
          <w:iCs/>
        </w:rPr>
        <w:t xml:space="preserve">k₂</w:t>
      </w:r>
      <w:r>
        <w:rPr>
          <w:rFonts w:ascii="Arial" w:cs="Arial" w:eastAsia="Arial" w:hAnsi="Arial"/>
        </w:rPr>
        <w:t xml:space="preserve"> = </w:t>
      </w:r>
      <w:r>
        <w:rPr>
          <w:rFonts w:ascii="Arial" w:cs="Arial" w:eastAsia="Arial" w:hAnsi="Arial"/>
          <w:i/>
          <w:iCs/>
        </w:rPr>
        <w:t xml:space="preserve">k_I</w:t>
      </w:r>
      <w:r>
        <w:rPr>
          <w:rFonts w:ascii="Arial" w:cs="Arial" w:eastAsia="Arial" w:hAnsi="Arial"/>
        </w:rPr>
        <w:t xml:space="preserve"> = 0 makes </w:t>
      </w:r>
      <w:r>
        <w:rPr>
          <w:rFonts w:ascii="Arial" w:cs="Arial" w:eastAsia="Arial" w:hAnsi="Arial"/>
          <w:i/>
          <w:iCs/>
        </w:rPr>
        <w:t xml:space="preserve">K</w:t>
      </w:r>
      <w:r>
        <w:rPr>
          <w:rFonts w:ascii="Arial" w:cs="Arial" w:eastAsia="Arial" w:hAnsi="Arial"/>
        </w:rPr>
        <w:t xml:space="preserve">1 = 0, </w:t>
      </w:r>
      <w:r>
        <w:rPr>
          <w:rFonts w:ascii="Arial" w:cs="Arial" w:eastAsia="Arial" w:hAnsi="Arial"/>
          <w:i/>
          <w:iCs/>
        </w:rPr>
        <w:t xml:space="preserve">G</w:t>
      </w:r>
      <w:r>
        <w:rPr>
          <w:rFonts w:ascii="Arial" w:cs="Arial" w:eastAsia="Arial" w:hAnsi="Arial"/>
        </w:rPr>
        <w:t xml:space="preserve"> = 0 (hence </w:t>
      </w:r>
      <w:r>
        <w:rPr>
          <w:rFonts w:ascii="Arial" w:cs="Arial" w:eastAsia="Arial" w:hAnsi="Arial"/>
          <w:i/>
          <w:iCs/>
        </w:rPr>
        <w:t xml:space="preserve">R</w:t>
      </w:r>
      <w:r>
        <w:rPr>
          <w:rFonts w:ascii="Arial" w:cs="Arial" w:eastAsia="Arial" w:hAnsi="Arial"/>
        </w:rPr>
        <w:t xml:space="preserve">, </w:t>
      </w:r>
      <w:r>
        <w:rPr>
          <w:rFonts w:ascii="Arial" w:cs="Arial" w:eastAsia="Arial" w:hAnsi="Arial"/>
          <w:i/>
          <w:iCs/>
        </w:rPr>
        <w:t xml:space="preserve">D</w:t>
      </w:r>
      <w:r>
        <w:rPr>
          <w:rFonts w:ascii="Arial" w:cs="Arial" w:eastAsia="Arial" w:hAnsi="Arial"/>
        </w:rPr>
        <w:t xml:space="preserve">, </w:t>
      </w:r>
      <w:r>
        <w:rPr>
          <w:rFonts w:ascii="Arial" w:cs="Arial" w:eastAsia="Arial" w:hAnsi="Arial"/>
          <w:i/>
          <w:iCs/>
        </w:rPr>
        <w:t xml:space="preserve">F</w:t>
      </w:r>
      <w:r>
        <w:rPr>
          <w:rFonts w:ascii="Arial" w:cs="Arial" w:eastAsia="Arial" w:hAnsi="Arial"/>
        </w:rPr>
        <w:t xml:space="preserve"> all zero), and </w:t>
      </w:r>
      <w:r>
        <w:rPr>
          <w:rFonts w:ascii="Arial" w:cs="Arial" w:eastAsia="Arial" w:hAnsi="Arial"/>
          <w:i/>
          <w:iCs/>
        </w:rPr>
        <w:t xml:space="preserve">KI</w:t>
      </w:r>
      <w:r>
        <w:rPr>
          <w:rFonts w:ascii="Arial" w:cs="Arial" w:eastAsia="Arial" w:hAnsi="Arial"/>
        </w:rPr>
        <w:t xml:space="preserve"> = 0. No new money is created — not less, none. The system is not a printing press with the dial fixed on ‘more’; zero is one of its admissible settings.</w:t>
      </w:r>
    </w:p>
    <w:p>
      <w:pPr>
        <w:spacing w:after="130" w:line="268"/>
        <w:jc w:val="both"/>
      </w:pPr>
      <w:r>
        <w:rPr>
          <w:rFonts w:ascii="Arial" w:cs="Arial" w:eastAsia="Arial" w:hAnsi="Arial"/>
        </w:rPr>
        <w:t xml:space="preserve">The consequence is the opposite of the printing-money intuition. With no new money but real output still growing at </w:t>
      </w:r>
      <w:r>
        <w:rPr>
          <w:rFonts w:ascii="Arial" w:cs="Arial" w:eastAsia="Arial" w:hAnsi="Arial"/>
          <w:i/>
          <w:iCs/>
        </w:rPr>
        <w:t xml:space="preserve">g</w:t>
      </w:r>
      <w:r>
        <w:rPr>
          <w:rFonts w:ascii="Arial" w:cs="Arial" w:eastAsia="Arial" w:hAnsi="Arial"/>
        </w:rPr>
        <w:t xml:space="preserve">, the same money stretches over more goods, and the inflation identity returns</w:t>
      </w:r>
    </w:p>
    <w:p>
      <w:pPr>
        <w:spacing w:after="120" w:before="80" w:line="252"/>
        <w:jc w:val="center"/>
      </w:pPr>
      <w:r>
        <w:rPr>
          <w:rFonts w:ascii="Arial" w:cs="Arial" w:eastAsia="Arial" w:hAnsi="Arial"/>
          <w:b w:val="false"/>
          <w:bCs w:val="false"/>
          <w:i/>
          <w:iCs/>
        </w:rPr>
        <w:t xml:space="preserve">π</w:t>
      </w:r>
      <w:r>
        <w:rPr>
          <w:rFonts w:ascii="Arial" w:cs="Arial" w:eastAsia="Arial" w:hAnsi="Arial"/>
        </w:rPr>
        <w:t xml:space="preserve"> = 0 / </w:t>
      </w:r>
      <w:r>
        <w:rPr>
          <w:rFonts w:ascii="Arial" w:cs="Arial" w:eastAsia="Arial" w:hAnsi="Arial"/>
          <w:b w:val="false"/>
          <w:bCs w:val="false"/>
          <w:i/>
          <w:iCs/>
        </w:rPr>
        <w:t xml:space="preserve">M</w:t>
      </w:r>
      <w:r>
        <w:rPr>
          <w:rFonts w:ascii="Arial" w:cs="Arial" w:eastAsia="Arial" w:hAnsi="Arial"/>
          <w:b w:val="false"/>
          <w:bCs w:val="false"/>
          <w:i w:val="false"/>
          <w:iCs w:val="false"/>
          <w:vertAlign w:val="superscript"/>
        </w:rPr>
        <w:t xml:space="preserve">T</w:t>
      </w:r>
      <w:r>
        <w:rPr>
          <w:rFonts w:ascii="Arial" w:cs="Arial" w:eastAsia="Arial" w:hAnsi="Arial"/>
        </w:rPr>
        <w:t xml:space="preserve"> − </w:t>
      </w:r>
      <w:r>
        <w:rPr>
          <w:rFonts w:ascii="Arial" w:cs="Arial" w:eastAsia="Arial" w:hAnsi="Arial"/>
          <w:b w:val="false"/>
          <w:bCs w:val="false"/>
          <w:i/>
          <w:iCs/>
        </w:rPr>
        <w:t xml:space="preserve">g</w:t>
      </w:r>
      <w:r>
        <w:rPr>
          <w:rFonts w:ascii="Arial" w:cs="Arial" w:eastAsia="Arial" w:hAnsi="Arial"/>
        </w:rPr>
        <w:t xml:space="preserve"> = −</w:t>
      </w:r>
      <w:r>
        <w:rPr>
          <w:rFonts w:ascii="Arial" w:cs="Arial" w:eastAsia="Arial" w:hAnsi="Arial"/>
          <w:b w:val="false"/>
          <w:bCs w:val="false"/>
          <w:i/>
          <w:iCs/>
        </w:rPr>
        <w:t xml:space="preserve">g</w:t>
      </w:r>
      <w:r>
        <w:rPr>
          <w:rFonts w:ascii="Arial" w:cs="Arial" w:eastAsia="Arial" w:hAnsi="Arial"/>
        </w:rPr>
        <w:t xml:space="preserve"> ≈ −2%</w:t>
      </w:r>
    </w:p>
    <w:p>
      <w:pPr>
        <w:spacing w:after="130" w:line="268"/>
        <w:jc w:val="both"/>
      </w:pPr>
      <w:r>
        <w:rPr>
          <w:rFonts w:ascii="Arial" w:cs="Arial" w:eastAsia="Arial" w:hAnsi="Arial"/>
        </w:rPr>
        <w:t xml:space="preserve">A dollar gains roughly 2% a year. This is the fixed-supply, hard-money corner — the gold-standard outcome — recovered exactly as a limit of the same machine. Mode A (mild deflation) sits one step in from it; Modes B and D (stability) a few steps further; Mode C (mild inflation) one step beyond stable. The framework is therefore neither inflationary nor deflationary by nature: it spans the range, and the dials choose the point, including the point at which nothing is created at all.</w:t>
      </w:r>
    </w:p>
    <w:p>
      <w:pPr>
        <w:pStyle w:val="Heading1"/>
        <w:spacing w:after="130" w:before="320"/>
      </w:pPr>
      <w:r>
        <w:rPr>
          <w:rFonts w:ascii="Arial" w:cs="Arial" w:eastAsia="Arial" w:hAnsi="Arial"/>
          <w:color w:val="2E74B5"/>
          <w:sz w:val="32"/>
          <w:szCs w:val="32"/>
        </w:rPr>
        <w:t xml:space="preserve">6.  Index versus dividend: the bounded structural buyer</w:t>
      </w:r>
    </w:p>
    <w:p>
      <w:pPr>
        <w:spacing w:after="130" w:line="268"/>
        <w:jc w:val="both"/>
      </w:pPr>
      <w:r>
        <w:rPr>
          <w:rFonts w:ascii="Arial" w:cs="Arial" w:eastAsia="Arial" w:hAnsi="Arial"/>
        </w:rPr>
        <w:t xml:space="preserve">The K3 routing decides more than ‘locked or spendable’; it decides whether a citizen’s share of new money becomes </w:t>
      </w:r>
      <w:r>
        <w:rPr>
          <w:rFonts w:ascii="Arial" w:cs="Arial" w:eastAsia="Arial" w:hAnsi="Arial"/>
          <w:i/>
          <w:iCs/>
        </w:rPr>
        <w:t xml:space="preserve">ownership</w:t>
      </w:r>
      <w:r>
        <w:rPr>
          <w:rFonts w:ascii="Arial" w:cs="Arial" w:eastAsia="Arial" w:hAnsi="Arial"/>
        </w:rPr>
        <w:t xml:space="preserve"> or </w:t>
      </w:r>
      <w:r>
        <w:rPr>
          <w:rFonts w:ascii="Arial" w:cs="Arial" w:eastAsia="Arial" w:hAnsi="Arial"/>
          <w:i/>
          <w:iCs/>
        </w:rPr>
        <w:t xml:space="preserve">income</w:t>
      </w:r>
      <w:r>
        <w:rPr>
          <w:rFonts w:ascii="Arial" w:cs="Arial" w:eastAsia="Arial" w:hAnsi="Arial"/>
        </w:rPr>
        <w:t xml:space="preserve">. The floor share is not held as cash: it is used to buy equity in the domestic market index and held, making each citizen a part-owner of productive capital. The dividend share is spendable cash — consumed, gone once spent, building no stake. The structural buyer is the system standing in the market each year, buying the index on citizens’ behalf, with an annual flow</w:t>
      </w:r>
    </w:p>
    <w:p>
      <w:pPr>
        <w:spacing w:after="120" w:before="80" w:line="252"/>
        <w:jc w:val="center"/>
      </w:pPr>
      <w:r>
        <w:rPr>
          <w:rFonts w:ascii="Arial" w:cs="Arial" w:eastAsia="Arial" w:hAnsi="Arial"/>
          <w:b w:val="false"/>
          <w:bCs w:val="false"/>
          <w:i/>
          <w:iCs/>
        </w:rPr>
        <w:t xml:space="preserve">A</w:t>
      </w:r>
      <w:r>
        <w:rPr>
          <w:rFonts w:ascii="Arial" w:cs="Arial" w:eastAsia="Arial" w:hAnsi="Arial"/>
        </w:rPr>
        <w:t xml:space="preserve">* = </w:t>
      </w:r>
      <w:r>
        <w:rPr>
          <w:rFonts w:ascii="Arial" w:cs="Arial" w:eastAsia="Arial" w:hAnsi="Arial"/>
          <w:b w:val="false"/>
          <w:bCs w:val="false"/>
          <w:i/>
          <w:iCs/>
        </w:rPr>
        <w:t xml:space="preserve">K</w:t>
      </w:r>
      <w:r>
        <w:rPr>
          <w:rFonts w:ascii="Arial" w:cs="Arial" w:eastAsia="Arial" w:hAnsi="Arial"/>
          <w:b w:val="false"/>
          <w:bCs w:val="false"/>
          <w:i w:val="false"/>
          <w:iCs w:val="false"/>
          <w:vertAlign w:val="subscript"/>
        </w:rPr>
        <w:t xml:space="preserve">1</w:t>
      </w:r>
      <w:r>
        <w:rPr>
          <w:rFonts w:ascii="Arial" w:cs="Arial" w:eastAsia="Arial" w:hAnsi="Arial"/>
        </w:rPr>
        <w:t xml:space="preserve"> + (1 − </w:t>
      </w:r>
      <w:r>
        <w:rPr>
          <w:rFonts w:ascii="Arial" w:cs="Arial" w:eastAsia="Arial" w:hAnsi="Arial"/>
          <w:b w:val="false"/>
          <w:bCs w:val="false"/>
          <w:i/>
          <w:iCs/>
        </w:rPr>
        <w:t xml:space="preserve">κ</w:t>
      </w:r>
      <w:r>
        <w:rPr>
          <w:rFonts w:ascii="Arial" w:cs="Arial" w:eastAsia="Arial" w:hAnsi="Arial"/>
          <w:b w:val="false"/>
          <w:bCs w:val="false"/>
          <w:i w:val="false"/>
          <w:iCs w:val="false"/>
          <w:vertAlign w:val="subscript"/>
        </w:rPr>
        <w:t xml:space="preserve">d</w:t>
      </w:r>
      <w:r>
        <w:rPr>
          <w:rFonts w:ascii="Arial" w:cs="Arial" w:eastAsia="Arial" w:hAnsi="Arial"/>
        </w:rPr>
        <w:t xml:space="preserve">) · </w:t>
      </w:r>
      <w:r>
        <w:rPr>
          <w:rFonts w:ascii="Arial" w:cs="Arial" w:eastAsia="Arial" w:hAnsi="Arial"/>
          <w:b w:val="false"/>
          <w:bCs w:val="false"/>
          <w:i/>
          <w:iCs/>
        </w:rPr>
        <w:t xml:space="preserve">R</w:t>
      </w:r>
    </w:p>
    <w:p>
      <w:pPr>
        <w:spacing w:after="130" w:line="268"/>
        <w:jc w:val="both"/>
      </w:pPr>
      <w:r>
        <w:rPr>
          <w:rFonts w:ascii="Arial" w:cs="Arial" w:eastAsia="Arial" w:hAnsi="Arial"/>
        </w:rPr>
        <w:t xml:space="preserve">Measured against total index capitalisation </w:t>
      </w:r>
      <w:r>
        <w:rPr>
          <w:rFonts w:ascii="Arial" w:cs="Arial" w:eastAsia="Arial" w:hAnsi="Arial"/>
          <w:i/>
          <w:iCs/>
        </w:rPr>
        <w:t xml:space="preserve">M</w:t>
      </w:r>
      <w:r>
        <w:rPr>
          <w:rFonts w:ascii="Arial" w:cs="Arial" w:eastAsia="Arial" w:hAnsi="Arial"/>
          <w:i/>
          <w:iCs/>
          <w:vertAlign w:val="subscript"/>
        </w:rPr>
        <w:t xml:space="preserve">index</w:t>
      </w:r>
      <w:r>
        <w:rPr>
          <w:rFonts w:ascii="Arial" w:cs="Arial" w:eastAsia="Arial" w:hAnsi="Arial"/>
        </w:rPr>
        <w:t xml:space="preserve">, this is a per-year bite </w:t>
      </w:r>
      <w:r>
        <w:rPr>
          <w:rFonts w:ascii="Arial" w:cs="Arial" w:eastAsia="Arial" w:hAnsi="Arial"/>
          <w:i/>
          <w:iCs/>
        </w:rPr>
        <w:t xml:space="preserve">c</w:t>
      </w:r>
      <w:r>
        <w:rPr>
          <w:rFonts w:ascii="Arial" w:cs="Arial" w:eastAsia="Arial" w:hAnsi="Arial"/>
        </w:rPr>
        <w:t xml:space="preserve"> = </w:t>
      </w:r>
      <w:r>
        <w:rPr>
          <w:rFonts w:ascii="Arial" w:cs="Arial" w:eastAsia="Arial" w:hAnsi="Arial"/>
          <w:i/>
          <w:iCs/>
        </w:rPr>
        <w:t xml:space="preserve">A*</w:t>
      </w:r>
      <w:r>
        <w:rPr>
          <w:rFonts w:ascii="Arial" w:cs="Arial" w:eastAsia="Arial" w:hAnsi="Arial"/>
        </w:rPr>
        <w:t xml:space="preserve"> / </w:t>
      </w:r>
      <w:r>
        <w:rPr>
          <w:rFonts w:ascii="Arial" w:cs="Arial" w:eastAsia="Arial" w:hAnsi="Arial"/>
          <w:i/>
          <w:iCs/>
        </w:rPr>
        <w:t xml:space="preserve">M</w:t>
      </w:r>
      <w:r>
        <w:rPr>
          <w:rFonts w:ascii="Arial" w:cs="Arial" w:eastAsia="Arial" w:hAnsi="Arial"/>
          <w:i/>
          <w:iCs/>
          <w:vertAlign w:val="subscript"/>
        </w:rPr>
        <w:t xml:space="preserve">index</w:t>
      </w:r>
      <w:r>
        <w:rPr>
          <w:rFonts w:ascii="Arial" w:cs="Arial" w:eastAsia="Arial" w:hAnsi="Arial"/>
        </w:rPr>
        <w:t xml:space="preserve">. At the default $69T market, Mode B’s </w:t>
      </w:r>
      <w:r>
        <w:rPr>
          <w:rFonts w:ascii="Arial" w:cs="Arial" w:eastAsia="Arial" w:hAnsi="Arial"/>
          <w:i/>
          <w:iCs/>
        </w:rPr>
        <w:t xml:space="preserve">A*</w:t>
      </w:r>
      <w:r>
        <w:rPr>
          <w:rFonts w:ascii="Arial" w:cs="Arial" w:eastAsia="Arial" w:hAnsi="Arial"/>
        </w:rPr>
        <w:t xml:space="preserve"> ≈ $272B is </w:t>
      </w:r>
      <w:r>
        <w:rPr>
          <w:rFonts w:ascii="Arial" w:cs="Arial" w:eastAsia="Arial" w:hAnsi="Arial"/>
          <w:i/>
          <w:iCs/>
        </w:rPr>
        <w:t xml:space="preserve">c</w:t>
      </w:r>
      <w:r>
        <w:rPr>
          <w:rFonts w:ascii="Arial" w:cs="Arial" w:eastAsia="Arial" w:hAnsi="Arial"/>
        </w:rPr>
        <w:t xml:space="preserve"> ≈ 0.39% of the entire market per year. Holding for </w:t>
      </w:r>
      <w:r>
        <w:rPr>
          <w:rFonts w:ascii="Arial" w:cs="Arial" w:eastAsia="Arial" w:hAnsi="Arial"/>
          <w:i/>
          <w:iCs/>
        </w:rPr>
        <w:t xml:space="preserve">dur</w:t>
      </w:r>
      <w:r>
        <w:rPr>
          <w:rFonts w:ascii="Arial" w:cs="Arial" w:eastAsia="Arial" w:hAnsi="Arial"/>
        </w:rPr>
        <w:t xml:space="preserve"> years under growth </w:t>
      </w:r>
      <w:r>
        <w:rPr>
          <w:rFonts w:ascii="Arial" w:cs="Arial" w:eastAsia="Arial" w:hAnsi="Arial"/>
          <w:i/>
          <w:iCs/>
        </w:rPr>
        <w:t xml:space="preserve">g</w:t>
      </w:r>
      <w:r>
        <w:rPr>
          <w:rFonts w:ascii="Arial" w:cs="Arial" w:eastAsia="Arial" w:hAnsi="Arial"/>
        </w:rPr>
        <w:t xml:space="preserve"> does not simply stack to </w:t>
      </w:r>
      <w:r>
        <w:rPr>
          <w:rFonts w:ascii="Arial" w:cs="Arial" w:eastAsia="Arial" w:hAnsi="Arial"/>
          <w:i/>
          <w:iCs/>
        </w:rPr>
        <w:t xml:space="preserve">c</w:t>
      </w:r>
      <w:r>
        <w:rPr>
          <w:rFonts w:ascii="Arial" w:cs="Arial" w:eastAsia="Arial" w:hAnsi="Arial"/>
        </w:rPr>
        <w:t xml:space="preserve"> · </w:t>
      </w:r>
      <w:r>
        <w:rPr>
          <w:rFonts w:ascii="Arial" w:cs="Arial" w:eastAsia="Arial" w:hAnsi="Arial"/>
          <w:i/>
          <w:iCs/>
        </w:rPr>
        <w:t xml:space="preserve">dur</w:t>
      </w:r>
      <w:r>
        <w:rPr>
          <w:rFonts w:ascii="Arial" w:cs="Arial" w:eastAsia="Arial" w:hAnsi="Arial"/>
        </w:rPr>
        <w:t xml:space="preserve">, because the market itself grows and floors are eventually drawn down; the realised collective ownership share is a growth-discounted accumulation,</w:t>
      </w:r>
    </w:p>
    <w:p>
      <w:pPr>
        <w:spacing w:after="120" w:before="80" w:line="252"/>
        <w:jc w:val="center"/>
      </w:pPr>
      <w:r>
        <w:rPr>
          <w:rFonts w:ascii="Arial" w:cs="Arial" w:eastAsia="Arial" w:hAnsi="Arial"/>
          <w:b w:val="false"/>
          <w:bCs w:val="false"/>
          <w:i/>
          <w:iCs/>
        </w:rPr>
        <w:t xml:space="preserve">ψ</w:t>
      </w:r>
      <w:r>
        <w:rPr>
          <w:rFonts w:ascii="Arial" w:cs="Arial" w:eastAsia="Arial" w:hAnsi="Arial"/>
        </w:rPr>
        <w:t xml:space="preserve">* = </w:t>
      </w:r>
      <w:r>
        <w:rPr>
          <w:rFonts w:ascii="Arial" w:cs="Arial" w:eastAsia="Arial" w:hAnsi="Arial"/>
          <w:b w:val="false"/>
          <w:bCs w:val="false"/>
          <w:i/>
          <w:iCs/>
        </w:rPr>
        <w:t xml:space="preserve">c</w:t>
      </w:r>
      <w:r>
        <w:rPr>
          <w:rFonts w:ascii="Arial" w:cs="Arial" w:eastAsia="Arial" w:hAnsi="Arial"/>
        </w:rPr>
        <w:t xml:space="preserve"> · </w:t>
      </w:r>
      <w:r>
        <w:rPr>
          <w:rFonts w:ascii="Arial" w:cs="Arial" w:eastAsia="Arial" w:hAnsi="Arial"/>
          <w:b w:val="false"/>
          <w:bCs w:val="false"/>
          <w:i/>
          <w:iCs/>
        </w:rPr>
        <w:t xml:space="preserve">a</w:t>
      </w:r>
      <w:r>
        <w:rPr>
          <w:rFonts w:ascii="Arial" w:cs="Arial" w:eastAsia="Arial" w:hAnsi="Arial"/>
        </w:rPr>
        <w:t xml:space="preserve">(</w:t>
      </w:r>
      <w:r>
        <w:rPr>
          <w:rFonts w:ascii="Arial" w:cs="Arial" w:eastAsia="Arial" w:hAnsi="Arial"/>
          <w:b w:val="false"/>
          <w:bCs w:val="false"/>
          <w:i/>
          <w:iCs/>
        </w:rPr>
        <w:t xml:space="preserve">g</w:t>
      </w:r>
      <w:r>
        <w:rPr>
          <w:rFonts w:ascii="Arial" w:cs="Arial" w:eastAsia="Arial" w:hAnsi="Arial"/>
        </w:rPr>
        <w:t xml:space="preserve">, </w:t>
      </w:r>
      <w:r>
        <w:rPr>
          <w:rFonts w:ascii="Arial" w:cs="Arial" w:eastAsia="Arial" w:hAnsi="Arial"/>
          <w:b w:val="false"/>
          <w:bCs w:val="false"/>
          <w:i/>
          <w:iCs/>
        </w:rPr>
        <w:t xml:space="preserve">dur</w:t>
      </w:r>
      <w:r>
        <w:rPr>
          <w:rFonts w:ascii="Arial" w:cs="Arial" w:eastAsia="Arial" w:hAnsi="Arial"/>
        </w:rPr>
        <w:t xml:space="preserve">),    </w:t>
      </w:r>
      <w:r>
        <w:rPr>
          <w:rFonts w:ascii="Arial" w:cs="Arial" w:eastAsia="Arial" w:hAnsi="Arial"/>
          <w:b w:val="false"/>
          <w:bCs w:val="false"/>
          <w:i/>
          <w:iCs/>
        </w:rPr>
        <w:t xml:space="preserve">a</w:t>
      </w:r>
      <w:r>
        <w:rPr>
          <w:rFonts w:ascii="Arial" w:cs="Arial" w:eastAsia="Arial" w:hAnsi="Arial"/>
        </w:rPr>
        <w:t xml:space="preserve">(</w:t>
      </w:r>
      <w:r>
        <w:rPr>
          <w:rFonts w:ascii="Arial" w:cs="Arial" w:eastAsia="Arial" w:hAnsi="Arial"/>
          <w:b w:val="false"/>
          <w:bCs w:val="false"/>
          <w:i/>
          <w:iCs/>
        </w:rPr>
        <w:t xml:space="preserve">g</w:t>
      </w:r>
      <w:r>
        <w:rPr>
          <w:rFonts w:ascii="Arial" w:cs="Arial" w:eastAsia="Arial" w:hAnsi="Arial"/>
        </w:rPr>
        <w:t xml:space="preserve">,</w:t>
      </w:r>
      <w:r>
        <w:rPr>
          <w:rFonts w:ascii="Arial" w:cs="Arial" w:eastAsia="Arial" w:hAnsi="Arial"/>
          <w:b w:val="false"/>
          <w:bCs w:val="false"/>
          <w:i/>
          <w:iCs/>
        </w:rPr>
        <w:t xml:space="preserve">dur</w:t>
      </w:r>
      <w:r>
        <w:rPr>
          <w:rFonts w:ascii="Arial" w:cs="Arial" w:eastAsia="Arial" w:hAnsi="Arial"/>
        </w:rPr>
        <w:t xml:space="preserve">) = (1 − (1+</w:t>
      </w:r>
      <w:r>
        <w:rPr>
          <w:rFonts w:ascii="Arial" w:cs="Arial" w:eastAsia="Arial" w:hAnsi="Arial"/>
          <w:b w:val="false"/>
          <w:bCs w:val="false"/>
          <w:i/>
          <w:iCs/>
        </w:rPr>
        <w:t xml:space="preserve">g</w:t>
      </w:r>
      <w:r>
        <w:rPr>
          <w:rFonts w:ascii="Arial" w:cs="Arial" w:eastAsia="Arial" w:hAnsi="Arial"/>
        </w:rPr>
        <w:t xml:space="preserve">)</w:t>
      </w:r>
      <w:r>
        <w:rPr>
          <w:rFonts w:ascii="Arial" w:cs="Arial" w:eastAsia="Arial" w:hAnsi="Arial"/>
          <w:b w:val="false"/>
          <w:bCs w:val="false"/>
          <w:i w:val="false"/>
          <w:iCs w:val="false"/>
          <w:vertAlign w:val="superscript"/>
        </w:rPr>
        <w:t xml:space="preserve">−dur</w:t>
      </w:r>
      <w:r>
        <w:rPr>
          <w:rFonts w:ascii="Arial" w:cs="Arial" w:eastAsia="Arial" w:hAnsi="Arial"/>
        </w:rPr>
        <w:t xml:space="preserve">) / </w:t>
      </w:r>
      <w:r>
        <w:rPr>
          <w:rFonts w:ascii="Arial" w:cs="Arial" w:eastAsia="Arial" w:hAnsi="Arial"/>
          <w:b w:val="false"/>
          <w:bCs w:val="false"/>
          <w:i/>
          <w:iCs/>
        </w:rPr>
        <w:t xml:space="preserve">g</w:t>
      </w:r>
    </w:p>
    <w:p>
      <w:pPr>
        <w:spacing w:after="130" w:line="268"/>
        <w:jc w:val="both"/>
      </w:pPr>
      <w:r>
        <w:rPr>
          <w:rFonts w:ascii="Arial" w:cs="Arial" w:eastAsia="Arial" w:hAnsi="Arial"/>
        </w:rPr>
        <w:t xml:space="preserve">with a hard ceiling that is the crux of feasibility: regardless of holding period,</w:t>
      </w:r>
    </w:p>
    <w:p>
      <w:pPr>
        <w:spacing w:after="120" w:before="80" w:line="252"/>
        <w:jc w:val="center"/>
      </w:pPr>
      <w:r>
        <w:rPr>
          <w:rFonts w:ascii="Arial" w:cs="Arial" w:eastAsia="Arial" w:hAnsi="Arial"/>
          <w:b w:val="false"/>
          <w:bCs w:val="false"/>
          <w:i/>
          <w:iCs/>
        </w:rPr>
        <w:t xml:space="preserve">ψ</w:t>
      </w:r>
      <w:r>
        <w:rPr>
          <w:rFonts w:ascii="Arial" w:cs="Arial" w:eastAsia="Arial" w:hAnsi="Arial"/>
        </w:rPr>
        <w:t xml:space="preserve">* ≤ </w:t>
      </w:r>
      <w:r>
        <w:rPr>
          <w:rFonts w:ascii="Arial" w:cs="Arial" w:eastAsia="Arial" w:hAnsi="Arial"/>
          <w:b w:val="false"/>
          <w:bCs w:val="false"/>
          <w:i/>
          <w:iCs/>
        </w:rPr>
        <w:t xml:space="preserve">c</w:t>
      </w:r>
      <w:r>
        <w:rPr>
          <w:rFonts w:ascii="Arial" w:cs="Arial" w:eastAsia="Arial" w:hAnsi="Arial"/>
        </w:rPr>
        <w:t xml:space="preserve"> / </w:t>
      </w:r>
      <w:r>
        <w:rPr>
          <w:rFonts w:ascii="Arial" w:cs="Arial" w:eastAsia="Arial" w:hAnsi="Arial"/>
          <w:b w:val="false"/>
          <w:bCs w:val="false"/>
          <w:i/>
          <w:iCs/>
        </w:rPr>
        <w:t xml:space="preserve">g</w:t>
      </w:r>
    </w:p>
    <w:p>
      <w:pPr>
        <w:spacing w:after="130" w:line="268"/>
        <w:jc w:val="both"/>
      </w:pPr>
      <w:r>
        <w:rPr>
          <w:rFonts w:ascii="Arial" w:cs="Arial" w:eastAsia="Arial" w:hAnsi="Arial"/>
        </w:rPr>
        <w:t xml:space="preserve">At the defaults (40-year hold, 2% growth), Mode B settles near ψ* ≈ 10% of the index owned collectively, against a ceiling </w:t>
      </w:r>
      <w:r>
        <w:rPr>
          <w:rFonts w:ascii="Arial" w:cs="Arial" w:eastAsia="Arial" w:hAnsi="Arial"/>
          <w:i/>
          <w:iCs/>
        </w:rPr>
        <w:t xml:space="preserve">c</w:t>
      </w:r>
      <w:r>
        <w:rPr>
          <w:rFonts w:ascii="Arial" w:cs="Arial" w:eastAsia="Arial" w:hAnsi="Arial"/>
        </w:rPr>
        <w:t xml:space="preserve">/</w:t>
      </w:r>
      <w:r>
        <w:rPr>
          <w:rFonts w:ascii="Arial" w:cs="Arial" w:eastAsia="Arial" w:hAnsi="Arial"/>
          <w:i/>
          <w:iCs/>
        </w:rPr>
        <w:t xml:space="preserve">g</w:t>
      </w:r>
      <w:r>
        <w:rPr>
          <w:rFonts w:ascii="Arial" w:cs="Arial" w:eastAsia="Arial" w:hAnsi="Arial"/>
        </w:rPr>
        <w:t xml:space="preserve"> ≈ 20%, leaving ≈ 90% as tradable private float. These are the US calibration; the bound that does the work is the c/g ceiling, not the ten-percent point estimate, and it rises with a shallower market or faster growth — India, for instance, lands near 47% against a c/g ceiling near 57%. The share is a property of the implementing economy, not a universal constant. Ownership </w:t>
      </w:r>
      <w:r>
        <w:rPr>
          <w:rFonts w:ascii="Arial" w:cs="Arial" w:eastAsia="Arial" w:hAnsi="Arial"/>
          <w:i/>
          <w:iCs/>
        </w:rPr>
        <w:t xml:space="preserve">asymptotes</w:t>
      </w:r>
      <w:r>
        <w:rPr>
          <w:rFonts w:ascii="Arial" w:cs="Arial" w:eastAsia="Arial" w:hAnsi="Arial"/>
        </w:rPr>
        <w:t xml:space="preserve">; it does not compound without limit. Mode D, by contrast, buys no index at all (</w:t>
      </w:r>
      <w:r>
        <w:rPr>
          <w:rFonts w:ascii="Arial" w:cs="Arial" w:eastAsia="Arial" w:hAnsi="Arial"/>
          <w:i/>
          <w:iCs/>
        </w:rPr>
        <w:t xml:space="preserve">A*</w:t>
      </w:r>
      <w:r>
        <w:rPr>
          <w:rFonts w:ascii="Arial" w:cs="Arial" w:eastAsia="Arial" w:hAnsi="Arial"/>
        </w:rPr>
        <w:t xml:space="preserve"> = 0). The economic significance of the ceiling is taken up in §7.3.</w:t>
      </w:r>
    </w:p>
    <w:p>
      <w:pPr>
        <w:pStyle w:val="Heading1"/>
        <w:spacing w:after="130" w:before="320"/>
      </w:pPr>
      <w:r>
        <w:rPr>
          <w:rFonts w:ascii="Arial" w:cs="Arial" w:eastAsia="Arial" w:hAnsi="Arial"/>
          <w:color w:val="2E74B5"/>
          <w:sz w:val="32"/>
          <w:szCs w:val="32"/>
        </w:rPr>
        <w:t xml:space="preserve">7.  Dividend scaling with growth: an illustrative comparative static</w:t>
      </w:r>
    </w:p>
    <w:p>
      <w:pPr>
        <w:spacing w:after="130" w:line="268"/>
        <w:jc w:val="both"/>
      </w:pPr>
      <w:r>
        <w:rPr>
          <w:rFonts w:ascii="Arial" w:cs="Arial" w:eastAsia="Arial" w:hAnsi="Arial"/>
        </w:rPr>
        <w:t xml:space="preserve">The issuance rule ties the dividend to real growth, so it is fair to ask how the dividend would behave in an economy growing far faster than the 2 percent baseline — for instance under a sustained artificial-intelligence and automation boom. This section answers that question as a comparative static, not a forecast: it reports the per-citizen dividend implied at launch parameters by a given real growth rate g, holding the money base and population at their launch values. It makes no claim that any particular growth rate will occur, and the reader should read the rows as a property of the rule rather than a projection of the economy.</w:t>
      </w:r>
    </w:p>
    <w:p>
      <w:pPr>
        <w:spacing w:after="130" w:line="268"/>
        <w:jc w:val="both"/>
      </w:pPr>
      <w:r>
        <w:rPr>
          <w:rFonts w:ascii="Arial" w:cs="Arial" w:eastAsia="Arial" w:hAnsi="Arial"/>
        </w:rPr>
        <w:t xml:space="preserve">Three features of the rule govern the arithmetic, and each guards against a common misreading. First, issuance is a share of the money stock M2, not of GDP: the growth-matched budget is κ · M2 · g, so a dividend cannot be obtained by taking a percentage of national output. Second, only the growth channel scales with g. Mode B’s split dividend and the full growth-matched ceiling both rise with real growth, but the Mode C inflation dividend (KI) is a fixed 1.98 percent of M2 — roughly $108 per citizen per month — and does not move with the growth rate at all; it is an inflation instrument, not a growth-linked one. Third, the full growth-matched dividend carries zero inflation by construction. This is an identity of the k₂ = 1 rule, which defines issuance to equal real growth; it is not an empirical result, and it is stated here as a definitional property so that it is not mistaken for a discovery.</w:t>
      </w:r>
    </w:p>
    <w:p>
      <w:pPr>
        <w:spacing w:after="130" w:line="268"/>
        <w:jc w:val="both"/>
      </w:pPr>
      <w:r>
        <w:rPr>
          <w:rFonts w:ascii="Arial" w:cs="Arial" w:eastAsia="Arial" w:hAnsi="Arial"/>
        </w:rPr>
        <w:t xml:space="preserve">On those terms the dividend scales as follows. At the 2 percent baseline the growth-matched ceiling is approximately $107 per citizen per month, of which Mode B distributes about $43 at the default dividend share κ_d = 0.4. At 10 percent real growth the ceiling rises to about $543 per month and the Mode B split to about $217; at 20 percent, to about $1,088 and $435 respectively. The Mode C KI dividend remains near $108 per month across every row, since it is not growth-linked. In each case the full growth-matched dividend is paid at zero inflation, because the money issued equals the real output added (Figure 1).</w:t>
      </w:r>
    </w:p>
    <w:tbl>
      <w:tblPr>
        <w:tblStyle w:val="TableGrid"/>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800"/>
        <w:gridCol w:w="1800"/>
        <w:gridCol w:w="1800"/>
        <w:gridCol w:w="1800"/>
      </w:tblGrid>
      <w:tr>
        <w:tc>
          <w:tcPr>
            <w:tcW w:w="1800" w:type="dxa"/>
          </w:tcPr>
          <w:p>
            <w:pPr>
              <w:spacing w:after="40"/>
              <w:jc w:val="center"/>
            </w:pPr>
            <w:r>
              <w:rPr>
                <w:rFonts w:ascii="Arial" w:cs="Arial" w:eastAsia="Arial" w:hAnsi="Arial"/>
                <w:b/>
                <w:bCs/>
                <w:sz w:val="18"/>
                <w:szCs w:val="18"/>
              </w:rPr>
              <w:t xml:space="preserve">real growth g</w:t>
            </w:r>
          </w:p>
        </w:tc>
        <w:tc>
          <w:tcPr>
            <w:tcW w:w="1800" w:type="dxa"/>
          </w:tcPr>
          <w:p>
            <w:pPr>
              <w:spacing w:after="40"/>
              <w:jc w:val="center"/>
            </w:pPr>
            <w:r>
              <w:rPr>
                <w:rFonts w:ascii="Arial" w:cs="Arial" w:eastAsia="Arial" w:hAnsi="Arial"/>
                <w:b/>
                <w:bCs/>
                <w:sz w:val="18"/>
                <w:szCs w:val="18"/>
              </w:rPr>
              <w:t xml:space="preserve">Mode B split</w:t>
            </w:r>
          </w:p>
        </w:tc>
        <w:tc>
          <w:tcPr>
            <w:tcW w:w="1800" w:type="dxa"/>
          </w:tcPr>
          <w:p>
            <w:pPr>
              <w:spacing w:after="40"/>
              <w:jc w:val="center"/>
            </w:pPr>
            <w:r>
              <w:rPr>
                <w:rFonts w:ascii="Arial" w:cs="Arial" w:eastAsia="Arial" w:hAnsi="Arial"/>
                <w:b/>
                <w:bCs/>
                <w:sz w:val="18"/>
                <w:szCs w:val="18"/>
              </w:rPr>
              <w:t xml:space="preserve">full ceiling</w:t>
            </w:r>
          </w:p>
        </w:tc>
        <w:tc>
          <w:tcPr>
            <w:tcW w:w="1800" w:type="dxa"/>
          </w:tcPr>
          <w:p>
            <w:pPr>
              <w:spacing w:after="40"/>
              <w:jc w:val="center"/>
            </w:pPr>
            <w:r>
              <w:rPr>
                <w:rFonts w:ascii="Arial" w:cs="Arial" w:eastAsia="Arial" w:hAnsi="Arial"/>
                <w:b/>
                <w:bCs/>
                <w:sz w:val="18"/>
                <w:szCs w:val="18"/>
              </w:rPr>
              <w:t xml:space="preserve">Mode C KI</w:t>
            </w:r>
          </w:p>
        </w:tc>
        <w:tc>
          <w:tcPr>
            <w:tcW w:w="1800" w:type="dxa"/>
          </w:tcPr>
          <w:p>
            <w:pPr>
              <w:spacing w:after="40"/>
              <w:jc w:val="center"/>
            </w:pPr>
            <w:r>
              <w:rPr>
                <w:rFonts w:ascii="Arial" w:cs="Arial" w:eastAsia="Arial" w:hAnsi="Arial"/>
                <w:b/>
                <w:bCs/>
                <w:sz w:val="18"/>
                <w:szCs w:val="18"/>
              </w:rPr>
              <w:t xml:space="preserve">inflation (full)</w:t>
            </w:r>
          </w:p>
        </w:tc>
      </w:tr>
      <w:tr>
        <w:tc>
          <w:tcPr>
            <w:tcW w:w="1800" w:type="dxa"/>
          </w:tcPr>
          <w:p>
            <w:pPr>
              <w:spacing w:after="40"/>
              <w:jc w:val="center"/>
            </w:pPr>
            <w:r>
              <w:rPr>
                <w:rFonts w:ascii="Arial" w:cs="Arial" w:eastAsia="Arial" w:hAnsi="Arial"/>
                <w:sz w:val="18"/>
                <w:szCs w:val="18"/>
              </w:rPr>
              <w:t xml:space="preserve">2%</w:t>
            </w:r>
          </w:p>
        </w:tc>
        <w:tc>
          <w:tcPr>
            <w:tcW w:w="1800" w:type="dxa"/>
          </w:tcPr>
          <w:p>
            <w:pPr>
              <w:spacing w:after="40"/>
              <w:jc w:val="center"/>
            </w:pPr>
            <w:r>
              <w:rPr>
                <w:rFonts w:ascii="Arial" w:cs="Arial" w:eastAsia="Arial" w:hAnsi="Arial"/>
                <w:sz w:val="18"/>
                <w:szCs w:val="18"/>
              </w:rPr>
              <w:t xml:space="preserve">$43/mo</w:t>
            </w:r>
          </w:p>
        </w:tc>
        <w:tc>
          <w:tcPr>
            <w:tcW w:w="1800" w:type="dxa"/>
          </w:tcPr>
          <w:p>
            <w:pPr>
              <w:spacing w:after="40"/>
              <w:jc w:val="center"/>
            </w:pPr>
            <w:r>
              <w:rPr>
                <w:rFonts w:ascii="Arial" w:cs="Arial" w:eastAsia="Arial" w:hAnsi="Arial"/>
                <w:sz w:val="18"/>
                <w:szCs w:val="18"/>
              </w:rPr>
              <w:t xml:space="preserve">$107/mo</w:t>
            </w:r>
          </w:p>
        </w:tc>
        <w:tc>
          <w:tcPr>
            <w:tcW w:w="1800" w:type="dxa"/>
          </w:tcPr>
          <w:p>
            <w:pPr>
              <w:spacing w:after="40"/>
              <w:jc w:val="center"/>
            </w:pPr>
            <w:r>
              <w:rPr>
                <w:rFonts w:ascii="Arial" w:cs="Arial" w:eastAsia="Arial" w:hAnsi="Arial"/>
                <w:sz w:val="18"/>
                <w:szCs w:val="18"/>
              </w:rPr>
              <w:t xml:space="preserve">$108/mo</w:t>
            </w:r>
          </w:p>
        </w:tc>
        <w:tc>
          <w:tcPr>
            <w:tcW w:w="1800" w:type="dxa"/>
          </w:tcPr>
          <w:p>
            <w:pPr>
              <w:spacing w:after="40"/>
              <w:jc w:val="center"/>
            </w:pPr>
            <w:r>
              <w:rPr>
                <w:rFonts w:ascii="Arial" w:cs="Arial" w:eastAsia="Arial" w:hAnsi="Arial"/>
                <w:sz w:val="18"/>
                <w:szCs w:val="18"/>
              </w:rPr>
              <w:t xml:space="preserve">0.0%</w:t>
            </w:r>
          </w:p>
        </w:tc>
      </w:tr>
      <w:tr>
        <w:tc>
          <w:tcPr>
            <w:tcW w:w="1800" w:type="dxa"/>
          </w:tcPr>
          <w:p>
            <w:pPr>
              <w:spacing w:after="40"/>
              <w:jc w:val="center"/>
            </w:pPr>
            <w:r>
              <w:rPr>
                <w:rFonts w:ascii="Arial" w:cs="Arial" w:eastAsia="Arial" w:hAnsi="Arial"/>
                <w:sz w:val="18"/>
                <w:szCs w:val="18"/>
              </w:rPr>
              <w:t xml:space="preserve">5%</w:t>
            </w:r>
          </w:p>
        </w:tc>
        <w:tc>
          <w:tcPr>
            <w:tcW w:w="1800" w:type="dxa"/>
          </w:tcPr>
          <w:p>
            <w:pPr>
              <w:spacing w:after="40"/>
              <w:jc w:val="center"/>
            </w:pPr>
            <w:r>
              <w:rPr>
                <w:rFonts w:ascii="Arial" w:cs="Arial" w:eastAsia="Arial" w:hAnsi="Arial"/>
                <w:sz w:val="18"/>
                <w:szCs w:val="18"/>
              </w:rPr>
              <w:t xml:space="preserve">$108/mo</w:t>
            </w:r>
          </w:p>
        </w:tc>
        <w:tc>
          <w:tcPr>
            <w:tcW w:w="1800" w:type="dxa"/>
          </w:tcPr>
          <w:p>
            <w:pPr>
              <w:spacing w:after="40"/>
              <w:jc w:val="center"/>
            </w:pPr>
            <w:r>
              <w:rPr>
                <w:rFonts w:ascii="Arial" w:cs="Arial" w:eastAsia="Arial" w:hAnsi="Arial"/>
                <w:sz w:val="18"/>
                <w:szCs w:val="18"/>
              </w:rPr>
              <w:t xml:space="preserve">$270/mo</w:t>
            </w:r>
          </w:p>
        </w:tc>
        <w:tc>
          <w:tcPr>
            <w:tcW w:w="1800" w:type="dxa"/>
          </w:tcPr>
          <w:p>
            <w:pPr>
              <w:spacing w:after="40"/>
              <w:jc w:val="center"/>
            </w:pPr>
            <w:r>
              <w:rPr>
                <w:rFonts w:ascii="Arial" w:cs="Arial" w:eastAsia="Arial" w:hAnsi="Arial"/>
                <w:sz w:val="18"/>
                <w:szCs w:val="18"/>
              </w:rPr>
              <w:t xml:space="preserve">$108/mo</w:t>
            </w:r>
          </w:p>
        </w:tc>
        <w:tc>
          <w:tcPr>
            <w:tcW w:w="1800" w:type="dxa"/>
          </w:tcPr>
          <w:p>
            <w:pPr>
              <w:spacing w:after="40"/>
              <w:jc w:val="center"/>
            </w:pPr>
            <w:r>
              <w:rPr>
                <w:rFonts w:ascii="Arial" w:cs="Arial" w:eastAsia="Arial" w:hAnsi="Arial"/>
                <w:sz w:val="18"/>
                <w:szCs w:val="18"/>
              </w:rPr>
              <w:t xml:space="preserve">0.0%</w:t>
            </w:r>
          </w:p>
        </w:tc>
      </w:tr>
      <w:tr>
        <w:tc>
          <w:tcPr>
            <w:tcW w:w="1800" w:type="dxa"/>
          </w:tcPr>
          <w:p>
            <w:pPr>
              <w:spacing w:after="40"/>
              <w:jc w:val="center"/>
            </w:pPr>
            <w:r>
              <w:rPr>
                <w:rFonts w:ascii="Arial" w:cs="Arial" w:eastAsia="Arial" w:hAnsi="Arial"/>
                <w:sz w:val="18"/>
                <w:szCs w:val="18"/>
              </w:rPr>
              <w:t xml:space="preserve">10%</w:t>
            </w:r>
          </w:p>
        </w:tc>
        <w:tc>
          <w:tcPr>
            <w:tcW w:w="1800" w:type="dxa"/>
          </w:tcPr>
          <w:p>
            <w:pPr>
              <w:spacing w:after="40"/>
              <w:jc w:val="center"/>
            </w:pPr>
            <w:r>
              <w:rPr>
                <w:rFonts w:ascii="Arial" w:cs="Arial" w:eastAsia="Arial" w:hAnsi="Arial"/>
                <w:sz w:val="18"/>
                <w:szCs w:val="18"/>
              </w:rPr>
              <w:t xml:space="preserve">$217/mo</w:t>
            </w:r>
          </w:p>
        </w:tc>
        <w:tc>
          <w:tcPr>
            <w:tcW w:w="1800" w:type="dxa"/>
          </w:tcPr>
          <w:p>
            <w:pPr>
              <w:spacing w:after="40"/>
              <w:jc w:val="center"/>
            </w:pPr>
            <w:r>
              <w:rPr>
                <w:rFonts w:ascii="Arial" w:cs="Arial" w:eastAsia="Arial" w:hAnsi="Arial"/>
                <w:sz w:val="18"/>
                <w:szCs w:val="18"/>
              </w:rPr>
              <w:t xml:space="preserve">$543/mo</w:t>
            </w:r>
          </w:p>
        </w:tc>
        <w:tc>
          <w:tcPr>
            <w:tcW w:w="1800" w:type="dxa"/>
          </w:tcPr>
          <w:p>
            <w:pPr>
              <w:spacing w:after="40"/>
              <w:jc w:val="center"/>
            </w:pPr>
            <w:r>
              <w:rPr>
                <w:rFonts w:ascii="Arial" w:cs="Arial" w:eastAsia="Arial" w:hAnsi="Arial"/>
                <w:sz w:val="18"/>
                <w:szCs w:val="18"/>
              </w:rPr>
              <w:t xml:space="preserve">$108/mo</w:t>
            </w:r>
          </w:p>
        </w:tc>
        <w:tc>
          <w:tcPr>
            <w:tcW w:w="1800" w:type="dxa"/>
          </w:tcPr>
          <w:p>
            <w:pPr>
              <w:spacing w:after="40"/>
              <w:jc w:val="center"/>
            </w:pPr>
            <w:r>
              <w:rPr>
                <w:rFonts w:ascii="Arial" w:cs="Arial" w:eastAsia="Arial" w:hAnsi="Arial"/>
                <w:sz w:val="18"/>
                <w:szCs w:val="18"/>
              </w:rPr>
              <w:t xml:space="preserve">0.0%</w:t>
            </w:r>
          </w:p>
        </w:tc>
      </w:tr>
      <w:tr>
        <w:tc>
          <w:tcPr>
            <w:tcW w:w="1800" w:type="dxa"/>
          </w:tcPr>
          <w:p>
            <w:pPr>
              <w:spacing w:after="40"/>
              <w:jc w:val="center"/>
            </w:pPr>
            <w:r>
              <w:rPr>
                <w:rFonts w:ascii="Arial" w:cs="Arial" w:eastAsia="Arial" w:hAnsi="Arial"/>
                <w:sz w:val="18"/>
                <w:szCs w:val="18"/>
              </w:rPr>
              <w:t xml:space="preserve">15%</w:t>
            </w:r>
          </w:p>
        </w:tc>
        <w:tc>
          <w:tcPr>
            <w:tcW w:w="1800" w:type="dxa"/>
          </w:tcPr>
          <w:p>
            <w:pPr>
              <w:spacing w:after="40"/>
              <w:jc w:val="center"/>
            </w:pPr>
            <w:r>
              <w:rPr>
                <w:rFonts w:ascii="Arial" w:cs="Arial" w:eastAsia="Arial" w:hAnsi="Arial"/>
                <w:sz w:val="18"/>
                <w:szCs w:val="18"/>
              </w:rPr>
              <w:t xml:space="preserve">$326/mo</w:t>
            </w:r>
          </w:p>
        </w:tc>
        <w:tc>
          <w:tcPr>
            <w:tcW w:w="1800" w:type="dxa"/>
          </w:tcPr>
          <w:p>
            <w:pPr>
              <w:spacing w:after="40"/>
              <w:jc w:val="center"/>
            </w:pPr>
            <w:r>
              <w:rPr>
                <w:rFonts w:ascii="Arial" w:cs="Arial" w:eastAsia="Arial" w:hAnsi="Arial"/>
                <w:sz w:val="18"/>
                <w:szCs w:val="18"/>
              </w:rPr>
              <w:t xml:space="preserve">$816/mo</w:t>
            </w:r>
          </w:p>
        </w:tc>
        <w:tc>
          <w:tcPr>
            <w:tcW w:w="1800" w:type="dxa"/>
          </w:tcPr>
          <w:p>
            <w:pPr>
              <w:spacing w:after="40"/>
              <w:jc w:val="center"/>
            </w:pPr>
            <w:r>
              <w:rPr>
                <w:rFonts w:ascii="Arial" w:cs="Arial" w:eastAsia="Arial" w:hAnsi="Arial"/>
                <w:sz w:val="18"/>
                <w:szCs w:val="18"/>
              </w:rPr>
              <w:t xml:space="preserve">$108/mo</w:t>
            </w:r>
          </w:p>
        </w:tc>
        <w:tc>
          <w:tcPr>
            <w:tcW w:w="1800" w:type="dxa"/>
          </w:tcPr>
          <w:p>
            <w:pPr>
              <w:spacing w:after="40"/>
              <w:jc w:val="center"/>
            </w:pPr>
            <w:r>
              <w:rPr>
                <w:rFonts w:ascii="Arial" w:cs="Arial" w:eastAsia="Arial" w:hAnsi="Arial"/>
                <w:sz w:val="18"/>
                <w:szCs w:val="18"/>
              </w:rPr>
              <w:t xml:space="preserve">0.0%</w:t>
            </w:r>
          </w:p>
        </w:tc>
      </w:tr>
      <w:tr>
        <w:tc>
          <w:tcPr>
            <w:tcW w:w="1800" w:type="dxa"/>
          </w:tcPr>
          <w:p>
            <w:pPr>
              <w:spacing w:after="40"/>
              <w:jc w:val="center"/>
            </w:pPr>
            <w:r>
              <w:rPr>
                <w:rFonts w:ascii="Arial" w:cs="Arial" w:eastAsia="Arial" w:hAnsi="Arial"/>
                <w:sz w:val="18"/>
                <w:szCs w:val="18"/>
              </w:rPr>
              <w:t xml:space="preserve">20%</w:t>
            </w:r>
          </w:p>
        </w:tc>
        <w:tc>
          <w:tcPr>
            <w:tcW w:w="1800" w:type="dxa"/>
          </w:tcPr>
          <w:p>
            <w:pPr>
              <w:spacing w:after="40"/>
              <w:jc w:val="center"/>
            </w:pPr>
            <w:r>
              <w:rPr>
                <w:rFonts w:ascii="Arial" w:cs="Arial" w:eastAsia="Arial" w:hAnsi="Arial"/>
                <w:sz w:val="18"/>
                <w:szCs w:val="18"/>
              </w:rPr>
              <w:t xml:space="preserve">$435/mo</w:t>
            </w:r>
          </w:p>
        </w:tc>
        <w:tc>
          <w:tcPr>
            <w:tcW w:w="1800" w:type="dxa"/>
          </w:tcPr>
          <w:p>
            <w:pPr>
              <w:spacing w:after="40"/>
              <w:jc w:val="center"/>
            </w:pPr>
            <w:r>
              <w:rPr>
                <w:rFonts w:ascii="Arial" w:cs="Arial" w:eastAsia="Arial" w:hAnsi="Arial"/>
                <w:sz w:val="18"/>
                <w:szCs w:val="18"/>
              </w:rPr>
              <w:t xml:space="preserve">$1,088/mo</w:t>
            </w:r>
          </w:p>
        </w:tc>
        <w:tc>
          <w:tcPr>
            <w:tcW w:w="1800" w:type="dxa"/>
          </w:tcPr>
          <w:p>
            <w:pPr>
              <w:spacing w:after="40"/>
              <w:jc w:val="center"/>
            </w:pPr>
            <w:r>
              <w:rPr>
                <w:rFonts w:ascii="Arial" w:cs="Arial" w:eastAsia="Arial" w:hAnsi="Arial"/>
                <w:sz w:val="18"/>
                <w:szCs w:val="18"/>
              </w:rPr>
              <w:t xml:space="preserve">$108/mo</w:t>
            </w:r>
          </w:p>
        </w:tc>
        <w:tc>
          <w:tcPr>
            <w:tcW w:w="1800" w:type="dxa"/>
          </w:tcPr>
          <w:p>
            <w:pPr>
              <w:spacing w:after="40"/>
              <w:jc w:val="center"/>
            </w:pPr>
            <w:r>
              <w:rPr>
                <w:rFonts w:ascii="Arial" w:cs="Arial" w:eastAsia="Arial" w:hAnsi="Arial"/>
                <w:sz w:val="18"/>
                <w:szCs w:val="18"/>
              </w:rPr>
              <w:t xml:space="preserve">0.0%</w:t>
            </w:r>
          </w:p>
        </w:tc>
      </w:tr>
    </w:tbl>
    <w:p>
      <w:pPr>
        <w:spacing w:after="130"/>
        <w:jc w:val="both"/>
      </w:pPr>
      <w:r>
        <w:rPr>
          <w:rFonts w:ascii="Arial" w:cs="Arial" w:eastAsia="Arial" w:hAnsi="Arial"/>
          <w:i/>
          <w:iCs/>
          <w:sz w:val="18"/>
          <w:szCs w:val="18"/>
        </w:rPr>
        <w:t xml:space="preserve">Per-citizen monthly dividend implied at launch parameters by real growth rate g (comparative static, not a forecast). Mode C KI is flat because it is not growth-linked; the full ceiling is price-stable by construction.</w:t>
      </w:r>
    </w:p>
    <w:p>
      <w:pPr>
        <w:spacing w:before="120" w:after="80"/>
        <w:jc w:val="center"/>
      </w:pPr>
      <w:r>
        <w:rPr>
          <w:rFonts w:ascii="Arial" w:cs="Arial" w:eastAsia="Arial" w:hAnsi="Arial"/>
        </w:rPr>
        <w:drawing>
          <wp:inline distT="0" distB="0" distL="0" distR="0">
            <wp:extent cx="5486400" cy="3297525"/>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9"/>
                    <a:stretch>
                      <a:fillRect/>
                    </a:stretch>
                  </pic:blipFill>
                  <pic:spPr>
                    <a:xfrm>
                      <a:off x="0" y="0"/>
                      <a:ext cx="5486400" cy="3297525"/>
                    </a:xfrm>
                    <a:prstGeom prst="rect">
                      <a:avLst/>
                    </a:prstGeom>
                  </pic:spPr>
                </pic:pic>
              </a:graphicData>
            </a:graphic>
          </wp:inline>
        </w:drawing>
      </w:r>
    </w:p>
    <w:p>
      <w:pPr>
        <w:spacing w:after="160"/>
        <w:jc w:val="center"/>
      </w:pPr>
      <w:r>
        <w:rPr>
          <w:rFonts w:ascii="Arial" w:cs="Arial" w:eastAsia="Arial" w:hAnsi="Arial"/>
          <w:i/>
          <w:iCs/>
          <w:sz w:val="18"/>
          <w:szCs w:val="18"/>
        </w:rPr>
        <w:t xml:space="preserve">Figure 1. Per-citizen monthly dividend by real growth rate. The two growth-linked channels rise with g; the Mode C KI dividend is flat because it is not growth-linked. The full growth-matched ceiling is price-stable by construction. Reproduced by growth_scenario.py.</w:t>
      </w:r>
    </w:p>
    <w:p>
      <w:pPr>
        <w:spacing w:after="130" w:line="268"/>
        <w:jc w:val="both"/>
      </w:pPr>
      <w:r>
        <w:rPr>
          <w:rFonts w:ascii="Arial" w:cs="Arial" w:eastAsia="Arial" w:hAnsi="Arial"/>
        </w:rPr>
        <w:t xml:space="preserve">The illustration should not be read as an endorsement of high-growth assumptions. Sustained real growth of 10 to 20 percent for a large mature economy is historically unprecedented; short bursts have occurred from low starting points or after wartime destruction, but no economy at the scale of the United States has compounded at such rates for a decade. The value of the exercise is narrow and specific: it shows that the constitutional issuance rule scales continuously and remains price-stable across the whole range, so that an economy fortunate enough to grow quickly would distribute the gains as a larger real dividend without the rule breaking or requiring discretionary adjustment. The rows demonstrate that the mechanism does not misbehave under extreme inputs, not that such inputs are expected.</w:t>
      </w:r>
    </w:p>
    <w:p>
      <w:pPr>
        <w:spacing w:after="130" w:line="268"/>
        <w:jc w:val="both"/>
      </w:pPr>
      <w:r>
        <w:rPr>
          <w:rFonts w:ascii="Arial" w:cs="Arial" w:eastAsia="Arial" w:hAnsi="Arial"/>
        </w:rPr>
        <w:t xml:space="preserve">The figures are reproduced by growth_scenario.py in the architecture replication package (architecture_replication), which regenerates the table from the launch anchors used throughout this series.</w:t>
      </w:r>
    </w:p>
    <w:p>
      <w:pPr>
        <w:pStyle w:val="Heading1"/>
        <w:spacing w:after="130" w:before="320"/>
      </w:pPr>
      <w:r>
        <w:rPr>
          <w:rFonts w:ascii="Arial" w:cs="Arial" w:eastAsia="Arial" w:hAnsi="Arial"/>
          <w:color w:val="2E74B5"/>
          <w:sz w:val="32"/>
          <w:szCs w:val="32"/>
        </w:rPr>
        <w:t>8.  Where the results are most exposed</w:t>
      </w:r>
    </w:p>
    <w:p>
      <w:pPr>
        <w:spacing w:after="130" w:line="268"/>
        <w:jc w:val="both"/>
      </w:pPr>
      <w:r>
        <w:rPr>
          <w:rFonts w:ascii="Arial" w:cs="Arial" w:eastAsia="Arial" w:hAnsi="Arial"/>
        </w:rPr>
        <w:t xml:space="preserve">Four points will draw the sharpest scrutiny. None is a structural flaw; each is a place where a number must be defended rather than asserted. The honest response is the same in every case: name what kind of object the number is, give the identification strategy, and report the sensitivity. Where the number is an empirical estimate, the test is not whether it is exactly right but whether the conclusions survive its being somewhat wrong.</w:t>
      </w:r>
    </w:p>
    <w:p>
      <w:pPr>
        <w:pStyle w:val="Heading2"/>
        <w:spacing w:after="80" w:before="220"/>
      </w:pPr>
      <w:r>
        <w:rPr>
          <w:rFonts w:ascii="Arial" w:cs="Arial" w:eastAsia="Arial" w:hAnsi="Arial"/>
          <w:color w:val="2E74B5"/>
          <w:sz w:val="26"/>
          <w:szCs w:val="26"/>
        </w:rPr>
        <w:t xml:space="preserve">8.1  The M</w:t>
      </w:r>
      <w:r>
        <w:rPr>
          <w:rFonts w:ascii="Arial" w:cs="Arial" w:eastAsia="Arial" w:hAnsi="Arial"/>
          <w:color w:val="2E74B5"/>
          <w:sz w:val="26"/>
          <w:szCs w:val="26"/>
          <w:vertAlign w:val="superscript"/>
        </w:rPr>
        <w:t xml:space="preserve">T</w:t>
      </w:r>
      <w:r>
        <w:rPr>
          <w:rFonts w:ascii="Arial" w:cs="Arial" w:eastAsia="Arial" w:hAnsi="Arial"/>
          <w:color w:val="2E74B5"/>
          <w:sz w:val="26"/>
          <w:szCs w:val="26"/>
        </w:rPr>
        <w:t xml:space="preserve"> decomposition (the largest vulnerability)</w:t>
      </w:r>
    </w:p>
    <w:p>
      <w:pPr>
        <w:spacing w:after="130" w:line="268"/>
        <w:jc w:val="both"/>
      </w:pPr>
      <w:r>
        <w:rPr>
          <w:rFonts w:ascii="Arial" w:cs="Arial" w:eastAsia="Arial" w:hAnsi="Arial"/>
        </w:rPr>
        <w:t xml:space="preserve">The entire inflation mechanism runs through Mᵀ ≈ 51.35% of </w:t>
      </w:r>
      <w:r>
        <w:rPr>
          <w:rFonts w:ascii="Arial" w:cs="Arial" w:eastAsia="Arial" w:hAnsi="Arial"/>
          <w:i/>
          <w:iCs/>
        </w:rPr>
        <w:t xml:space="preserve">M</w:t>
      </w:r>
      <w:r>
        <w:rPr>
          <w:rFonts w:ascii="Arial" w:cs="Arial" w:eastAsia="Arial" w:hAnsi="Arial"/>
        </w:rPr>
        <w:t xml:space="preserve">2. The fair objection is twofold: why that figure, and why should it be stable over time? We concede the centrality and answer in four parts.</w:t>
      </w:r>
    </w:p>
    <w:p>
      <w:pPr>
        <w:spacing w:after="130" w:line="268"/>
        <w:jc w:val="both"/>
      </w:pPr>
      <w:r>
        <w:rPr>
          <w:rFonts w:ascii="Arial" w:cs="Arial" w:eastAsia="Arial" w:hAnsi="Arial"/>
        </w:rPr>
        <w:t xml:space="preserve">First, what Mᵀ </w:t>
      </w:r>
      <w:r>
        <w:rPr>
          <w:rFonts w:ascii="Arial" w:cs="Arial" w:eastAsia="Arial" w:hAnsi="Arial"/>
          <w:i/>
          <w:iCs/>
        </w:rPr>
        <w:t xml:space="preserve">is</w:t>
      </w:r>
      <w:r>
        <w:rPr>
          <w:rFonts w:ascii="Arial" w:cs="Arial" w:eastAsia="Arial" w:hAnsi="Arial"/>
        </w:rPr>
        <w:t xml:space="preserve">. It is the velocity-relevant, transaction-active share of broad money — balances actually turning over against current output — as opposed to the savings and near-money components of M2 that are held as stores of value. The quantity identity prices goods off the former, not the latter; the decomposition is standard monetary economics, not an invention of this framework.</w:t>
      </w:r>
    </w:p>
    <w:p>
      <w:pPr>
        <w:spacing w:after="130" w:line="268"/>
        <w:jc w:val="both"/>
      </w:pPr>
      <w:r>
        <w:rPr>
          <w:rFonts w:ascii="Arial" w:cs="Arial" w:eastAsia="Arial" w:hAnsi="Arial"/>
        </w:rPr>
        <w:t xml:space="preserve">Second, identification. The 51.35% figure should not rest on a single source, and does not need to. It can be triangulated from three independent routes: (i) the active-balance share implied by the M1-versus-M2 composition; (ii) a velocity decomposition that attributes the measured fall in M2 velocity to a rising idle share; and (iii) the value back-solved from the observed price-stability locus itself. Convergence of these routes — not the precision of any one — is what should carry the number, and a published confidence band (Mᵀ/</w:t>
      </w:r>
      <w:r>
        <w:rPr>
          <w:rFonts w:ascii="Arial" w:cs="Arial" w:eastAsia="Arial" w:hAnsi="Arial"/>
          <w:i/>
          <w:iCs/>
        </w:rPr>
        <w:t xml:space="preserve">M</w:t>
      </w:r>
      <w:r>
        <w:rPr>
          <w:rFonts w:ascii="Arial" w:cs="Arial" w:eastAsia="Arial" w:hAnsi="Arial"/>
        </w:rPr>
        <w:t xml:space="preserve">2 ∈ roughly 0.46–0.57) is more honest than a bare point estimate.</w:t>
      </w:r>
    </w:p>
    <w:p>
      <w:pPr>
        <w:spacing w:after="130" w:line="268"/>
        <w:jc w:val="both"/>
      </w:pPr>
      <w:r>
        <w:rPr>
          <w:rFonts w:ascii="Arial" w:cs="Arial" w:eastAsia="Arial" w:hAnsi="Arial"/>
        </w:rPr>
        <w:t xml:space="preserve">Third, and decisively, the rule is specified on </w:t>
      </w:r>
      <w:r>
        <w:rPr>
          <w:rFonts w:ascii="Arial" w:cs="Arial" w:eastAsia="Arial" w:hAnsi="Arial"/>
          <w:i/>
          <w:iCs/>
        </w:rPr>
        <w:t xml:space="preserve">measured</w:t>
      </w:r>
      <w:r>
        <w:rPr>
          <w:rFonts w:ascii="Arial" w:cs="Arial" w:eastAsia="Arial" w:hAnsi="Arial"/>
        </w:rPr>
        <w:t xml:space="preserve"> Mᵀ, not on the constant 0.5135. The framework issues at </w:t>
      </w:r>
      <w:r>
        <w:rPr>
          <w:rFonts w:ascii="Arial" w:cs="Arial" w:eastAsia="Arial" w:hAnsi="Arial"/>
          <w:i/>
          <w:iCs/>
        </w:rPr>
        <w:t xml:space="preserve">g</w:t>
      </w:r>
      <w:r>
        <w:rPr>
          <w:rFonts w:ascii="Arial" w:cs="Arial" w:eastAsia="Arial" w:hAnsi="Arial"/>
        </w:rPr>
        <w:t xml:space="preserve"> · Mᵀ for the Mᵀ of the day, re-estimated on the same cadence as any other monetary aggregate. Payment technology and interest rates move the transactional share, but slowly; the rule re-anchors to it rather than freezing it. The 51.35% is today’s best estimate, not a structural constant.</w:t>
      </w:r>
    </w:p>
    <w:p>
      <w:pPr>
        <w:spacing w:after="130" w:line="268"/>
        <w:jc w:val="both"/>
      </w:pPr>
      <w:r>
        <w:rPr>
          <w:rFonts w:ascii="Arial" w:cs="Arial" w:eastAsia="Arial" w:hAnsi="Arial"/>
        </w:rPr>
        <w:t xml:space="preserve">Fourth, the sensitivity is modest and bounded. Suppose the system issues the calibrated $229.7B while the true transactional share differs from 51.35%. Table 3 shows the resulting miss: a six-percentage-point error in Mᵀ — a large error for an aggregate — moves realised inflation by only about a quarter of a point, and in a direction the next re-estimation corrects.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rPr>
          <w:tblHeader/>
        </w:trPr>
        <w:tc>
          <w:tcPr>
            <w:tcW w:type="dxa" w:w="31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left"/>
            </w:pPr>
            <w:r>
              <w:rPr>
                <w:rFonts w:ascii="Arial" w:cs="Arial" w:eastAsia="Arial" w:hAnsi="Arial"/>
                <w:b/>
                <w:bCs/>
                <w:color w:val="1A1A1A"/>
                <w:sz w:val="19"/>
                <w:szCs w:val="19"/>
              </w:rPr>
              <w:t xml:space="preserve">True Mᵀ / M2</w:t>
            </w:r>
          </w:p>
        </w:tc>
        <w:tc>
          <w:tcPr>
            <w:tcW w:type="dxa" w:w="208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Mᵀ</w:t>
            </w:r>
          </w:p>
        </w:tc>
        <w:tc>
          <w:tcPr>
            <w:tcW w:type="dxa" w:w="208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Locus g·Mᵀ</w:t>
            </w:r>
          </w:p>
        </w:tc>
        <w:tc>
          <w:tcPr>
            <w:tcW w:type="dxa" w:w="208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Inflation if $230B issued</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45.0%</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$10.06T</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$201B</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+0.28%</w:t>
            </w:r>
          </w:p>
        </w:tc>
      </w:tr>
      <w:tr>
        <w:trPr>
          <w:tblHeader w:val="false"/>
        </w:trPr>
        <w:tc>
          <w:tcPr>
            <w:tcW w:type="dxa" w:w="31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48.4%</w:t>
            </w:r>
          </w:p>
        </w:tc>
        <w:tc>
          <w:tcPr>
            <w:tcW w:type="dxa" w:w="208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$10.81T</w:t>
            </w:r>
          </w:p>
        </w:tc>
        <w:tc>
          <w:tcPr>
            <w:tcW w:type="dxa" w:w="208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$216B</w:t>
            </w:r>
          </w:p>
        </w:tc>
        <w:tc>
          <w:tcPr>
            <w:tcW w:type="dxa" w:w="208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+0.12%</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51.35% (calibrated)</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$11.49T</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$230B</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0.00%</w:t>
            </w:r>
          </w:p>
        </w:tc>
      </w:tr>
      <w:tr>
        <w:trPr>
          <w:tblHeader w:val="false"/>
        </w:trPr>
        <w:tc>
          <w:tcPr>
            <w:tcW w:type="dxa" w:w="31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54.4%</w:t>
            </w:r>
          </w:p>
        </w:tc>
        <w:tc>
          <w:tcPr>
            <w:tcW w:type="dxa" w:w="208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$12.16T</w:t>
            </w:r>
          </w:p>
        </w:tc>
        <w:tc>
          <w:tcPr>
            <w:tcW w:type="dxa" w:w="208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$243B</w:t>
            </w:r>
          </w:p>
        </w:tc>
        <w:tc>
          <w:tcPr>
            <w:tcW w:type="dxa" w:w="208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−0.11%</w:t>
            </w:r>
          </w:p>
        </w:tc>
      </w:tr>
      <w:tr>
        <w:trPr>
          <w:tblHeader w:val="false"/>
        </w:trP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57.0%</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$12.75T</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$255B</w:t>
            </w:r>
          </w:p>
        </w:tc>
        <w:tc>
          <w:tcPr>
            <w:tcW w:type="dxa" w:w="20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−0.20%</w:t>
            </w:r>
          </w:p>
        </w:tc>
      </w:tr>
    </w:tbl>
    <w:p>
      <w:pPr>
        <w:spacing w:after="160" w:before="60"/>
        <w:jc w:val="left"/>
      </w:pPr>
      <w:r>
        <w:rPr>
          <w:rFonts w:ascii="Arial" w:cs="Arial" w:eastAsia="Arial" w:hAnsi="Arial"/>
          <w:i/>
          <w:iCs/>
          <w:color w:val="555555"/>
          <w:sz w:val="18"/>
          <w:szCs w:val="18"/>
        </w:rPr>
        <w:t xml:space="preserve">Table 3. Mᵀ sensitivity. Issuing the calibrated $229.7B against a mis-estimated transactional share; the inflation miss over a ±6-point range stays within ±0.3%.</w:t>
      </w:r>
    </w:p>
    <w:p>
      <w:pPr>
        <w:pStyle w:val="Heading2"/>
        <w:spacing w:after="80" w:before="220"/>
      </w:pPr>
      <w:r>
        <w:rPr>
          <w:rFonts w:ascii="Arial" w:cs="Arial" w:eastAsia="Arial" w:hAnsi="Arial"/>
          <w:color w:val="2E74B5"/>
          <w:sz w:val="26"/>
          <w:szCs w:val="26"/>
        </w:rPr>
        <w:t xml:space="preserve">8.2  The 20% spillover</w:t>
      </w:r>
    </w:p>
    <w:p>
      <w:pPr>
        <w:spacing w:after="130" w:line="268"/>
        <w:jc w:val="both"/>
      </w:pPr>
      <w:r>
        <w:rPr>
          <w:rFonts w:ascii="Arial" w:cs="Arial" w:eastAsia="Arial" w:hAnsi="Arial"/>
        </w:rPr>
        <w:t xml:space="preserve">The claim </w:t>
      </w:r>
      <w:r>
        <w:rPr>
          <w:rFonts w:ascii="Arial" w:cs="Arial" w:eastAsia="Arial" w:hAnsi="Arial"/>
          <w:i/>
          <w:iCs/>
        </w:rPr>
        <w:t xml:space="preserve">L</w:t>
      </w:r>
      <w:r>
        <w:rPr>
          <w:rFonts w:ascii="Arial" w:cs="Arial" w:eastAsia="Arial" w:hAnsi="Arial"/>
        </w:rPr>
        <w:t xml:space="preserve"> = 0.20 · </w:t>
      </w:r>
      <w:r>
        <w:rPr>
          <w:rFonts w:ascii="Arial" w:cs="Arial" w:eastAsia="Arial" w:hAnsi="Arial"/>
          <w:i/>
          <w:iCs/>
        </w:rPr>
        <w:t xml:space="preserve">A*</w:t>
      </w:r>
      <w:r>
        <w:rPr>
          <w:rFonts w:ascii="Arial" w:cs="Arial" w:eastAsia="Arial" w:hAnsi="Arial"/>
        </w:rPr>
        <w:t xml:space="preserve"> invites the obvious question: why 0.20 and not 0.10 or 0.40? Again, four parts.</w:t>
      </w:r>
    </w:p>
    <w:p>
      <w:pPr>
        <w:spacing w:after="130" w:line="268"/>
        <w:jc w:val="both"/>
      </w:pPr>
      <w:r>
        <w:rPr>
          <w:rFonts w:ascii="Arial" w:cs="Arial" w:eastAsia="Arial" w:hAnsi="Arial"/>
        </w:rPr>
        <w:t xml:space="preserve">What it represents: the fraction of new asset-circuit (floor) money that leaks into goods demand — a wealth effect, the marginal propensity to consume out of newly-accrued floor wealth. It is the one channel through which locked savings touch goods prices, and it is why Mᵃ is </w:t>
      </w:r>
      <w:r>
        <w:rPr>
          <w:rFonts w:ascii="Arial" w:cs="Arial" w:eastAsia="Arial" w:hAnsi="Arial"/>
          <w:i/>
          <w:iCs/>
        </w:rPr>
        <w:t xml:space="preserve">nearly</w:t>
      </w:r>
      <w:r>
        <w:rPr>
          <w:rFonts w:ascii="Arial" w:cs="Arial" w:eastAsia="Arial" w:hAnsi="Arial"/>
        </w:rPr>
        <w:t xml:space="preserve">, not perfectly, price-inert.</w:t>
      </w:r>
    </w:p>
    <w:p>
      <w:pPr>
        <w:spacing w:after="130" w:line="268"/>
        <w:jc w:val="both"/>
      </w:pPr>
      <w:r>
        <w:rPr>
          <w:rFonts w:ascii="Arial" w:cs="Arial" w:eastAsia="Arial" w:hAnsi="Arial"/>
        </w:rPr>
        <w:t xml:space="preserve">Its anchor: the empirical wealth-effect literature places the marginal propensity to consume out of wealth at single-digit cents per dollar for liquid holdings and lower for illiquid ones. The floor is locked and illiquid by construction, which pushes the leakage of each year’s inflow toward the low end; 0.20 of the annual flow is a deliberately conservative — cautious-high — mid-estimate rather than an optimistic one, chosen so the price result is stress-tested against more spillover than is likely, not less. A companion estimation module (spillover_estimate.py, macro replication package) assembles the named estimates — Poterba (2000); Case, Quigley and Shiller (2005, 2013); Mian, Rao and Sufi (2013); Chodorow-Reich, Nenov and Simsek (2021); Di Maggio, Kermani and Majlesi (2020) — into a pooled band of roughly 0.01–0.07 per dollar of unrealized equity wealth, placing the framework’s 0.20 at roughly three to ten times the literature point: an error budget spent entirely on the side that overstates inflation risk. The same module solves the locus-exact dividend share κ_d*(λ) at each estimate — rising toward 49–52 percent at literature-point spillovers — making the recentring of the next paragraph exact rather than directional.</w:t>
      </w:r>
    </w:p>
    <w:p>
      <w:pPr>
        <w:spacing w:after="130" w:line="268"/>
        <w:jc w:val="both"/>
      </w:pPr>
      <w:r>
        <w:rPr>
          <w:rFonts w:ascii="Arial" w:cs="Arial" w:eastAsia="Arial" w:hAnsi="Arial"/>
        </w:rPr>
        <w:t xml:space="preserve">Its sensitivity: Table 4 varies the fraction across 10–40% for Mode B. The whole range moves realised inflation by under three-quarters of a point, and — crucially — the dividend share κ_d is a free instrument that re-centres the result: a higher measured spillover is offset by routing marginally less to the dividend. The spillover sets a calibration, not an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920"/>
        <w:gridCol w:w="1920"/>
        <w:gridCol w:w="1920"/>
      </w:tblGrid>
      <w:tr>
        <w:trPr>
          <w:tblHeader/>
        </w:trPr>
        <w:tc>
          <w:tcPr>
            <w:tcW w:type="dxa" w:w="260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left"/>
            </w:pPr>
            <w:r>
              <w:rPr>
                <w:rFonts w:ascii="Arial" w:cs="Arial" w:eastAsia="Arial" w:hAnsi="Arial"/>
                <w:b/>
                <w:bCs/>
                <w:color w:val="1A1A1A"/>
                <w:sz w:val="19"/>
                <w:szCs w:val="19"/>
              </w:rPr>
              <w:t xml:space="preserve">Spillover λ</w:t>
            </w:r>
          </w:p>
        </w:tc>
        <w:tc>
          <w:tcPr>
            <w:tcW w:type="dxa" w:w="29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Dividend + spillover</w:t>
            </w:r>
          </w:p>
        </w:tc>
        <w:tc>
          <w:tcPr>
            <w:tcW w:type="dxa" w:w="19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Injection</w:t>
            </w:r>
          </w:p>
        </w:tc>
        <w:tc>
          <w:tcPr>
            <w:tcW w:type="dxa" w:w="19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Mode B inflation</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10%</w:t>
            </w:r>
          </w:p>
        </w:tc>
        <w:tc>
          <w:tcPr>
            <w:tcW w:type="dxa" w:w="29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$179B + $27B</w:t>
            </w:r>
          </w:p>
        </w:tc>
        <w:tc>
          <w:tcPr>
            <w:tcW w:type="dxa" w:w="19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$206B</w:t>
            </w:r>
          </w:p>
        </w:tc>
        <w:tc>
          <w:tcPr>
            <w:tcW w:type="dxa" w:w="19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−0.21%</w:t>
            </w:r>
          </w:p>
        </w:tc>
      </w:tr>
      <w:tr>
        <w:trPr>
          <w:tblHeader w:val="false"/>
        </w:trPr>
        <w:tc>
          <w:tcPr>
            <w:tcW w:type="dxa" w:w="26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20% (assumed)</w:t>
            </w:r>
          </w:p>
        </w:tc>
        <w:tc>
          <w:tcPr>
            <w:tcW w:type="dxa" w:w="29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$179B + $54B</w:t>
            </w:r>
          </w:p>
        </w:tc>
        <w:tc>
          <w:tcPr>
            <w:tcW w:type="dxa" w:w="19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$233B</w:t>
            </w:r>
          </w:p>
        </w:tc>
        <w:tc>
          <w:tcPr>
            <w:tcW w:type="dxa" w:w="19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+0.03%</w:t>
            </w:r>
          </w:p>
        </w:tc>
      </w:tr>
      <w:tr>
        <w:trPr>
          <w:tblHeader w:val="false"/>
        </w:trP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30%</w:t>
            </w:r>
          </w:p>
        </w:tc>
        <w:tc>
          <w:tcPr>
            <w:tcW w:type="dxa" w:w="29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$179B + $82B</w:t>
            </w:r>
          </w:p>
        </w:tc>
        <w:tc>
          <w:tcPr>
            <w:tcW w:type="dxa" w:w="19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$261B</w:t>
            </w:r>
          </w:p>
        </w:tc>
        <w:tc>
          <w:tcPr>
            <w:tcW w:type="dxa" w:w="19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+0.27%</w:t>
            </w:r>
          </w:p>
        </w:tc>
      </w:tr>
      <w:tr>
        <w:trPr>
          <w:tblHeader w:val="false"/>
        </w:trPr>
        <w:tc>
          <w:tcPr>
            <w:tcW w:type="dxa" w:w="26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40%</w:t>
            </w:r>
          </w:p>
        </w:tc>
        <w:tc>
          <w:tcPr>
            <w:tcW w:type="dxa" w:w="29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$179B + $109B</w:t>
            </w:r>
          </w:p>
        </w:tc>
        <w:tc>
          <w:tcPr>
            <w:tcW w:type="dxa" w:w="19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$288B</w:t>
            </w:r>
          </w:p>
        </w:tc>
        <w:tc>
          <w:tcPr>
            <w:tcW w:type="dxa" w:w="19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+0.51%</w:t>
            </w:r>
          </w:p>
        </w:tc>
      </w:tr>
    </w:tbl>
    <w:p>
      <w:pPr>
        <w:spacing w:after="160" w:before="60"/>
        <w:jc w:val="left"/>
      </w:pPr>
      <w:r>
        <w:rPr>
          <w:rFonts w:ascii="Arial" w:cs="Arial" w:eastAsia="Arial" w:hAnsi="Arial"/>
          <w:i/>
          <w:iCs/>
          <w:color w:val="555555"/>
          <w:sz w:val="18"/>
          <w:szCs w:val="18"/>
        </w:rPr>
        <w:t xml:space="preserve">Table 4. Spillover sensitivity (Mode B). Across a plausible 10–40% range the inflation effect is bounded and offsettable by κ_d.</w:t>
      </w:r>
    </w:p>
    <w:p>
      <w:pPr>
        <w:pStyle w:val="Heading2"/>
        <w:spacing w:after="80" w:before="220"/>
      </w:pPr>
      <w:r>
        <w:rPr>
          <w:rFonts w:ascii="Arial" w:cs="Arial" w:eastAsia="Arial" w:hAnsi="Arial"/>
          <w:color w:val="2E74B5"/>
          <w:sz w:val="26"/>
          <w:szCs w:val="26"/>
        </w:rPr>
        <w:t xml:space="preserve">8.3  Market-cap ownership assumptions</w:t>
      </w:r>
    </w:p>
    <w:p>
      <w:pPr>
        <w:spacing w:after="130" w:line="268"/>
        <w:jc w:val="both"/>
      </w:pPr>
      <w:r>
        <w:rPr>
          <w:rFonts w:ascii="Arial" w:cs="Arial" w:eastAsia="Arial" w:hAnsi="Arial"/>
        </w:rPr>
        <w:t xml:space="preserve">The structural-buyer account rests on four moving parts an economist will press immediately: long-run market returns, retirement drawdown, market-cap growth, and citizen participation. The decisive point is that the design already contains the object that disciplines all four — the ceiling </w:t>
      </w:r>
      <w:r>
        <w:rPr>
          <w:rFonts w:ascii="Arial" w:cs="Arial" w:eastAsia="Arial" w:hAnsi="Arial"/>
          <w:i/>
          <w:iCs/>
        </w:rPr>
        <w:t xml:space="preserve">c</w:t>
      </w:r>
      <w:r>
        <w:rPr>
          <w:rFonts w:ascii="Arial" w:cs="Arial" w:eastAsia="Arial" w:hAnsi="Arial"/>
        </w:rPr>
        <w:t xml:space="preserve">/</w:t>
      </w:r>
      <w:r>
        <w:rPr>
          <w:rFonts w:ascii="Arial" w:cs="Arial" w:eastAsia="Arial" w:hAnsi="Arial"/>
          <w:i/>
          <w:iCs/>
        </w:rPr>
        <w:t xml:space="preserve">g</w:t>
      </w:r>
      <w:r>
        <w:rPr>
          <w:rFonts w:ascii="Arial" w:cs="Arial" w:eastAsia="Arial" w:hAnsi="Arial"/>
        </w:rPr>
        <w:t xml:space="preserve"> and the realised share ψ* — which is what prevents runaway ownership and is a material improvement over earlier, unbounded versions of the idea.</w:t>
      </w:r>
    </w:p>
    <w:p>
      <w:pPr>
        <w:spacing w:after="130" w:line="268"/>
        <w:jc w:val="both"/>
      </w:pPr>
      <w:r>
        <w:rPr>
          <w:rFonts w:ascii="Arial" w:cs="Arial" w:eastAsia="Arial" w:hAnsi="Arial"/>
        </w:rPr>
        <w:t xml:space="preserve">Drawdown and holding period: ψ* is bracketed by two decumulation models (a fixed-duration annuity and a constant-hazard process) and is monotone in the holding period. Table 5 varies that period from 20 to 60 years; ψ* moves only between 6% and 12%, and in every case sits below the </w:t>
      </w:r>
      <w:r>
        <w:rPr>
          <w:rFonts w:ascii="Arial" w:cs="Arial" w:eastAsia="Arial" w:hAnsi="Arial"/>
          <w:i/>
          <w:iCs/>
        </w:rPr>
        <w:t xml:space="preserve">c</w:t>
      </w:r>
      <w:r>
        <w:rPr>
          <w:rFonts w:ascii="Arial" w:cs="Arial" w:eastAsia="Arial" w:hAnsi="Arial"/>
        </w:rPr>
        <w:t xml:space="preserve">/</w:t>
      </w:r>
      <w:r>
        <w:rPr>
          <w:rFonts w:ascii="Arial" w:cs="Arial" w:eastAsia="Arial" w:hAnsi="Arial"/>
          <w:i/>
          <w:iCs/>
        </w:rPr>
        <w:t xml:space="preserve">g</w:t>
      </w:r>
      <w:r>
        <w:rPr>
          <w:rFonts w:ascii="Arial" w:cs="Arial" w:eastAsia="Arial" w:hAnsi="Arial"/>
        </w:rPr>
        <w:t xml:space="preserve"> ceiling of ≈ 20%, leaving the large majority of the market as tradable float.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20"/>
        <w:gridCol w:w="2520"/>
        <w:gridCol w:w="2020"/>
      </w:tblGrid>
      <w:tr>
        <w:trPr>
          <w:tblHeader/>
        </w:trPr>
        <w:tc>
          <w:tcPr>
            <w:tcW w:type="dxa" w:w="230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left"/>
            </w:pPr>
            <w:r>
              <w:rPr>
                <w:rFonts w:ascii="Arial" w:cs="Arial" w:eastAsia="Arial" w:hAnsi="Arial"/>
                <w:b/>
                <w:bCs/>
                <w:color w:val="1A1A1A"/>
                <w:sz w:val="19"/>
                <w:szCs w:val="19"/>
              </w:rPr>
              <w:t xml:space="preserve">Holding period</w:t>
            </w:r>
          </w:p>
        </w:tc>
        <w:tc>
          <w:tcPr>
            <w:tcW w:type="dxa" w:w="25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ψ* (realised)</w:t>
            </w:r>
          </w:p>
        </w:tc>
        <w:tc>
          <w:tcPr>
            <w:tcW w:type="dxa" w:w="25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Bracket</w:t>
            </w:r>
          </w:p>
        </w:tc>
        <w:tc>
          <w:tcPr>
            <w:tcW w:type="dxa" w:w="2020"/>
            <w:tcBorders>
              <w:top w:val="single" w:color="BBBBBB" w:sz="1"/>
              <w:left w:val="single" w:color="BBBBBB" w:sz="1"/>
              <w:bottom w:val="single" w:color="BBBBBB" w:sz="1"/>
              <w:right w:val="single" w:color="BBBBBB" w:sz="1"/>
            </w:tcBorders>
            <w:shd w:fill="DCE6F1" w:val="clear"/>
            <w:tcMar>
              <w:top w:type="dxa" w:w="60"/>
              <w:left w:type="dxa" w:w="110"/>
              <w:bottom w:type="dxa" w:w="60"/>
              <w:right w:type="dxa" w:w="110"/>
            </w:tcMar>
          </w:tcPr>
          <w:p>
            <w:pPr>
              <w:spacing w:after="0" w:line="240"/>
              <w:jc w:val="center"/>
            </w:pPr>
            <w:r>
              <w:rPr>
                <w:rFonts w:ascii="Arial" w:cs="Arial" w:eastAsia="Arial" w:hAnsi="Arial"/>
                <w:b/>
                <w:bCs/>
                <w:color w:val="1A1A1A"/>
                <w:sz w:val="19"/>
                <w:szCs w:val="19"/>
              </w:rPr>
              <w:t xml:space="preserve">Tradable float</w:t>
            </w:r>
          </w:p>
        </w:tc>
      </w:tr>
      <w:tr>
        <w:trPr>
          <w:tblHeader w:val="false"/>
        </w:trPr>
        <w:tc>
          <w:tcPr>
            <w:tcW w:type="dxa" w:w="2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20 years</w:t>
            </w:r>
          </w:p>
        </w:tc>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6.0%</w:t>
            </w:r>
          </w:p>
        </w:tc>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5.6–6.4%</w:t>
            </w:r>
          </w:p>
        </w:tc>
        <w:tc>
          <w:tcPr>
            <w:tcW w:type="dxa" w:w="20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94.0%</w:t>
            </w:r>
          </w:p>
        </w:tc>
      </w:tr>
      <w:tr>
        <w:trPr>
          <w:tblHeader w:val="false"/>
        </w:trPr>
        <w:tc>
          <w:tcPr>
            <w:tcW w:type="dxa" w:w="23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30 years</w:t>
            </w:r>
          </w:p>
        </w:tc>
        <w:tc>
          <w:tcPr>
            <w:tcW w:type="dxa" w:w="25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8.1%</w:t>
            </w:r>
          </w:p>
        </w:tc>
        <w:tc>
          <w:tcPr>
            <w:tcW w:type="dxa" w:w="25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8.4–8.8%</w:t>
            </w:r>
          </w:p>
        </w:tc>
        <w:tc>
          <w:tcPr>
            <w:tcW w:type="dxa" w:w="20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91.9%</w:t>
            </w:r>
          </w:p>
        </w:tc>
      </w:tr>
      <w:tr>
        <w:trPr>
          <w:tblHeader w:val="false"/>
        </w:trPr>
        <w:tc>
          <w:tcPr>
            <w:tcW w:type="dxa" w:w="2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40 years (default)</w:t>
            </w:r>
          </w:p>
        </w:tc>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9.8%</w:t>
            </w:r>
          </w:p>
        </w:tc>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8.7–10.8%</w:t>
            </w:r>
          </w:p>
        </w:tc>
        <w:tc>
          <w:tcPr>
            <w:tcW w:type="dxa" w:w="20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90.2%</w:t>
            </w:r>
          </w:p>
        </w:tc>
      </w:tr>
      <w:tr>
        <w:trPr>
          <w:tblHeader w:val="false"/>
        </w:trPr>
        <w:tc>
          <w:tcPr>
            <w:tcW w:type="dxa" w:w="230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50 years</w:t>
            </w:r>
          </w:p>
        </w:tc>
        <w:tc>
          <w:tcPr>
            <w:tcW w:type="dxa" w:w="25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11.1%</w:t>
            </w:r>
          </w:p>
        </w:tc>
        <w:tc>
          <w:tcPr>
            <w:tcW w:type="dxa" w:w="25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9.8–12.4%</w:t>
            </w:r>
          </w:p>
        </w:tc>
        <w:tc>
          <w:tcPr>
            <w:tcW w:type="dxa" w:w="2020"/>
            <w:tcBorders>
              <w:top w:val="single" w:color="BBBBBB" w:sz="1"/>
              <w:left w:val="single" w:color="BBBBBB" w:sz="1"/>
              <w:bottom w:val="single" w:color="BBBBBB" w:sz="1"/>
              <w:right w:val="single" w:color="BBBBBB" w:sz="1"/>
            </w:tcBorders>
            <w:shd w:fill="F2F6FB"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88.9%</w:t>
            </w:r>
          </w:p>
        </w:tc>
      </w:tr>
      <w:tr>
        <w:trPr>
          <w:tblHeader w:val="false"/>
        </w:trPr>
        <w:tc>
          <w:tcPr>
            <w:tcW w:type="dxa" w:w="23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left"/>
            </w:pPr>
            <w:r>
              <w:rPr>
                <w:rFonts w:ascii="Arial" w:cs="Arial" w:eastAsia="Arial" w:hAnsi="Arial"/>
                <w:b w:val="false"/>
                <w:bCs w:val="false"/>
                <w:color w:val="1A1A1A"/>
                <w:sz w:val="19"/>
                <w:szCs w:val="19"/>
              </w:rPr>
              <w:t xml:space="preserve">60 years</w:t>
            </w:r>
          </w:p>
        </w:tc>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12.2%</w:t>
            </w:r>
          </w:p>
        </w:tc>
        <w:tc>
          <w:tcPr>
            <w:tcW w:type="dxa" w:w="25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10.7–13.7%</w:t>
            </w:r>
          </w:p>
        </w:tc>
        <w:tc>
          <w:tcPr>
            <w:tcW w:type="dxa" w:w="20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tcPr>
          <w:p>
            <w:pPr>
              <w:spacing w:after="0" w:line="240"/>
              <w:jc w:val="center"/>
            </w:pPr>
            <w:r>
              <w:rPr>
                <w:rFonts w:ascii="Arial" w:cs="Arial" w:eastAsia="Arial" w:hAnsi="Arial"/>
                <w:b w:val="false"/>
                <w:bCs w:val="false"/>
                <w:color w:val="1A1A1A"/>
                <w:sz w:val="19"/>
                <w:szCs w:val="19"/>
              </w:rPr>
              <w:t xml:space="preserve">87.8%</w:t>
            </w:r>
          </w:p>
        </w:tc>
      </w:tr>
    </w:tbl>
    <w:p>
      <w:pPr>
        <w:spacing w:after="160" w:before="60"/>
        <w:jc w:val="left"/>
      </w:pPr>
      <w:r>
        <w:rPr>
          <w:rFonts w:ascii="Arial" w:cs="Arial" w:eastAsia="Arial" w:hAnsi="Arial"/>
          <w:i/>
          <w:iCs/>
          <w:color w:val="555555"/>
          <w:sz w:val="18"/>
          <w:szCs w:val="18"/>
        </w:rPr>
        <w:t xml:space="preserve">Table 5. Ownership sensitivity (Mode B). Across all plausible holding periods ψ* stays bounded below the c/g ≈ 20% ceiling; float never falls below ≈ 88%.</w:t>
      </w:r>
    </w:p>
    <w:p>
      <w:pPr>
        <w:spacing w:after="130" w:line="268"/>
        <w:jc w:val="both"/>
      </w:pPr>
      <w:r>
        <w:rPr>
          <w:rFonts w:ascii="Arial" w:cs="Arial" w:eastAsia="Arial" w:hAnsi="Arial"/>
        </w:rPr>
        <w:t xml:space="preserve">Market-cap growth is self-correcting: if the index grows faster than </w:t>
      </w:r>
      <w:r>
        <w:rPr>
          <w:rFonts w:ascii="Arial" w:cs="Arial" w:eastAsia="Arial" w:hAnsi="Arial"/>
          <w:i/>
          <w:iCs/>
        </w:rPr>
        <w:t xml:space="preserve">g</w:t>
      </w:r>
      <w:r>
        <w:rPr>
          <w:rFonts w:ascii="Arial" w:cs="Arial" w:eastAsia="Arial" w:hAnsi="Arial"/>
        </w:rPr>
        <w:t xml:space="preserve">, the per-year bite </w:t>
      </w:r>
      <w:r>
        <w:rPr>
          <w:rFonts w:ascii="Arial" w:cs="Arial" w:eastAsia="Arial" w:hAnsi="Arial"/>
          <w:i/>
          <w:iCs/>
        </w:rPr>
        <w:t xml:space="preserve">c</w:t>
      </w:r>
      <w:r>
        <w:rPr>
          <w:rFonts w:ascii="Arial" w:cs="Arial" w:eastAsia="Arial" w:hAnsi="Arial"/>
        </w:rPr>
        <w:t xml:space="preserve"> = </w:t>
      </w:r>
      <w:r>
        <w:rPr>
          <w:rFonts w:ascii="Arial" w:cs="Arial" w:eastAsia="Arial" w:hAnsi="Arial"/>
          <w:i/>
          <w:iCs/>
        </w:rPr>
        <w:t xml:space="preserve">A*</w:t>
      </w:r>
      <w:r>
        <w:rPr>
          <w:rFonts w:ascii="Arial" w:cs="Arial" w:eastAsia="Arial" w:hAnsi="Arial"/>
        </w:rPr>
        <w:t xml:space="preserve">/</w:t>
      </w:r>
      <w:r>
        <w:rPr>
          <w:rFonts w:ascii="Arial" w:cs="Arial" w:eastAsia="Arial" w:hAnsi="Arial"/>
          <w:i/>
          <w:iCs/>
        </w:rPr>
        <w:t xml:space="preserve">M</w:t>
      </w:r>
      <w:r>
        <w:rPr>
          <w:rFonts w:ascii="Arial" w:cs="Arial" w:eastAsia="Arial" w:hAnsi="Arial"/>
          <w:i/>
          <w:iCs/>
          <w:vertAlign w:val="subscript"/>
        </w:rPr>
        <w:t xml:space="preserve">index</w:t>
      </w:r>
      <w:r>
        <w:rPr>
          <w:rFonts w:ascii="Arial" w:cs="Arial" w:eastAsia="Arial" w:hAnsi="Arial"/>
        </w:rPr>
        <w:t xml:space="preserve"> falls, and with it ψ* — the buyer’s footprint shrinks exactly when the market it is buying gets larger. Participation enters linearly: aggregate ψ* scales with take-up, so partial participation lowers collective ownership and raises float; the distribution of floors across participants is a separate, distributional question treated in the macro paper. Finally, the realised return on the floor is not a free-market rate but the general-equilibrium, attenuated marginal product at universal scale (the </w:t>
      </w:r>
      <w:r>
        <w:rPr>
          <w:rFonts w:ascii="Arial" w:cs="Arial" w:eastAsia="Arial" w:hAnsi="Arial"/>
          <w:i/>
          <w:iCs/>
        </w:rPr>
        <w:t xml:space="preserve">r</w:t>
      </w:r>
      <w:r>
        <w:rPr>
          <w:rFonts w:ascii="Arial" w:cs="Arial" w:eastAsia="Arial" w:hAnsi="Arial"/>
        </w:rPr>
        <w:t xml:space="preserve"> → </w:t>
      </w:r>
      <w:r>
        <w:rPr>
          <w:rFonts w:ascii="Arial" w:cs="Arial" w:eastAsia="Arial" w:hAnsi="Arial"/>
          <w:i/>
          <w:iCs/>
        </w:rPr>
        <w:t xml:space="preserve">g</w:t>
      </w:r>
      <w:r>
        <w:rPr>
          <w:rFonts w:ascii="Arial" w:cs="Arial" w:eastAsia="Arial" w:hAnsi="Arial"/>
        </w:rPr>
        <w:t xml:space="preserve"> compression); it is model-dependent, calibrated on a Cobb–Douglas / Solow–OLG structure, and the </w:t>
      </w:r>
      <w:r>
        <w:rPr>
          <w:rFonts w:ascii="Arial" w:cs="Arial" w:eastAsia="Arial" w:hAnsi="Arial"/>
          <w:i/>
          <w:iCs/>
        </w:rPr>
        <w:t xml:space="preserve">qualitative</w:t>
      </w:r>
      <w:r>
        <w:rPr>
          <w:rFonts w:ascii="Arial" w:cs="Arial" w:eastAsia="Arial" w:hAnsi="Arial"/>
        </w:rPr>
        <w:t xml:space="preserve"> results — bounded ownership, preserved float, return compression — are robust across the parameter range tested, even where the absolute floor values are not pinned to the last dollar.</w:t>
      </w:r>
    </w:p>
    <w:p>
      <w:pPr>
        <w:pStyle w:val="Heading2"/>
        <w:spacing w:after="80" w:before="220"/>
      </w:pPr>
      <w:r>
        <w:rPr>
          <w:rFonts w:ascii="Arial" w:cs="Arial" w:eastAsia="Arial" w:hAnsi="Arial"/>
          <w:color w:val="2E74B5"/>
          <w:sz w:val="26"/>
          <w:szCs w:val="26"/>
        </w:rPr>
        <w:t xml:space="preserve">8.4  Governance of the constitutional parameters</w:t>
      </w:r>
    </w:p>
    <w:p>
      <w:pPr>
        <w:spacing w:after="130" w:line="268"/>
        <w:jc w:val="both"/>
      </w:pPr>
      <w:r>
        <w:rPr>
          <w:rFonts w:ascii="Arial" w:cs="Arial" w:eastAsia="Arial" w:hAnsi="Arial"/>
        </w:rPr>
        <w:t xml:space="preserve">A political economist will ask the right question: who sets </w:t>
      </w:r>
      <w:r>
        <w:rPr>
          <w:rFonts w:ascii="Arial" w:cs="Arial" w:eastAsia="Arial" w:hAnsi="Arial"/>
          <w:i/>
          <w:iCs/>
        </w:rPr>
        <w:t xml:space="preserve">k₁</w:t>
      </w:r>
      <w:r>
        <w:rPr>
          <w:rFonts w:ascii="Arial" w:cs="Arial" w:eastAsia="Arial" w:hAnsi="Arial"/>
        </w:rPr>
        <w:t xml:space="preserve">, </w:t>
      </w:r>
      <w:r>
        <w:rPr>
          <w:rFonts w:ascii="Arial" w:cs="Arial" w:eastAsia="Arial" w:hAnsi="Arial"/>
          <w:i/>
          <w:iCs/>
        </w:rPr>
        <w:t xml:space="preserve">k₂</w:t>
      </w:r>
      <w:r>
        <w:rPr>
          <w:rFonts w:ascii="Arial" w:cs="Arial" w:eastAsia="Arial" w:hAnsi="Arial"/>
        </w:rPr>
        <w:t xml:space="preserve">, </w:t>
      </w:r>
      <w:r>
        <w:rPr>
          <w:rFonts w:ascii="Arial" w:cs="Arial" w:eastAsia="Arial" w:hAnsi="Arial"/>
          <w:i/>
          <w:iCs/>
        </w:rPr>
        <w:t xml:space="preserve">κ</w:t>
      </w:r>
      <w:r>
        <w:rPr>
          <w:rFonts w:ascii="Arial" w:cs="Arial" w:eastAsia="Arial" w:hAnsi="Arial"/>
          <w:i/>
          <w:iCs/>
          <w:vertAlign w:val="subscript"/>
        </w:rPr>
        <w:t xml:space="preserve">_d</w:t>
      </w:r>
      <w:r>
        <w:rPr>
          <w:rFonts w:ascii="Arial" w:cs="Arial" w:eastAsia="Arial" w:hAnsi="Arial"/>
        </w:rPr>
        <w:t xml:space="preserve">, and </w:t>
      </w:r>
      <w:r>
        <w:rPr>
          <w:rFonts w:ascii="Arial" w:cs="Arial" w:eastAsia="Arial" w:hAnsi="Arial"/>
          <w:i/>
          <w:iCs/>
        </w:rPr>
        <w:t xml:space="preserve">k_I</w:t>
      </w:r>
      <w:r>
        <w:rPr>
          <w:rFonts w:ascii="Arial" w:cs="Arial" w:eastAsia="Arial" w:hAnsi="Arial"/>
        </w:rPr>
        <w:t xml:space="preserve">? The engine treats them as </w:t>
      </w:r>
      <w:r>
        <w:rPr>
          <w:rFonts w:ascii="Arial" w:cs="Arial" w:eastAsia="Arial" w:hAnsi="Arial"/>
          <w:i/>
          <w:iCs/>
        </w:rPr>
        <w:t xml:space="preserve">constitutional parameters</w:t>
      </w:r>
      <w:r>
        <w:rPr>
          <w:rFonts w:ascii="Arial" w:cs="Arial" w:eastAsia="Arial" w:hAnsi="Arial"/>
        </w:rPr>
        <w:t xml:space="preserve"> — chosen through a slow, public, statutory process and changeable only through a tiered, transparent procedure, never by quarter-to-quarter discretion. The design intent is precisely to remove the discretionary lever that is the usual object of monetary capture, and to replace it with rules that are hard to move and visible when moved.</w:t>
      </w:r>
    </w:p>
    <w:p>
      <w:pPr>
        <w:spacing w:after="130" w:line="268"/>
        <w:jc w:val="both"/>
      </w:pPr>
      <w:r>
        <w:rPr>
          <w:rFonts w:ascii="Arial" w:cs="Arial" w:eastAsia="Arial" w:hAnsi="Arial"/>
        </w:rPr>
        <w:t xml:space="preserve">We state plainly that the governance </w:t>
      </w:r>
      <w:r>
        <w:rPr>
          <w:rFonts w:ascii="Arial" w:cs="Arial" w:eastAsia="Arial" w:hAnsi="Arial"/>
          <w:i/>
          <w:iCs/>
        </w:rPr>
        <w:t xml:space="preserve">mechanism</w:t>
      </w:r>
      <w:r>
        <w:rPr>
          <w:rFonts w:ascii="Arial" w:cs="Arial" w:eastAsia="Arial" w:hAnsi="Arial"/>
        </w:rPr>
        <w:t xml:space="preserve"> — the constitutional encoding, the amendment thresholds, the emergency-adjustment protocol, the anti-capture safeguards — is outside the scope of this document, which is about what the engine computes once the parameters are set. It is developed in the statutory paper of the series, and the updatability and governance design in the architecture paper. A reader is right to ask the question here; the honest answer is that it is answered there, and that no exposition of the mechanics should be read as a claim about the politics of setting them. The two must stand or fall together, but they are different papers.</w:t>
      </w:r>
    </w:p>
    <w:p>
      <w:pPr>
        <w:pStyle w:val="Heading1"/>
        <w:spacing w:after="130" w:before="320"/>
      </w:pPr>
      <w:r>
        <w:rPr>
          <w:rFonts w:ascii="Arial" w:cs="Arial" w:eastAsia="Arial" w:hAnsi="Arial"/>
          <w:color w:val="2E74B5"/>
          <w:sz w:val="32"/>
          <w:szCs w:val="32"/>
        </w:rPr>
        <w:t xml:space="preserve">9.  Robustness: what the sensitivities add up to</w:t>
      </w:r>
    </w:p>
    <w:p>
      <w:pPr>
        <w:spacing w:after="130" w:line="268"/>
        <w:jc w:val="both"/>
      </w:pPr>
      <w:r>
        <w:rPr>
          <w:rFonts w:ascii="Arial" w:cs="Arial" w:eastAsia="Arial" w:hAnsi="Arial"/>
        </w:rPr>
        <w:t xml:space="preserve">Read together, the three empirical inputs behave the same way. None is an identity; each has a stated identification strategy and a bounded effect. A six-point error in the transactional share moves inflation by about a quarter-point. The spillover, across a 10–40% range, moves Mode B by under three-quarters of a point and is offsettable by the dividend dial. The ownership share stays between 6% and 12% across every plausible holding period and can never exceed its c/g ceiling. In each case the rule is specified on the measured quantity and retuned to it, so a calibration error shifts the dial setting, not the existence of a price-stable, bounded-ownership configuration.</w:t>
      </w:r>
    </w:p>
    <w:p>
      <w:pPr>
        <w:spacing w:after="130" w:line="268"/>
        <w:jc w:val="both"/>
      </w:pPr>
      <w:r>
        <w:rPr>
          <w:rFonts w:ascii="Arial" w:cs="Arial" w:eastAsia="Arial" w:hAnsi="Arial"/>
        </w:rPr>
        <w:t xml:space="preserve">This is the ordinary terrain of applied macroeconomics, not a special fragility. The framework does not claim its three numbers are certain; it claims that its </w:t>
      </w:r>
      <w:r>
        <w:rPr>
          <w:rFonts w:ascii="Arial" w:cs="Arial" w:eastAsia="Arial" w:hAnsi="Arial"/>
          <w:i/>
          <w:iCs/>
        </w:rPr>
        <w:t xml:space="preserve">structure</w:t>
      </w:r>
      <w:r>
        <w:rPr>
          <w:rFonts w:ascii="Arial" w:cs="Arial" w:eastAsia="Arial" w:hAnsi="Arial"/>
        </w:rPr>
        <w:t xml:space="preserve"> — two circuits, a growth-tied budget, a routed dividend, and a bounded structural buyer — survives reasonable uncertainty in them. That is the standard a serious proposal should be held to, and the one this engine is built to meet.</w:t>
      </w:r>
    </w:p>
    <w:p>
      <w:pPr>
        <w:pStyle w:val="Heading1"/>
        <w:spacing w:after="130" w:before="320"/>
      </w:pPr>
      <w:r>
        <w:rPr>
          <w:rFonts w:ascii="Arial" w:cs="Arial" w:eastAsia="Arial" w:hAnsi="Arial"/>
          <w:color w:val="2E74B5"/>
          <w:sz w:val="32"/>
          <w:szCs w:val="32"/>
        </w:rPr>
        <w:t xml:space="preserve">10.  Conclusion</w:t>
      </w:r>
    </w:p>
    <w:p>
      <w:pPr>
        <w:spacing w:after="130" w:line="268"/>
        <w:jc w:val="both"/>
      </w:pPr>
      <w:r>
        <w:rPr>
          <w:rFonts w:ascii="Arial" w:cs="Arial" w:eastAsia="Arial" w:hAnsi="Arial"/>
        </w:rPr>
        <w:t xml:space="preserve">The engine is far simpler than its output suggests. One growth-tied budget is sized by two dials, routed by a third between a spendable dividend and a locked, index-buying floor, and optionally supplemented by a fourth that is the only source of inflation. Two circuits do the analytical work: money reaching the transactional circuit moves prices; money locked in the asset circuit builds a bounded ownership stake. Inflation and ownership are read off the back of the settings, not dialed in; the no-issuance economy is a genuine limit; and the structural buyer is bounded above by construction.</w:t>
      </w:r>
    </w:p>
    <w:p>
      <w:pPr>
        <w:spacing w:after="130" w:line="268"/>
        <w:jc w:val="both"/>
      </w:pPr>
      <w:r>
        <w:rPr>
          <w:rFonts w:ascii="Arial" w:cs="Arial" w:eastAsia="Arial" w:hAnsi="Arial"/>
        </w:rPr>
        <w:t xml:space="preserve">The places critics will press — the Mᵀ decomposition, the spillover, the ownership assumptions, the governance of the parameters — are real, and we have tried to meet them in the spirit a sceptic deserves: not by denying that the numbers can be wrong, but by showing how far wrong they can be before the conclusions change, and by pointing to where each is identified and defended in full. The mechanics are in this paper; the deeper rigor — the Mᵀ identification, the welfare-optimal dividend share, the realisable-return derivation, and the constitutional governance — is in the architecture, macro-model, structural-buyer, and statutory papers of the series. The engine is the operational core; this paper is the map to it.</w:t>
      </w:r>
    </w:p>
    <w:p>
      <w:r>
        <w:br w:type="page"/>
      </w:r>
    </w:p>
    <w:p>
      <w:pPr>
        <w:pStyle w:val="Heading1"/>
        <w:spacing w:after="140" w:before="280"/>
      </w:pPr>
      <w:r>
        <w:rPr>
          <w:rFonts w:ascii="Arial" w:cs="Arial" w:eastAsia="Arial" w:hAnsi="Arial"/>
          <w:b/>
          <w:bCs/>
          <w:color w:val="2E74B5"/>
          <w:sz w:val="32"/>
          <w:szCs w:val="32"/>
        </w:rPr>
        <w:t xml:space="preserve">References</w:t>
      </w:r>
    </w:p>
    <w:p>
      <w:pPr>
        <w:spacing w:after="110" w:line="264"/>
        <w:jc w:val="both"/>
      </w:pPr>
      <w:r>
        <w:rPr>
          <w:rFonts w:ascii="Arial" w:cs="Arial" w:eastAsia="Arial" w:hAnsi="Arial"/>
          <w:sz w:val="20"/>
          <w:szCs w:val="20"/>
        </w:rPr>
        <w:t xml:space="preserve">Baker, M., Nagel, S., &amp; Wurgler, J. (2007). The effect of dividends on consumption. Brookings Papers on Economic Activity, 2007(1), 231–276.</w:t>
      </w:r>
    </w:p>
    <w:p>
      <w:pPr>
        <w:spacing w:after="110" w:line="264"/>
        <w:jc w:val="both"/>
      </w:pPr>
      <w:r>
        <w:rPr>
          <w:rFonts w:ascii="Arial" w:cs="Arial" w:eastAsia="Arial" w:hAnsi="Arial"/>
          <w:sz w:val="20"/>
          <w:szCs w:val="20"/>
        </w:rPr>
        <w:t xml:space="preserve">Case, K. E., Quigley, J. M., &amp; Shiller, R. J. (2005). Comparing wealth effects: The stock market versus the housing market. Advances in Macroeconomics, 5(1).</w:t>
      </w:r>
    </w:p>
    <w:p>
      <w:pPr>
        <w:spacing w:after="110" w:line="264"/>
        <w:jc w:val="both"/>
      </w:pPr>
      <w:r>
        <w:rPr>
          <w:rFonts w:ascii="Arial" w:cs="Arial" w:eastAsia="Arial" w:hAnsi="Arial"/>
          <w:sz w:val="20"/>
          <w:szCs w:val="20"/>
        </w:rPr>
        <w:t xml:space="preserve">Case, K. E., Quigley, J. M., &amp; Shiller, R. J. (2013). Wealth effects revisited: 1975–2012. Critical Finance Review, 2(1), 101–128.</w:t>
      </w:r>
    </w:p>
    <w:p>
      <w:pPr>
        <w:spacing w:after="110" w:line="264"/>
        <w:jc w:val="both"/>
      </w:pPr>
      <w:r>
        <w:rPr>
          <w:rFonts w:ascii="Arial" w:cs="Arial" w:eastAsia="Arial" w:hAnsi="Arial"/>
          <w:sz w:val="20"/>
          <w:szCs w:val="20"/>
        </w:rPr>
        <w:t xml:space="preserve">Chodorow-Reich, G., Nenov, P. T., &amp; Simsek, A. (2021). Stock market wealth and the real economy: A local labor market approach. American Economic Review, 111(5), 1613–1657.</w:t>
      </w:r>
    </w:p>
    <w:p>
      <w:pPr>
        <w:spacing w:after="110" w:line="264"/>
        <w:jc w:val="both"/>
      </w:pPr>
      <w:r>
        <w:rPr>
          <w:rFonts w:ascii="Arial" w:cs="Arial" w:eastAsia="Arial" w:hAnsi="Arial"/>
          <w:sz w:val="20"/>
          <w:szCs w:val="20"/>
        </w:rPr>
        <w:t xml:space="preserve">Di Maggio, M., Kermani, A., &amp; Majlesi, K. (2020). Stock market returns and consumption. Journal of Finance, 75(6), 3175–3219.</w:t>
      </w:r>
    </w:p>
    <w:p>
      <w:pPr>
        <w:spacing w:after="110" w:line="264"/>
        <w:jc w:val="both"/>
      </w:pPr>
      <w:r>
        <w:rPr>
          <w:rFonts w:ascii="Arial" w:cs="Arial" w:eastAsia="Arial" w:hAnsi="Arial"/>
          <w:sz w:val="20"/>
          <w:szCs w:val="20"/>
        </w:rPr>
        <w:t xml:space="preserve">Mian, A., Rao, K., &amp; Sufi, A. (2013). Household balance sheets, consumption, and the economic slump. Quarterly Journal of Economics, 128(4), 1687–1726.</w:t>
      </w:r>
    </w:p>
    <w:p>
      <w:pPr>
        <w:spacing w:after="110" w:line="264"/>
        <w:jc w:val="both"/>
      </w:pPr>
      <w:r>
        <w:rPr>
          <w:rFonts w:ascii="Arial" w:cs="Arial" w:eastAsia="Arial" w:hAnsi="Arial"/>
          <w:sz w:val="20"/>
          <w:szCs w:val="20"/>
        </w:rPr>
        <w:t xml:space="preserve">Neo-Solon (2026a). The Citizens Standard: One Model, Many Systems — A Constitutional Monetary Architecture. SSRN Working Paper 6702518.</w:t>
      </w:r>
    </w:p>
    <w:p>
      <w:pPr>
        <w:spacing w:after="110" w:line="264"/>
        <w:jc w:val="both"/>
      </w:pPr>
      <w:r>
        <w:rPr>
          <w:rFonts w:ascii="Arial" w:cs="Arial" w:eastAsia="Arial" w:hAnsi="Arial"/>
          <w:sz w:val="20"/>
          <w:szCs w:val="20"/>
        </w:rPr>
        <w:t xml:space="preserve">Neo-Solon (2026b). The Citizens Standard: A Historical Counterfactual. SSRN Working Paper 6735078.</w:t>
      </w:r>
    </w:p>
    <w:p>
      <w:pPr>
        <w:spacing w:after="110" w:line="264"/>
        <w:jc w:val="both"/>
      </w:pPr>
      <w:r>
        <w:rPr>
          <w:rFonts w:ascii="Arial" w:cs="Arial" w:eastAsia="Arial" w:hAnsi="Arial"/>
          <w:sz w:val="20"/>
          <w:szCs w:val="20"/>
        </w:rPr>
        <w:t xml:space="preserve">Neo-Solon (2026c). The Citizens Standard: Transition Architecture and Migration Mechanics. SSRN Working Paper 6810741.</w:t>
      </w:r>
    </w:p>
    <w:p>
      <w:pPr>
        <w:spacing w:after="110" w:line="264"/>
        <w:jc w:val="both"/>
      </w:pPr>
      <w:r>
        <w:rPr>
          <w:rFonts w:ascii="Arial" w:cs="Arial" w:eastAsia="Arial" w:hAnsi="Arial"/>
          <w:sz w:val="20"/>
          <w:szCs w:val="20"/>
        </w:rPr>
        <w:t>Neo-Solon (2026d). The Citizens Standard: Constitutional Vulnerability of a Rules-Based Monetary Statute. SSRN Working Paper 7115018.</w:t>
      </w:r>
    </w:p>
    <w:p>
      <w:pPr>
        <w:spacing w:after="110" w:line="264"/>
        <w:jc w:val="both"/>
      </w:pPr>
      <w:r>
        <w:rPr>
          <w:rFonts w:ascii="Arial" w:cs="Arial" w:eastAsia="Arial" w:hAnsi="Arial"/>
          <w:sz w:val="20"/>
          <w:szCs w:val="20"/>
        </w:rPr>
        <w:t xml:space="preserve">Neo-Solon (2026e). The Citizens Standard: A Macroeconomic Model of a Dual-Circuit Monetary System. SSRN Working Paper 6939418.</w:t>
      </w:r>
    </w:p>
    <w:p>
      <w:pPr>
        <w:spacing w:after="110" w:line="264"/>
        <w:jc w:val="both"/>
      </w:pPr>
      <w:r>
        <w:rPr>
          <w:rFonts w:ascii="Arial" w:cs="Arial" w:eastAsia="Arial" w:hAnsi="Arial"/>
          <w:sz w:val="20"/>
          <w:szCs w:val="20"/>
        </w:rPr>
        <w:t xml:space="preserve">Neo-Solon (2026f). The Citizens Standard: Full-Reserve Banking and the Dual-Circuit System. SSRN Working Paper 6939498.</w:t>
      </w:r>
    </w:p>
    <w:p>
      <w:pPr>
        <w:spacing w:after="110" w:line="264"/>
        <w:jc w:val="both"/>
      </w:pPr>
      <w:r>
        <w:rPr>
          <w:rFonts w:ascii="Arial" w:cs="Arial" w:eastAsia="Arial" w:hAnsi="Arial"/>
          <w:sz w:val="20"/>
          <w:szCs w:val="20"/>
        </w:rPr>
        <w:t xml:space="preserve">Neo-Solon (2026g). The Citizens Standard: External Interoperability and the Common Anchor. SSRN Working Paper 6939600.</w:t>
      </w:r>
    </w:p>
    <w:p>
      <w:pPr>
        <w:spacing w:after="110" w:line="264"/>
        <w:jc w:val="both"/>
      </w:pPr>
      <w:r>
        <w:rPr>
          <w:rFonts w:ascii="Arial" w:cs="Arial" w:eastAsia="Arial" w:hAnsi="Arial"/>
          <w:sz w:val="20"/>
          <w:szCs w:val="20"/>
        </w:rPr>
        <w:t xml:space="preserve">Neo-Solon (2026h). The Citizens Standard: The Structural Buyer. SSRN Working Paper 6945320.</w:t>
      </w:r>
    </w:p>
    <w:p>
      <w:pPr>
        <w:spacing w:after="110" w:line="264"/>
        <w:jc w:val="both"/>
      </w:pPr>
      <w:r>
        <w:rPr>
          <w:rFonts w:ascii="Arial" w:cs="Arial" w:eastAsia="Arial" w:hAnsi="Arial"/>
          <w:sz w:val="20"/>
          <w:szCs w:val="20"/>
        </w:rPr>
        <w:t xml:space="preserve">Neo-Solon (2026j). The Citizens Standard: Empirical Validation of the Transactional Aggregate. SSRN Working Paper 6973298.</w:t>
      </w:r>
    </w:p>
    <w:p>
      <w:pPr>
        <w:spacing w:after="110" w:line="264"/>
        <w:jc w:val="both"/>
      </w:pPr>
      <w:r>
        <w:rPr>
          <w:rFonts w:ascii="Arial" w:cs="Arial" w:eastAsia="Arial" w:hAnsi="Arial"/>
          <w:sz w:val="20"/>
          <w:szCs w:val="20"/>
        </w:rPr>
        <w:t xml:space="preserve">Neo-Solon (2026k). The Citizens Standard: Governance and the Political Economy of the Parameters. SSRN Working Paper 6973318.</w:t>
      </w:r>
    </w:p>
    <w:p>
      <w:pPr>
        <w:spacing w:after="110" w:line="264"/>
        <w:jc w:val="both"/>
      </w:pPr>
      <w:r>
        <w:rPr>
          <w:rFonts w:ascii="Arial" w:cs="Arial" w:eastAsia="Arial" w:hAnsi="Arial"/>
          <w:sz w:val="20"/>
          <w:szCs w:val="20"/>
        </w:rPr>
        <w:t xml:space="preserve">Neo-Solon (2026l). The Citizens Standard: Crisis Behaviour and Failure Modes. SSRN Working Paper 6973358.</w:t>
      </w:r>
    </w:p>
    <w:p>
      <w:pPr>
        <w:spacing w:after="110" w:line="264"/>
        <w:jc w:val="both"/>
      </w:pPr>
      <w:r>
        <w:rPr>
          <w:rFonts w:ascii="Arial" w:cs="Arial" w:eastAsia="Arial" w:hAnsi="Arial"/>
          <w:sz w:val="20"/>
          <w:szCs w:val="20"/>
        </w:rPr>
        <w:t xml:space="preserve">Neo-Solon (2026m). The Citizens Standard: Comparison with Alternative Monetary and Distributional Systems. SSRN Working Paper 6973338.</w:t>
      </w:r>
    </w:p>
    <w:p>
      <w:pPr>
        <w:spacing w:after="110" w:line="264"/>
        <w:jc w:val="both"/>
      </w:pPr>
      <w:r>
        <w:rPr>
          <w:rFonts w:ascii="Arial" w:cs="Arial" w:eastAsia="Arial" w:hAnsi="Arial"/>
          <w:sz w:val="20"/>
          <w:szCs w:val="20"/>
        </w:rPr>
        <w:t xml:space="preserve">Neo-Solon (2026n). The Citizens Standard: Distribution and Wealth Inequality. SSRN Working Paper 6973342.</w:t>
      </w:r>
    </w:p>
    <w:p>
      <w:pPr>
        <w:spacing w:after="110" w:line="264"/>
        <w:jc w:val="both"/>
      </w:pPr>
      <w:r>
        <w:rPr>
          <w:rFonts w:ascii="Arial" w:cs="Arial" w:eastAsia="Arial" w:hAnsi="Arial"/>
          <w:sz w:val="20"/>
          <w:szCs w:val="20"/>
        </w:rPr>
        <w:t xml:space="preserve">Poterba, J. M. (2000). Stock market wealth and consumption. Journal of Economic Perspectives, 14(2), 99–118.</w:t>
      </w:r>
    </w:p>
    <w:p>
      <w:r>
        <w:br w:type="page"/>
      </w:r>
    </w:p>
    <w:p>
      <w:pPr>
        <w:pStyle w:val="Heading1"/>
      </w:pPr>
      <w:r>
        <w:t>Appendix A — The issuance rule in full, and its replication</w:t>
      </w:r>
    </w:p>
    <w:p>
      <w:r>
        <w:t>This appendix states the rule from which the paper's results are derived, at the level of detail required to reproduce them, and maps every reported quantity to the script that computes it. The body derives what the rule implies; this appendix specifies the rule.</w:t>
      </w:r>
    </w:p>
    <w:p>
      <w:pPr>
        <w:pStyle w:val="Heading2"/>
      </w:pPr>
      <w:r>
        <w:t>A.1  Calibration</w:t>
      </w:r>
    </w:p>
    <w:p>
      <w:r>
        <w:t>Throughout, the calibration is the United States, held fixed across every result in the body. Broad money M2 ≈ $22.4T; real growth g ≈ 2%; nominal GDP ≈ $30.8T; population N ≈ 342M; domestic equity-index capitalisation ≈ $69T. The transaction-active share of broad money is μ = Mᵀ/M2 ≈ 0.51, which places the United States close to the balance point at which a fixed 60/40 split is itself price-stable. That is a coincidence of its monetary structure rather than a design property, and it does not transfer to other economies — a point taken up in §8.1.</w:t>
      </w:r>
    </w:p>
    <w:p>
      <w:pPr>
        <w:pStyle w:val="Heading2"/>
      </w:pPr>
      <w:r>
        <w:t>A.2  The four channels</w:t>
      </w:r>
    </w:p>
    <w:p>
      <w:r>
        <w:t>Each year the rule evaluates four channels in a fixed order. The first sizes a per-citizen endowment; the second sizes the whole growth budget; the third routes that budget between the two circuits; the fourth, used only when inflation is deliberately wanted, issues above the growth line.</w:t>
      </w:r>
    </w:p>
    <w:p>
      <w:pPr>
        <w:jc w:val="center"/>
      </w:pPr>
      <w:r>
        <w:rPr>
          <w:rFonts w:ascii="Consolas" w:hAnsi="Consolas"/>
          <w:sz w:val="20"/>
        </w:rPr>
        <w:t>K1  =  k₁ · (GDP / N) · B</w:t>
      </w:r>
    </w:p>
    <w:p>
      <w:r>
        <w:t>A one-time endowment paid into the floor for each new citizen, sized as a share k₁ of GDP per capita, where B is the gross number of new citizens in the year. K1 is set by citizenship, not by growth: it fires at k₁ times GDP per capita whatever the growth rate, and is charged first against the budget. In a flat or contracting year the residual available to K2 and K3 falls to zero while K1 still flows, as a guaranteed citizenship floor. Default k₁ = 2.5%.</w:t>
      </w:r>
    </w:p>
    <w:p>
      <w:pPr>
        <w:jc w:val="center"/>
      </w:pPr>
      <w:r>
        <w:rPr>
          <w:rFonts w:ascii="Consolas" w:hAnsi="Consolas"/>
          <w:sz w:val="20"/>
        </w:rPr>
        <w:t>G  =  k₂ · M2 · g          R  =  max(0, G − K1)</w:t>
      </w:r>
    </w:p>
    <w:p>
      <w:r>
        <w:t>K2 is the throttle that sets how much new money exists. The full growth-matched budget is M2·g and the dial k₂ issues a chosen share of it; at k₂ = 100% the budget is $447B. R is the residual the next dial routes.</w:t>
      </w:r>
    </w:p>
    <w:p>
      <w:pPr>
        <w:jc w:val="center"/>
      </w:pPr>
      <w:r>
        <w:rPr>
          <w:rFonts w:ascii="Consolas" w:hAnsi="Consolas"/>
          <w:sz w:val="20"/>
        </w:rPr>
        <w:t>D  =  κ_d · R          F  =  (1 − κ_d) · R</w:t>
      </w:r>
    </w:p>
    <w:p>
      <w:r>
        <w:t>K3 creates no money of its own. It routes the residual between the two circuits: a share κ_d is paid out as a spendable dividend (into Mᵀ) and the complement is locked into the floor (into Mᵃ). The two shares sum to one, so raising the dividend lowers the floor by exactly the same dollars and leaves total issuance unchanged. This is why the split is price-neutral, and why κ_d is a router rather than a spigot — the most misread feature of the rule.</w:t>
      </w:r>
    </w:p>
    <w:p>
      <w:pPr>
        <w:jc w:val="center"/>
      </w:pPr>
      <w:r>
        <w:rPr>
          <w:rFonts w:ascii="Consolas" w:hAnsi="Consolas"/>
          <w:sz w:val="20"/>
        </w:rPr>
        <w:t>KI  =  k_I · M2</w:t>
      </w:r>
    </w:p>
    <w:p>
      <w:r>
        <w:t>The only channel that issues above the growth line, and therefore the only one that deliberately creates inflation. It is additive rather than carved from the budget. Setting k_I = 0 leaves no above-line issuance.</w:t>
      </w:r>
    </w:p>
    <w:p>
      <w:pPr>
        <w:pStyle w:val="Heading2"/>
      </w:pPr>
      <w:r>
        <w:t>A.3  The price-stability locus, derived</w:t>
      </w:r>
    </w:p>
    <w:p>
      <w:r>
        <w:t>The goods price level is set by the transactional circuit alone, by the quantity identity</w:t>
      </w:r>
    </w:p>
    <w:p>
      <w:pPr>
        <w:jc w:val="center"/>
      </w:pPr>
      <w:r>
        <w:rPr>
          <w:rFonts w:ascii="Consolas" w:hAnsi="Consolas"/>
          <w:sz w:val="20"/>
        </w:rPr>
        <w:t>P  =  Mᵀ · V / Y</w:t>
      </w:r>
    </w:p>
    <w:p>
      <w:r>
        <w:t>With V stable, P is constant if and only if Mᵀ grows with real output Y. The flow that actually reaches the transactional circuit in a given year is the dividend D, any above-line issuance KI, and the spillover of asset-circuit money into goods demand — written L = λ·A*, where A* is the floor inflow and λ ≈ 0.20 is the spillover fraction (§8.2). Price stability therefore requires</w:t>
      </w:r>
    </w:p>
    <w:p>
      <w:pPr>
        <w:jc w:val="center"/>
      </w:pPr>
      <w:r>
        <w:rPr>
          <w:rFonts w:ascii="Consolas" w:hAnsi="Consolas"/>
          <w:sz w:val="20"/>
        </w:rPr>
        <w:t>D  +  KI  +  L   =   g · Mᵀ</w:t>
      </w:r>
    </w:p>
    <w:p>
      <w:r>
        <w:t>This is the price-stability locus. It is a constraint, not a choice: for a given growth rate the transactional circuit admits exactly one growth-matched expansion. On the calibration of §A.1, g·Mᵀ ≈ $229.7B, or 1.03% of M2. Issuance above the locus is absorbed by the asset circuit and raises claims values rather than goods prices; issuance below it is deflationary. The four channels are therefore a single budget under a constraint rather than four free dials — the first result of the paper, and one that follows from the identity rather than from any behavioural assumption.</w:t>
      </w:r>
    </w:p>
    <w:p>
      <w:pPr>
        <w:pStyle w:val="Heading2"/>
      </w:pPr>
      <w:r>
        <w:t>A.4  The ownership bound, derived</w:t>
      </w:r>
    </w:p>
    <w:p>
      <w:r>
        <w:t>The floor accumulates equity over a working life and is liquidated in retirement. Modelling the aggregate floor as a funded stock gives a steady-state ownership share</w:t>
      </w:r>
    </w:p>
    <w:p>
      <w:pPr>
        <w:jc w:val="center"/>
      </w:pPr>
      <w:r>
        <w:rPr>
          <w:rFonts w:ascii="Consolas" w:hAnsi="Consolas"/>
          <w:sz w:val="20"/>
        </w:rPr>
        <w:t>ψ*  =  c · annuity(g, dur)          ceiling:  c / g   as dur → ∞</w:t>
      </w:r>
    </w:p>
    <w:p>
      <w:r>
        <w:t>where c is the equity absorption flow as a share of market capitalisation and dur the average holding duration. The issuing authority is a permanent gross buyer with a demographically lagged gross seller attached. On the base calibration (c ≈ 0.4% of market capitalisation per year, dur ≈ 40 years, g = 2%) the realised share is ψ* ≈ 0.098 against a ceiling of c/g ≈ 0.197.</w:t>
      </w:r>
    </w:p>
    <w:p>
      <w:r>
        <w:t>The bound is structural rather than numerical. The no-decumulation counterfactual diverges past one; the decumulating system converges in every parameterisation tested. Universal ownership is therefore self-limiting by construction, and the common-ownership objections raised against large passive holders bear on a bounded share rather than on literal ownership of the market. The specific share is a property of the implementing economy — a shallower equity market or a faster-growing one raises the ceiling — but the bound binds in every case examined.</w:t>
      </w:r>
    </w:p>
    <w:p>
      <w:pPr>
        <w:pStyle w:val="Heading2"/>
      </w:pPr>
      <w:r>
        <w:t>A.5  The zero-issuance limit</w:t>
      </w:r>
    </w:p>
    <w:p>
      <w:r>
        <w:t>Setting k₁ = k₂ = k_I = 0 turns every creation channel off. The rule then issues nothing, the money stock is fixed, and the price level drifts down with productivity growth: the hard-money regime, recovered as a special case inside the model rather than posed as an alternative to it. This matters for how the architecture should be argued about. It is a dial, one of whose settings is the fixed-supply corner — not a commitment to monetary expansion.</w:t>
      </w:r>
    </w:p>
    <w:p>
      <w:pPr>
        <w:pStyle w:val="Heading2"/>
      </w:pPr>
      <w:r>
        <w:t>A.6  Replication</w:t>
      </w:r>
    </w:p>
    <w:p>
      <w:r>
        <w:t>Every quantity reported in this paper is computed by public code and checked against a published artifact. The suite runs offline in a single command, in continuous integration on every commit, and in the browser without installation. The mapping below is exhaustive for the numbers in the body.</w:t>
      </w:r>
    </w:p>
    <w:p>
      <w:r>
        <w:rPr>
          <w:rFonts w:ascii="Consolas" w:hAnsi="Consolas"/>
          <w:sz w:val="20"/>
        </w:rPr>
        <w:t>github.com/Neo-Solon/Citizens-Standard</w:t>
      </w:r>
    </w:p>
    <w:p>
      <w:r/>
    </w:p>
    <w:tbl>
      <w:tblPr>
        <w:tblW w:type="auto" w:w="0"/>
        <w:tblBorders>
          <w:top w:val="single" w:sz="4" w:color="999999"/>
          <w:left w:val="single" w:sz="4" w:color="999999"/>
          <w:bottom w:val="single" w:sz="4" w:color="999999"/>
          <w:right w:val="single" w:sz="4" w:color="999999"/>
          <w:insideH w:val="single" w:sz="4" w:color="999999"/>
          <w:insideV w:val="single" w:sz="4" w:color="999999"/>
        </w:tblBorders>
        <w:tblLayout w:type="fixed"/>
        <w:tblLook w:firstColumn="1" w:firstRow="1" w:lastColumn="0" w:lastRow="0" w:noHBand="0" w:noVBand="1" w:val="04A0"/>
      </w:tblPr>
      <w:tblGrid>
        <w:gridCol w:w="2340"/>
        <w:gridCol w:w="2340"/>
        <w:gridCol w:w="2340"/>
        <w:gridCol w:w="2340"/>
      </w:tblGrid>
      <w:tr>
        <w:tc>
          <w:tcPr>
            <w:tcW w:type="dxa" w:w="2088"/>
          </w:tcPr>
          <w:p>
            <w:r>
              <w:rPr>
                <w:b/>
                <w:sz w:val="16"/>
              </w:rPr>
              <w:t>Quantity</w:t>
            </w:r>
          </w:p>
        </w:tc>
        <w:tc>
          <w:tcPr>
            <w:tcW w:type="dxa" w:w="1944"/>
          </w:tcPr>
          <w:p>
            <w:r>
              <w:rPr>
                <w:b/>
                <w:sz w:val="16"/>
              </w:rPr>
              <w:t>Value</w:t>
            </w:r>
          </w:p>
        </w:tc>
        <w:tc>
          <w:tcPr>
            <w:tcW w:type="dxa" w:w="2952"/>
          </w:tcPr>
          <w:p>
            <w:r>
              <w:rPr>
                <w:b/>
                <w:sz w:val="16"/>
              </w:rPr>
              <w:t>Package</w:t>
            </w:r>
          </w:p>
        </w:tc>
        <w:tc>
          <w:tcPr>
            <w:tcW w:type="dxa" w:w="2376"/>
          </w:tcPr>
          <w:p>
            <w:r>
              <w:rPr>
                <w:b/>
                <w:sz w:val="16"/>
              </w:rPr>
              <w:t>Script</w:t>
            </w:r>
          </w:p>
        </w:tc>
      </w:tr>
      <w:tr>
        <w:tc>
          <w:tcPr>
            <w:tcW w:type="dxa" w:w="2088"/>
          </w:tcPr>
          <w:p>
            <w:r>
              <w:rPr>
                <w:b w:val="0"/>
                <w:sz w:val="16"/>
              </w:rPr>
              <w:t>Growth budget (k₂ = 100%)</w:t>
            </w:r>
          </w:p>
        </w:tc>
        <w:tc>
          <w:tcPr>
            <w:tcW w:type="dxa" w:w="1944"/>
          </w:tcPr>
          <w:p>
            <w:r>
              <w:rPr>
                <w:b w:val="0"/>
                <w:sz w:val="16"/>
              </w:rPr>
              <w:t>$447.3B  (2.0% of M2)</w:t>
            </w:r>
          </w:p>
        </w:tc>
        <w:tc>
          <w:tcPr>
            <w:tcW w:type="dxa" w:w="2952"/>
          </w:tcPr>
          <w:p>
            <w:r>
              <w:rPr>
                <w:rFonts w:ascii="Consolas" w:hAnsi="Consolas"/>
                <w:b w:val="0"/>
                <w:sz w:val="16"/>
              </w:rPr>
              <w:t>architecture_replication</w:t>
            </w:r>
          </w:p>
        </w:tc>
        <w:tc>
          <w:tcPr>
            <w:tcW w:type="dxa" w:w="2376"/>
          </w:tcPr>
          <w:p>
            <w:r>
              <w:rPr>
                <w:rFonts w:ascii="Consolas" w:hAnsi="Consolas"/>
                <w:b w:val="0"/>
                <w:sz w:val="16"/>
              </w:rPr>
              <w:t>code/run_all.py</w:t>
            </w:r>
          </w:p>
        </w:tc>
      </w:tr>
      <w:tr>
        <w:tc>
          <w:tcPr>
            <w:tcW w:type="dxa" w:w="2088"/>
          </w:tcPr>
          <w:p>
            <w:r>
              <w:rPr>
                <w:b w:val="0"/>
                <w:sz w:val="16"/>
              </w:rPr>
              <w:t>Price-stability locus  g·Mᵀ</w:t>
            </w:r>
          </w:p>
        </w:tc>
        <w:tc>
          <w:tcPr>
            <w:tcW w:type="dxa" w:w="1944"/>
          </w:tcPr>
          <w:p>
            <w:r>
              <w:rPr>
                <w:b w:val="0"/>
                <w:sz w:val="16"/>
              </w:rPr>
              <w:t>$229.7B  (1.03% of M2)</w:t>
            </w:r>
          </w:p>
        </w:tc>
        <w:tc>
          <w:tcPr>
            <w:tcW w:type="dxa" w:w="2952"/>
          </w:tcPr>
          <w:p>
            <w:r>
              <w:rPr>
                <w:rFonts w:ascii="Consolas" w:hAnsi="Consolas"/>
                <w:b w:val="0"/>
                <w:sz w:val="16"/>
              </w:rPr>
              <w:t>macro_replication</w:t>
            </w:r>
          </w:p>
        </w:tc>
        <w:tc>
          <w:tcPr>
            <w:tcW w:type="dxa" w:w="2376"/>
          </w:tcPr>
          <w:p>
            <w:r>
              <w:rPr>
                <w:rFonts w:ascii="Consolas" w:hAnsi="Consolas"/>
                <w:b w:val="0"/>
                <w:sz w:val="16"/>
              </w:rPr>
              <w:t>code/recompute_illustrations.py</w:t>
            </w:r>
          </w:p>
        </w:tc>
      </w:tr>
      <w:tr>
        <w:tc>
          <w:tcPr>
            <w:tcW w:type="dxa" w:w="2088"/>
          </w:tcPr>
          <w:p>
            <w:r>
              <w:rPr>
                <w:b w:val="0"/>
                <w:sz w:val="16"/>
              </w:rPr>
              <w:t>Realised ownership share ψ*</w:t>
            </w:r>
          </w:p>
        </w:tc>
        <w:tc>
          <w:tcPr>
            <w:tcW w:type="dxa" w:w="1944"/>
          </w:tcPr>
          <w:p>
            <w:r>
              <w:rPr>
                <w:b w:val="0"/>
                <w:sz w:val="16"/>
              </w:rPr>
              <w:t>0.098</w:t>
            </w:r>
          </w:p>
        </w:tc>
        <w:tc>
          <w:tcPr>
            <w:tcW w:type="dxa" w:w="2952"/>
          </w:tcPr>
          <w:p>
            <w:r>
              <w:rPr>
                <w:rFonts w:ascii="Consolas" w:hAnsi="Consolas"/>
                <w:b w:val="0"/>
                <w:sz w:val="16"/>
              </w:rPr>
              <w:t>structural_buyer_replication</w:t>
            </w:r>
          </w:p>
        </w:tc>
        <w:tc>
          <w:tcPr>
            <w:tcW w:type="dxa" w:w="2376"/>
          </w:tcPr>
          <w:p>
            <w:r>
              <w:rPr>
                <w:rFonts w:ascii="Consolas" w:hAnsi="Consolas"/>
                <w:b w:val="0"/>
                <w:sz w:val="16"/>
              </w:rPr>
              <w:t>code/verify_psi_plateau.py</w:t>
            </w:r>
          </w:p>
        </w:tc>
      </w:tr>
      <w:tr>
        <w:tc>
          <w:tcPr>
            <w:tcW w:type="dxa" w:w="2088"/>
          </w:tcPr>
          <w:p>
            <w:r>
              <w:rPr>
                <w:b w:val="0"/>
                <w:sz w:val="16"/>
              </w:rPr>
              <w:t>Ownership ceiling  c/g</w:t>
            </w:r>
          </w:p>
        </w:tc>
        <w:tc>
          <w:tcPr>
            <w:tcW w:type="dxa" w:w="1944"/>
          </w:tcPr>
          <w:p>
            <w:r>
              <w:rPr>
                <w:b w:val="0"/>
                <w:sz w:val="16"/>
              </w:rPr>
              <w:t>0.197</w:t>
            </w:r>
          </w:p>
        </w:tc>
        <w:tc>
          <w:tcPr>
            <w:tcW w:type="dxa" w:w="2952"/>
          </w:tcPr>
          <w:p>
            <w:r>
              <w:rPr>
                <w:rFonts w:ascii="Consolas" w:hAnsi="Consolas"/>
                <w:b w:val="0"/>
                <w:sz w:val="16"/>
              </w:rPr>
              <w:t>structural_buyer_replication</w:t>
            </w:r>
          </w:p>
        </w:tc>
        <w:tc>
          <w:tcPr>
            <w:tcW w:type="dxa" w:w="2376"/>
          </w:tcPr>
          <w:p>
            <w:r>
              <w:rPr>
                <w:rFonts w:ascii="Consolas" w:hAnsi="Consolas"/>
                <w:b w:val="0"/>
                <w:sz w:val="16"/>
              </w:rPr>
              <w:t>code/verify_psi_plateau.py</w:t>
            </w:r>
          </w:p>
        </w:tc>
      </w:tr>
      <w:tr>
        <w:tc>
          <w:tcPr>
            <w:tcW w:type="dxa" w:w="2088"/>
          </w:tcPr>
          <w:p>
            <w:r>
              <w:rPr>
                <w:b w:val="0"/>
                <w:sz w:val="16"/>
              </w:rPr>
              <w:t>Asset-to-goods spillover λ</w:t>
            </w:r>
          </w:p>
        </w:tc>
        <w:tc>
          <w:tcPr>
            <w:tcW w:type="dxa" w:w="1944"/>
          </w:tcPr>
          <w:p>
            <w:r>
              <w:rPr>
                <w:b w:val="0"/>
                <w:sz w:val="16"/>
              </w:rPr>
              <w:t>0.20</w:t>
            </w:r>
          </w:p>
        </w:tc>
        <w:tc>
          <w:tcPr>
            <w:tcW w:type="dxa" w:w="2952"/>
          </w:tcPr>
          <w:p>
            <w:r>
              <w:rPr>
                <w:rFonts w:ascii="Consolas" w:hAnsi="Consolas"/>
                <w:b w:val="0"/>
                <w:sz w:val="16"/>
              </w:rPr>
              <w:t>macro_replication</w:t>
            </w:r>
          </w:p>
        </w:tc>
        <w:tc>
          <w:tcPr>
            <w:tcW w:type="dxa" w:w="2376"/>
          </w:tcPr>
          <w:p>
            <w:r>
              <w:rPr>
                <w:rFonts w:ascii="Consolas" w:hAnsi="Consolas"/>
                <w:b w:val="0"/>
                <w:sz w:val="16"/>
              </w:rPr>
              <w:t>code/spillover_estimate.py</w:t>
            </w:r>
          </w:p>
        </w:tc>
      </w:tr>
    </w:tbl>
    <w:p>
      <w:r/>
    </w:p>
    <w:p>
      <w:r>
        <w:t>Each package ships a golden artifact — the exact figures cited above — and the verifier compares a fresh run against it; a number that cannot be reproduced fails the build. The three quantities in the body that are empirical estimates rather than identities — the Mᵀ decomposition, λ, and the market-capitalisation base — are precisely the three that the sensitivity analysis of §8 varies.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E5" w:sz="4" w:space="6"/>
      </w:pBdr>
      <w:spacing w:before="60"/>
      <w:jc w:val="center"/>
    </w:pPr>
    <w:r>
      <w:rPr>
        <w:rFonts w:ascii="Arial" w:cs="Arial" w:eastAsia="Arial" w:hAnsi="Arial"/>
        <w:color w:val="555555"/>
        <w:sz w:val="16"/>
        <w:szCs w:val="16"/>
      </w:rPr>
      <w:t xml:space="preserve">The Citizens Standard: Bounded Citizen Ownership  ·  Neo-Solon, 2026  ·  </w:t>
    </w:r>
    <w:r>
      <w:rPr>
        <w:rFonts w:ascii="Arial" w:cs="Arial" w:eastAsia="Arial" w:hAnsi="Arial"/>
        <w:color w:val="555555"/>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30" w:before="320"/>
      <w:outlineLvl w:val="0"/>
    </w:pPr>
    <w:rPr>
      <w:rFonts w:ascii="Arial" w:cs="Arial" w:eastAsia="Arial" w:hAnsi="Arial"/>
      <w:color w:val="2E74B5"/>
      <w:sz w:val="32"/>
      <w:szCs w:val="32"/>
    </w:rPr>
  </w:style>
  <w:style w:type="paragraph" w:styleId="Heading2">
    <w:name w:val="Heading 2"/>
    <w:basedOn w:val="Normal"/>
    <w:next w:val="Normal"/>
    <w:qFormat/>
    <w:pPr>
      <w:spacing w:after="80" w:before="220"/>
      <w:outlineLvl w:val="1"/>
    </w:pPr>
    <w:rPr>
      <w:rFonts w:ascii="Arial" w:cs="Arial" w:eastAsia="Arial" w:hAnsi="Arial"/>
      <w:color w:val="2E74B5"/>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Citizens Standard: The Issuance Engine</dc:title>
  <dc:creator>Neo-Solon</dc:creator>
  <cp:lastModifiedBy>Un-named</cp:lastModifiedBy>
  <cp:revision>1</cp:revision>
  <dcterms:created xsi:type="dcterms:W3CDTF">2026-06-21T14:59:12.253Z</dcterms:created>
  <dcterms:modified xsi:type="dcterms:W3CDTF">2026-06-21T14:59:12.253Z</dcterms:modified>
</cp:coreProperties>
</file>

<file path=docProps/custom.xml><?xml version="1.0" encoding="utf-8"?>
<Properties xmlns="http://schemas.openxmlformats.org/officeDocument/2006/custom-properties" xmlns:vt="http://schemas.openxmlformats.org/officeDocument/2006/docPropsVTypes"/>
</file>