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98E0F">
      <w:pPr>
        <w:spacing w:line="520" w:lineRule="exact"/>
        <w:rPr>
          <w:rFonts w:eastAsia="黑体"/>
          <w:kern w:val="0"/>
          <w:sz w:val="32"/>
          <w:szCs w:val="32"/>
        </w:rPr>
      </w:pPr>
    </w:p>
    <w:tbl>
      <w:tblPr>
        <w:tblStyle w:val="7"/>
        <w:tblW w:w="0" w:type="auto"/>
        <w:tblInd w:w="67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2"/>
      </w:tblGrid>
      <w:tr w14:paraId="18394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2302" w:type="dxa"/>
            <w:vAlign w:val="center"/>
          </w:tcPr>
          <w:p w14:paraId="4D353B4D">
            <w:pPr>
              <w:widowControl/>
              <w:tabs>
                <w:tab w:val="center" w:pos="4153"/>
                <w:tab w:val="right" w:pos="8306"/>
              </w:tabs>
              <w:adjustRightInd w:val="0"/>
              <w:snapToGrid w:val="0"/>
              <w:spacing w:line="520" w:lineRule="exact"/>
              <w:jc w:val="center"/>
              <w:rPr>
                <w:rFonts w:eastAsia="仿宋_GB2312"/>
                <w:kern w:val="0"/>
                <w:sz w:val="28"/>
                <w:szCs w:val="28"/>
              </w:rPr>
            </w:pPr>
            <w:r>
              <w:rPr>
                <w:rFonts w:eastAsia="仿宋_GB2312"/>
                <w:kern w:val="0"/>
                <w:sz w:val="28"/>
                <w:szCs w:val="28"/>
              </w:rPr>
              <w:t>序号</w:t>
            </w:r>
          </w:p>
        </w:tc>
      </w:tr>
      <w:tr w14:paraId="57F1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2302" w:type="dxa"/>
            <w:vAlign w:val="center"/>
          </w:tcPr>
          <w:p w14:paraId="6AB74A15">
            <w:pPr>
              <w:widowControl/>
              <w:tabs>
                <w:tab w:val="center" w:pos="4153"/>
                <w:tab w:val="right" w:pos="8306"/>
              </w:tabs>
              <w:adjustRightInd w:val="0"/>
              <w:snapToGrid w:val="0"/>
              <w:spacing w:line="400" w:lineRule="exact"/>
              <w:jc w:val="center"/>
              <w:rPr>
                <w:rFonts w:eastAsia="仿宋_GB2312"/>
                <w:kern w:val="0"/>
                <w:sz w:val="28"/>
                <w:szCs w:val="28"/>
              </w:rPr>
            </w:pPr>
          </w:p>
        </w:tc>
      </w:tr>
    </w:tbl>
    <w:p w14:paraId="09DD95CC">
      <w:pPr>
        <w:widowControl/>
        <w:adjustRightInd w:val="0"/>
        <w:snapToGrid w:val="0"/>
        <w:spacing w:line="520" w:lineRule="exact"/>
        <w:jc w:val="center"/>
        <w:rPr>
          <w:rFonts w:eastAsia="方正小标宋简体"/>
          <w:kern w:val="0"/>
          <w:sz w:val="52"/>
          <w:szCs w:val="52"/>
        </w:rPr>
      </w:pPr>
    </w:p>
    <w:p w14:paraId="14AD5AC7">
      <w:pPr>
        <w:widowControl/>
        <w:adjustRightInd w:val="0"/>
        <w:snapToGrid w:val="0"/>
        <w:jc w:val="center"/>
        <w:rPr>
          <w:rFonts w:eastAsia="方正小标宋简体"/>
          <w:kern w:val="0"/>
          <w:sz w:val="48"/>
          <w:szCs w:val="48"/>
        </w:rPr>
      </w:pPr>
      <w:r>
        <w:rPr>
          <w:rFonts w:hint="eastAsia" w:eastAsia="方正小标宋简体"/>
          <w:w w:val="95"/>
          <w:kern w:val="0"/>
          <w:sz w:val="48"/>
          <w:szCs w:val="48"/>
          <w:lang w:eastAsia="zh-CN"/>
        </w:rPr>
        <w:t>“</w:t>
      </w:r>
      <w:r>
        <w:rPr>
          <w:rFonts w:hint="eastAsia" w:eastAsia="方正小标宋简体"/>
          <w:w w:val="95"/>
          <w:kern w:val="0"/>
          <w:sz w:val="48"/>
          <w:szCs w:val="48"/>
          <w:lang w:val="en-US" w:eastAsia="zh-CN"/>
        </w:rPr>
        <w:t>芳草杯</w:t>
      </w:r>
      <w:r>
        <w:rPr>
          <w:rFonts w:hint="eastAsia" w:eastAsia="方正小标宋简体"/>
          <w:w w:val="95"/>
          <w:kern w:val="0"/>
          <w:sz w:val="48"/>
          <w:szCs w:val="48"/>
          <w:lang w:eastAsia="zh-CN"/>
        </w:rPr>
        <w:t>”</w:t>
      </w:r>
      <w:r>
        <w:rPr>
          <w:rFonts w:eastAsia="方正小标宋简体"/>
          <w:w w:val="95"/>
          <w:kern w:val="0"/>
          <w:sz w:val="48"/>
          <w:szCs w:val="48"/>
        </w:rPr>
        <w:t>第</w:t>
      </w:r>
      <w:r>
        <w:rPr>
          <w:rFonts w:hint="eastAsia" w:eastAsia="方正小标宋简体"/>
          <w:w w:val="95"/>
          <w:kern w:val="0"/>
          <w:sz w:val="48"/>
          <w:szCs w:val="48"/>
          <w:lang w:val="en-US" w:eastAsia="zh-CN"/>
        </w:rPr>
        <w:t>十二</w:t>
      </w:r>
      <w:r>
        <w:rPr>
          <w:rFonts w:eastAsia="方正小标宋简体"/>
          <w:w w:val="95"/>
          <w:kern w:val="0"/>
          <w:sz w:val="48"/>
          <w:szCs w:val="48"/>
        </w:rPr>
        <w:t>届大学生思想政治理论课</w:t>
      </w:r>
    </w:p>
    <w:p w14:paraId="70A3A655">
      <w:pPr>
        <w:widowControl/>
        <w:adjustRightInd w:val="0"/>
        <w:snapToGrid w:val="0"/>
        <w:jc w:val="center"/>
        <w:rPr>
          <w:rFonts w:eastAsia="方正小标宋简体"/>
          <w:kern w:val="0"/>
          <w:sz w:val="48"/>
          <w:szCs w:val="48"/>
        </w:rPr>
      </w:pPr>
      <w:r>
        <w:rPr>
          <w:rFonts w:eastAsia="方正小标宋简体"/>
          <w:kern w:val="0"/>
          <w:sz w:val="48"/>
          <w:szCs w:val="48"/>
        </w:rPr>
        <w:t>研究性学习成果展示竞赛</w:t>
      </w:r>
    </w:p>
    <w:p w14:paraId="2992C5FA">
      <w:pPr>
        <w:widowControl/>
        <w:adjustRightInd w:val="0"/>
        <w:snapToGrid w:val="0"/>
        <w:jc w:val="center"/>
        <w:rPr>
          <w:rFonts w:eastAsia="方正小标宋简体"/>
          <w:kern w:val="0"/>
          <w:sz w:val="48"/>
          <w:szCs w:val="48"/>
        </w:rPr>
      </w:pPr>
      <w:r>
        <w:rPr>
          <w:rFonts w:eastAsia="方正小标宋简体"/>
          <w:kern w:val="0"/>
          <w:sz w:val="48"/>
          <w:szCs w:val="48"/>
        </w:rPr>
        <w:t>研究性学习成果报告</w:t>
      </w:r>
    </w:p>
    <w:p w14:paraId="037FAB11">
      <w:pPr>
        <w:widowControl/>
        <w:adjustRightInd w:val="0"/>
        <w:snapToGrid w:val="0"/>
        <w:spacing w:line="520" w:lineRule="exact"/>
        <w:jc w:val="center"/>
        <w:rPr>
          <w:rFonts w:eastAsia="楷体_GB2312"/>
          <w:kern w:val="0"/>
          <w:sz w:val="48"/>
          <w:szCs w:val="48"/>
        </w:rPr>
      </w:pP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5664"/>
      </w:tblGrid>
      <w:tr w14:paraId="4F94A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1923" w:type="dxa"/>
            <w:vAlign w:val="center"/>
          </w:tcPr>
          <w:p w14:paraId="1F952D50">
            <w:pPr>
              <w:widowControl/>
              <w:spacing w:line="520" w:lineRule="exact"/>
              <w:jc w:val="left"/>
              <w:rPr>
                <w:rFonts w:eastAsia="仿宋_GB2312"/>
                <w:kern w:val="0"/>
                <w:sz w:val="32"/>
                <w:szCs w:val="32"/>
              </w:rPr>
            </w:pPr>
            <w:r>
              <w:rPr>
                <w:rFonts w:eastAsia="仿宋_GB2312"/>
                <w:kern w:val="0"/>
                <w:sz w:val="32"/>
                <w:szCs w:val="32"/>
              </w:rPr>
              <w:t>报告题目：</w:t>
            </w:r>
          </w:p>
        </w:tc>
        <w:tc>
          <w:tcPr>
            <w:tcW w:w="5664" w:type="dxa"/>
            <w:vAlign w:val="bottom"/>
          </w:tcPr>
          <w:p w14:paraId="758A144E">
            <w:pPr>
              <w:widowControl/>
              <w:spacing w:line="520" w:lineRule="exact"/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</w:pPr>
            <w:r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  <w:t xml:space="preserve">  从“心忧天下”到“强国有我”——湖湘精神在当代青年中的传承与创新路径                          </w:t>
            </w:r>
          </w:p>
        </w:tc>
      </w:tr>
      <w:tr w14:paraId="78320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1923" w:type="dxa"/>
            <w:vAlign w:val="center"/>
          </w:tcPr>
          <w:p w14:paraId="14EEF90F">
            <w:pPr>
              <w:widowControl/>
              <w:spacing w:line="520" w:lineRule="exact"/>
              <w:jc w:val="left"/>
              <w:rPr>
                <w:rFonts w:eastAsia="仿宋_GB2312"/>
                <w:kern w:val="0"/>
                <w:sz w:val="32"/>
                <w:szCs w:val="32"/>
              </w:rPr>
            </w:pPr>
            <w:r>
              <w:rPr>
                <w:rFonts w:eastAsia="仿宋_GB2312"/>
                <w:kern w:val="0"/>
                <w:sz w:val="32"/>
                <w:szCs w:val="32"/>
              </w:rPr>
              <w:t>学校名称：</w:t>
            </w:r>
          </w:p>
        </w:tc>
        <w:tc>
          <w:tcPr>
            <w:tcW w:w="5664" w:type="dxa"/>
            <w:vAlign w:val="bottom"/>
          </w:tcPr>
          <w:p w14:paraId="4591E6E4">
            <w:pPr>
              <w:widowControl/>
              <w:spacing w:line="520" w:lineRule="exact"/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</w:pPr>
            <w:r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  <w:t xml:space="preserve">           </w:t>
            </w:r>
            <w:r>
              <w:rPr>
                <w:rFonts w:hint="eastAsia" w:eastAsia="仿宋_GB2312"/>
                <w:b/>
                <w:kern w:val="0"/>
                <w:sz w:val="32"/>
                <w:szCs w:val="32"/>
                <w:u w:val="single"/>
                <w:lang w:val="en-US" w:eastAsia="zh-CN"/>
              </w:rPr>
              <w:t>湖南大学</w:t>
            </w:r>
            <w:r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  <w:t xml:space="preserve">               </w:t>
            </w:r>
          </w:p>
        </w:tc>
      </w:tr>
      <w:tr w14:paraId="058B1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1923" w:type="dxa"/>
            <w:vAlign w:val="center"/>
          </w:tcPr>
          <w:p w14:paraId="3B8F387F">
            <w:pPr>
              <w:widowControl/>
              <w:spacing w:line="520" w:lineRule="exact"/>
              <w:jc w:val="left"/>
              <w:rPr>
                <w:rFonts w:eastAsia="仿宋_GB2312"/>
                <w:kern w:val="0"/>
                <w:sz w:val="32"/>
                <w:szCs w:val="32"/>
              </w:rPr>
            </w:pPr>
            <w:r>
              <w:rPr>
                <w:rFonts w:eastAsia="仿宋_GB2312"/>
                <w:kern w:val="0"/>
                <w:sz w:val="32"/>
                <w:szCs w:val="32"/>
              </w:rPr>
              <w:t>小组成员：</w:t>
            </w:r>
          </w:p>
        </w:tc>
        <w:tc>
          <w:tcPr>
            <w:tcW w:w="5664" w:type="dxa"/>
            <w:vAlign w:val="bottom"/>
          </w:tcPr>
          <w:p w14:paraId="6469F522">
            <w:pPr>
              <w:widowControl/>
              <w:spacing w:line="520" w:lineRule="exact"/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</w:pPr>
            <w:r>
              <w:rPr>
                <w:rFonts w:hint="eastAsia" w:eastAsia="仿宋_GB2312"/>
                <w:b/>
                <w:kern w:val="0"/>
                <w:sz w:val="32"/>
                <w:szCs w:val="32"/>
                <w:u w:val="single"/>
                <w:lang w:val="en-US" w:eastAsia="zh-CN"/>
              </w:rPr>
              <w:t>杨景诚、李知夏、朱骏宇、杜丰君、王云超</w:t>
            </w:r>
            <w:r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  <w:t xml:space="preserve">                         </w:t>
            </w:r>
          </w:p>
        </w:tc>
      </w:tr>
      <w:tr w14:paraId="18172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1923" w:type="dxa"/>
            <w:vAlign w:val="center"/>
          </w:tcPr>
          <w:p w14:paraId="63DA6849">
            <w:pPr>
              <w:widowControl/>
              <w:spacing w:line="520" w:lineRule="exact"/>
              <w:jc w:val="left"/>
              <w:rPr>
                <w:rFonts w:eastAsia="仿宋_GB2312"/>
                <w:kern w:val="0"/>
                <w:sz w:val="32"/>
                <w:szCs w:val="32"/>
              </w:rPr>
            </w:pPr>
            <w:r>
              <w:rPr>
                <w:rFonts w:eastAsia="仿宋_GB2312"/>
                <w:kern w:val="0"/>
                <w:sz w:val="32"/>
                <w:szCs w:val="32"/>
              </w:rPr>
              <w:t>专业班级：</w:t>
            </w:r>
          </w:p>
        </w:tc>
        <w:tc>
          <w:tcPr>
            <w:tcW w:w="5664" w:type="dxa"/>
            <w:vAlign w:val="bottom"/>
          </w:tcPr>
          <w:p w14:paraId="2DFBBE2D">
            <w:pPr>
              <w:widowControl/>
              <w:spacing w:line="520" w:lineRule="exact"/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</w:pPr>
            <w:r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eastAsia="仿宋_GB2312"/>
                <w:b/>
                <w:kern w:val="0"/>
                <w:sz w:val="32"/>
                <w:szCs w:val="32"/>
                <w:u w:val="single"/>
              </w:rPr>
              <w:t>计算机科学与技术（拔尖班）2401</w:t>
            </w:r>
            <w:r>
              <w:rPr>
                <w:rFonts w:hint="eastAsia" w:eastAsia="仿宋_GB2312"/>
                <w:b/>
                <w:kern w:val="0"/>
                <w:sz w:val="32"/>
                <w:szCs w:val="32"/>
                <w:u w:val="single"/>
                <w:lang w:eastAsia="zh-CN"/>
              </w:rPr>
              <w:t>、软件工程2402、</w:t>
            </w:r>
            <w:r>
              <w:rPr>
                <w:rFonts w:hint="eastAsia" w:eastAsia="仿宋_GB2312"/>
                <w:b/>
                <w:kern w:val="0"/>
                <w:sz w:val="32"/>
                <w:szCs w:val="32"/>
                <w:u w:val="single"/>
                <w:lang w:val="en-US" w:eastAsia="zh-CN"/>
              </w:rPr>
              <w:t>计科2404</w:t>
            </w:r>
            <w:r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  <w:t xml:space="preserve">                              </w:t>
            </w:r>
          </w:p>
        </w:tc>
      </w:tr>
      <w:tr w14:paraId="73E0A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1923" w:type="dxa"/>
            <w:vAlign w:val="center"/>
          </w:tcPr>
          <w:p w14:paraId="52045E26">
            <w:pPr>
              <w:widowControl/>
              <w:spacing w:line="520" w:lineRule="exact"/>
              <w:jc w:val="left"/>
              <w:rPr>
                <w:rFonts w:eastAsia="仿宋_GB2312"/>
                <w:kern w:val="0"/>
                <w:sz w:val="32"/>
                <w:szCs w:val="32"/>
              </w:rPr>
            </w:pPr>
            <w:r>
              <w:rPr>
                <w:rFonts w:eastAsia="仿宋_GB2312"/>
                <w:kern w:val="0"/>
                <w:sz w:val="32"/>
                <w:szCs w:val="32"/>
              </w:rPr>
              <w:t>指导老师：</w:t>
            </w:r>
          </w:p>
        </w:tc>
        <w:tc>
          <w:tcPr>
            <w:tcW w:w="5664" w:type="dxa"/>
            <w:vAlign w:val="bottom"/>
          </w:tcPr>
          <w:p w14:paraId="7BD8D7D3">
            <w:pPr>
              <w:widowControl/>
              <w:spacing w:line="520" w:lineRule="exact"/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</w:pPr>
            <w:r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  <w:t xml:space="preserve">             </w:t>
            </w:r>
            <w:r>
              <w:rPr>
                <w:rFonts w:hint="eastAsia" w:eastAsia="仿宋_GB2312"/>
                <w:b/>
                <w:kern w:val="0"/>
                <w:sz w:val="32"/>
                <w:szCs w:val="32"/>
                <w:u w:val="single"/>
                <w:lang w:val="en-US" w:eastAsia="zh-CN"/>
              </w:rPr>
              <w:t>宁德业</w:t>
            </w:r>
            <w:r>
              <w:rPr>
                <w:rFonts w:eastAsia="仿宋_GB2312"/>
                <w:b/>
                <w:kern w:val="0"/>
                <w:sz w:val="32"/>
                <w:szCs w:val="32"/>
                <w:u w:val="single"/>
              </w:rPr>
              <w:t xml:space="preserve">                    </w:t>
            </w:r>
          </w:p>
        </w:tc>
      </w:tr>
    </w:tbl>
    <w:p w14:paraId="44C981AB">
      <w:pPr>
        <w:widowControl/>
        <w:snapToGrid w:val="0"/>
        <w:spacing w:line="520" w:lineRule="exact"/>
        <w:jc w:val="center"/>
        <w:rPr>
          <w:rFonts w:eastAsia="方正小标宋简体"/>
          <w:kern w:val="0"/>
          <w:sz w:val="28"/>
          <w:szCs w:val="28"/>
        </w:rPr>
      </w:pPr>
    </w:p>
    <w:p w14:paraId="4D81277E">
      <w:pPr>
        <w:widowControl/>
        <w:snapToGrid w:val="0"/>
        <w:spacing w:line="520" w:lineRule="exact"/>
        <w:jc w:val="center"/>
        <w:rPr>
          <w:rFonts w:eastAsia="方正小标宋简体"/>
          <w:kern w:val="0"/>
          <w:sz w:val="28"/>
          <w:szCs w:val="28"/>
        </w:rPr>
      </w:pPr>
    </w:p>
    <w:p w14:paraId="3C75C8F2">
      <w:pPr>
        <w:widowControl/>
        <w:snapToGrid w:val="0"/>
        <w:spacing w:line="520" w:lineRule="exact"/>
        <w:jc w:val="center"/>
        <w:rPr>
          <w:rFonts w:eastAsia="方正小标宋简体"/>
          <w:kern w:val="0"/>
          <w:sz w:val="28"/>
          <w:szCs w:val="28"/>
        </w:rPr>
      </w:pPr>
    </w:p>
    <w:p w14:paraId="20116692">
      <w:pPr>
        <w:widowControl/>
        <w:snapToGrid w:val="0"/>
        <w:spacing w:line="520" w:lineRule="exact"/>
        <w:jc w:val="center"/>
        <w:rPr>
          <w:rFonts w:eastAsia="方正小标宋简体"/>
          <w:kern w:val="0"/>
          <w:sz w:val="28"/>
          <w:szCs w:val="28"/>
        </w:rPr>
      </w:pPr>
    </w:p>
    <w:p w14:paraId="51009419">
      <w:pPr>
        <w:widowControl/>
        <w:snapToGrid w:val="0"/>
        <w:spacing w:line="520" w:lineRule="exact"/>
        <w:jc w:val="center"/>
        <w:rPr>
          <w:rFonts w:eastAsia="楷体_GB2312"/>
          <w:kern w:val="0"/>
          <w:sz w:val="34"/>
          <w:szCs w:val="28"/>
        </w:rPr>
      </w:pPr>
      <w:r>
        <w:rPr>
          <w:rFonts w:eastAsia="楷体_GB2312"/>
          <w:kern w:val="0"/>
          <w:sz w:val="34"/>
          <w:szCs w:val="28"/>
        </w:rPr>
        <w:t>省委教育工委宣传部</w:t>
      </w:r>
    </w:p>
    <w:p w14:paraId="55665935">
      <w:pPr>
        <w:widowControl/>
        <w:snapToGrid w:val="0"/>
        <w:spacing w:line="520" w:lineRule="exact"/>
        <w:jc w:val="center"/>
        <w:rPr>
          <w:rFonts w:eastAsia="楷体_GB2312"/>
          <w:kern w:val="0"/>
          <w:sz w:val="34"/>
          <w:szCs w:val="28"/>
        </w:rPr>
      </w:pPr>
      <w:r>
        <w:rPr>
          <w:rFonts w:eastAsia="楷体_GB2312"/>
          <w:kern w:val="0"/>
          <w:sz w:val="34"/>
          <w:szCs w:val="28"/>
        </w:rPr>
        <w:t>202</w:t>
      </w:r>
      <w:r>
        <w:rPr>
          <w:rFonts w:hint="eastAsia" w:eastAsia="楷体_GB2312"/>
          <w:kern w:val="0"/>
          <w:sz w:val="34"/>
          <w:szCs w:val="28"/>
          <w:lang w:val="en-US" w:eastAsia="zh-CN"/>
        </w:rPr>
        <w:t>6</w:t>
      </w:r>
      <w:r>
        <w:rPr>
          <w:rFonts w:eastAsia="楷体_GB2312"/>
          <w:kern w:val="0"/>
          <w:sz w:val="34"/>
          <w:szCs w:val="28"/>
        </w:rPr>
        <w:t>年</w:t>
      </w:r>
      <w:r>
        <w:rPr>
          <w:rFonts w:hint="eastAsia" w:eastAsia="楷体_GB2312"/>
          <w:kern w:val="0"/>
          <w:sz w:val="34"/>
          <w:szCs w:val="28"/>
          <w:lang w:val="en-US" w:eastAsia="zh-CN"/>
        </w:rPr>
        <w:t>5</w:t>
      </w:r>
      <w:r>
        <w:rPr>
          <w:rFonts w:eastAsia="楷体_GB2312"/>
          <w:kern w:val="0"/>
          <w:sz w:val="34"/>
          <w:szCs w:val="28"/>
        </w:rPr>
        <w:t>月</w:t>
      </w:r>
    </w:p>
    <w:p w14:paraId="6CF98D47">
      <w:pPr>
        <w:widowControl/>
        <w:snapToGrid w:val="0"/>
        <w:spacing w:line="520" w:lineRule="exact"/>
        <w:jc w:val="center"/>
        <w:rPr>
          <w:rFonts w:eastAsia="楷体_GB2312"/>
          <w:kern w:val="0"/>
          <w:sz w:val="34"/>
          <w:szCs w:val="28"/>
        </w:rPr>
      </w:pPr>
    </w:p>
    <w:p w14:paraId="15B5E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/>
        </w:rPr>
      </w:pPr>
    </w:p>
    <w:p w14:paraId="06F22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240" w:lineRule="auto"/>
        <w:jc w:val="center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/>
        </w:rPr>
        <w:t>从“心忧天下”到“强国有我”——湖湘精神在当代青年中的传承与创新路径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/>
        </w:rPr>
        <w:t>——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兼论新时代青年的文化认同与行动逻辑</w:t>
      </w:r>
    </w:p>
    <w:p w14:paraId="74D30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一、选择该主题的原因</w:t>
      </w:r>
    </w:p>
    <w:p w14:paraId="35BA0DBC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正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我们之所以选择研究湖湘精神与青年传承创新这一课题，主要基于以下四个方面的考虑：</w:t>
      </w:r>
    </w:p>
    <w:p w14:paraId="5A92368C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第一，时代号召与文化自信的需要。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习近平总书记多次强调，要推动中华优秀传统文化创造性转化、创新性发展。湖湘文化作为中华文化的重要组成部分，蕴含着“心忧天下、敢为人先、经世致用、实事求是”等宝贵精神财富。作为在湘求学的大学生，我们有责任深入理解并传承这份文化遗产，增强文化自信。</w:t>
      </w:r>
    </w:p>
    <w:p w14:paraId="66BC6598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第二，湖湘精神的当代价值亟待青年发掘。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从屈原的“路漫漫其修远兮”到范仲淹的“先忧后乐”，从王夫之的“力行第一”到毛泽东的“实事求是”，湖湘先贤的思想与行动至今仍具有强大的感召力。然而，部分青年对湖湘精神的理解停留在表面口号，未能真正内化为行动指南。因此，我们希望通过研究，厘清湖湘精神的核心内涵，并探索青年一代如何将其发扬光大。</w:t>
      </w:r>
    </w:p>
    <w:p w14:paraId="598BF3F9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第三，回应“知行脱节”的现实问题。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当前，一些青年虽然认同传统文化的重要性，但在实际生活中缺乏主动传承与创新的行为。例如，很少主动参观文化场馆、参与非遗体验或创作湖湘主题作品。我们小组希望通过研究性学习，提出切实可行的路径，帮助青年从“知道”走向“做到”。</w:t>
      </w:r>
    </w:p>
    <w:p w14:paraId="1FC3F573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第四，小组自身成长与使命担当。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本小组成员来自不同专业，希望通过跨学科合作，提升文献查阅、逻辑分析和团队协作能力，同时明确新时代青年在文化传承中的角色定位，践行“强国有我”的青春誓言。</w:t>
      </w:r>
    </w:p>
    <w:p w14:paraId="6C9F1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二、该主题目前研究情况综述</w:t>
      </w:r>
    </w:p>
    <w:p w14:paraId="7D0345FE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通过检索中国知网、读秀等数据库，并查阅相关著作，我们对湖湘精神与青年传承的研究现状进行了系统梳理，综述如下：</w:t>
      </w:r>
    </w:p>
    <w:p w14:paraId="306D86C7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（一）关于湖湘文化核心精神的研究</w:t>
      </w:r>
    </w:p>
    <w:p w14:paraId="351D964A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朱汉民在《湖湘文化通论》中指出，湖湘文化以理学为哲学基础，强调“道南正脉”，同时融合了湘楚民间的刚毅血性，形成“实事求是”“经世致用”的精神传统。王泽应（《湖湘文化的精神特质》）将其核心概括为“爱国、务实、创新、包容”。另有学者从区域文化比较视角，认为湖湘精神区别于巴蜀文化的闲适、岭南文化的重商，更加突出政治担当与家国情怀。</w:t>
      </w:r>
    </w:p>
    <w:p w14:paraId="11A9F20B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（二）关于青年传承路径的研究</w:t>
      </w:r>
    </w:p>
    <w:p w14:paraId="61AAE7B7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现有成果多聚焦于高校思政教育实践。例如，岳麓书院开展的“书院文化体验营”、湖南大学“移动思政课堂”等案例被多次讨论。部分学者提出“新媒体+湖湘文化”策略，如利用短视频、H5、虚拟现实技术传播红色故事。但研究多停留在活动描述，缺乏对青年心理机制与行为改变的系统分析。</w:t>
      </w:r>
    </w:p>
    <w:p w14:paraId="6419CCA2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（三）关于创新转化与不足</w:t>
      </w:r>
    </w:p>
    <w:p w14:paraId="30088550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非遗文创方面，湘绣、花鼓戏等通过跨界联名获得一定关注，但学者指出存在“符号化、表面化”问题，文化内核被稀释。数字藏品领域，湖南博物院推出的“马王堆数字文物”取得一定成效，但青年参与以收藏为主，主动创作不足。总体而言，现有研究较少从“青年作为传承主体”的能动性角度出发，也缺乏对“Z世代”文化消费习惯（如沉浸式体验、社群共创）的系统回应。</w:t>
      </w:r>
    </w:p>
    <w:p w14:paraId="61678F58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（四）我们的切入点</w:t>
      </w:r>
    </w:p>
    <w:p w14:paraId="440AC7F9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本组将聚焦“青年如何从被动接受者转变为主动创变者”，基于文献分析与逻辑推理，提出符合青年特点的传承与创新路径。</w:t>
      </w:r>
    </w:p>
    <w:p w14:paraId="333EA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三、本组的研究性学习成果</w:t>
      </w:r>
    </w:p>
    <w:p w14:paraId="62C844C9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通过深入研读文献、观看纪录片、小组研讨，我们形成以下主要成果：</w:t>
      </w:r>
    </w:p>
    <w:p w14:paraId="53B0549F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（一）湖湘精神的核心意蕴：从历史中提炼</w:t>
      </w:r>
    </w:p>
    <w:p w14:paraId="0DA0C6A7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我们将湖湘精神概括为四个关键词：</w:t>
      </w:r>
    </w:p>
    <w:p w14:paraId="1E160B7C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忧乐天下，家国情怀：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范仲淹《岳阳楼记》“先天下之忧而忧，后天下之乐而乐”是湖湘士人的精神坐标。左宗棠“身无半亩，心忧天下”，谭嗣同“我自横刀向天笑”，无不体现这种将个人命运与国家民族紧密相连的担当。</w:t>
      </w:r>
    </w:p>
    <w:p w14:paraId="36B830FB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敢为人先，开拓进取：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从魏源“师夷长技以制夷”到毛泽东“走自己的路”，湖湘文化从不缺乏创新勇气。近代湖南人在变法、革命、建设中屡开风气之先，这种精神对当下青年创新创业具有重要启示。</w:t>
      </w:r>
    </w:p>
    <w:p w14:paraId="380C4B2B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经世致用，实事求是：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岳麓书院“实事求是”匾额成为党的思想路线的重要文化渊源。湖湘文化反对空谈，强调知行合一、解决实际问题。王夫之提出“行可兼知”，曾国藩主张“尚朴实，耐劳苦”。</w:t>
      </w:r>
    </w:p>
    <w:p w14:paraId="25C15284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霸蛮坚忍，百折不挠：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湖南人“恰得苦、耐得烦、不怕死、霸得蛮”的性格特征，在近代革命中集中体现为长征精神、抗战精神。这种韧劲是青年面对挫折时最需要的精神力量。</w:t>
      </w:r>
    </w:p>
    <w:p w14:paraId="4B73923C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（二）当前青年传承中存在的主要问题（基于观察与文献分析）</w:t>
      </w:r>
    </w:p>
    <w:p w14:paraId="3B50E115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我们归纳了三个突出问题：</w:t>
      </w:r>
    </w:p>
    <w:p w14:paraId="72CCADC7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认知碎片化：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多数青年知道屈原、毛泽东是湖南人，但对湖湘精神的系统性理解不足，容易将文化等同于“历史知识”，而非可践行的价值观。</w:t>
      </w:r>
    </w:p>
    <w:p w14:paraId="12C9B935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参与浅层化：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打卡红色地标、观看短视频成为主要方式，但缺乏深度体验与主动创造。例如，参观岳麓书院后很少进一步阅读相关著作或参与文化创作。</w:t>
      </w:r>
    </w:p>
    <w:p w14:paraId="499845A1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代际隔阂感：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传统表达方式（长篇大论、官方话语）难以吸引青年。湖湘先贤的故事往往被讲述得“高大全”，缺乏与青年生活的情感连接点。</w:t>
      </w:r>
    </w:p>
    <w:p w14:paraId="7D361B9D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（三）青年传承创新的具体路径设计</w:t>
      </w:r>
    </w:p>
    <w:p w14:paraId="555E9905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基于上述分析，我们提出四条创新路径：</w:t>
      </w:r>
    </w:p>
    <w:p w14:paraId="1174A6F5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路径一：叙事方式革新——从“宏大史诗”到“微小微光”</w:t>
      </w:r>
      <w:r>
        <w:rPr>
          <w:rFonts w:hint="eastAsia" w:ascii="宋体" w:hAnsi="宋体" w:cs="宋体"/>
          <w:b/>
          <w:bCs/>
          <w:color w:val="auto"/>
          <w:kern w:val="0"/>
          <w:sz w:val="24"/>
          <w:szCs w:val="24"/>
          <w:lang w:val="en-US" w:eastAsia="zh-CN"/>
        </w:rPr>
        <w:t>: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借鉴《觉醒年代》等优秀影视作品的成功经验，将湖湘人物故事拆解为2-3分钟的“微叙事”，聚焦一个细节、一句名言、一次选择。例如，“少年毛泽东的24个半工读”“左宗棠抬棺西征的决绝时刻”“杨开慧藏在墙缝里的信”。这些故事更容易在短视频平台传播，引发情感共鸣。</w:t>
      </w:r>
    </w:p>
    <w:p w14:paraId="55B700C9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路径二：体验场景再造——从“单向参观”到“沉浸共创”</w:t>
      </w:r>
      <w:r>
        <w:rPr>
          <w:rFonts w:hint="eastAsia" w:ascii="宋体" w:hAnsi="宋体" w:cs="宋体"/>
          <w:b/>
          <w:bCs/>
          <w:color w:val="auto"/>
          <w:kern w:val="0"/>
          <w:sz w:val="24"/>
          <w:szCs w:val="24"/>
          <w:lang w:val="en-US" w:eastAsia="zh-CN"/>
        </w:rPr>
        <w:t>: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参考长沙橘子洲头《恰同学少年》沉浸式情景剧、湖南博物院“汉墓密室解谜”等案例，建议高校联合文化场馆开发“湖湘文化实景剧本杀”“岳麓书院研学解谜包”。让青年在角色扮演、解谜闯关中主动探索文化内涵，实现“玩中学”。</w:t>
      </w:r>
    </w:p>
    <w:p w14:paraId="3DF721ED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路径三：创造赋能——从“文化消费者”到“内容生产者”</w:t>
      </w:r>
      <w:r>
        <w:rPr>
          <w:rFonts w:hint="eastAsia" w:ascii="宋体" w:hAnsi="宋体" w:cs="宋体"/>
          <w:b/>
          <w:bCs/>
          <w:color w:val="auto"/>
          <w:kern w:val="0"/>
          <w:sz w:val="24"/>
          <w:szCs w:val="24"/>
          <w:lang w:val="en-US" w:eastAsia="zh-CN"/>
        </w:rPr>
        <w:t>: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鼓励大学生将湖湘元素融入国潮设计、数字插画、动漫短片、音乐创作等。学校可设立“湖湘文化青年创意工作坊”，举办文创设计大赛，并搭建线上线下展示销售平台。例如，将湘绣纹样应用于卫衣、帆布包，将花鼓戏唱段改编为说唱歌曲。</w:t>
      </w:r>
    </w:p>
    <w:p w14:paraId="354EF36F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right="0" w:firstLine="482" w:firstLineChars="20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路径四：课程与实践融合——从“思政孤岛”到“学科融通”</w:t>
      </w:r>
      <w:r>
        <w:rPr>
          <w:rFonts w:hint="eastAsia" w:ascii="宋体" w:hAnsi="宋体" w:cs="宋体"/>
          <w:b/>
          <w:bCs/>
          <w:color w:val="auto"/>
          <w:kern w:val="0"/>
          <w:sz w:val="24"/>
          <w:szCs w:val="24"/>
          <w:lang w:val="en-US" w:eastAsia="zh-CN"/>
        </w:rPr>
        <w:t>: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建议思政课与艺术设计、新闻传播、计算机等专业课联动。例如，《平面设计》课布置“湖湘文化海报设计”作业，《新媒体运营》课要求学生运营一个湖湘文化主题账号，《编程》课开发湖湘文化小游戏。成果可计入多门课程成绩，提高学生参与的内生动力。</w:t>
      </w:r>
    </w:p>
    <w:p w14:paraId="0B3B3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四、下一步研究设想</w:t>
      </w:r>
    </w:p>
    <w:p w14:paraId="322D3C35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目前的研究主要基于文献分析与逻辑推导，虽然提炼了湖湘精神的核心内涵和青年传承创新的四条路径，但仍缺乏一手实践资料的支撑，也未能验证所提对策的实际可行性。因此，下一步我们计划从以下四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个方面深化研究：</w:t>
      </w:r>
    </w:p>
    <w:p w14:paraId="6B5FCE43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开展深度访谈：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选择2-3位与湖湘文化传承密切相关的实践者进行半结构化访谈。具体对象包括：一位湖湘文化青年创业者（如经营湖湘文创品牌的大学生创业者）、一位非遗传承人（如湘绣或花鼓戏传承人）、一位红色场馆的资深讲解员（如橘子洲头或岳麓书院讲解员）。访谈将围绕以下问题展开：“您在实际工作中感受到青年对湖湘文化的兴趣点在哪里？”“您认为当前青年传承中最大的障碍是什么？”“您对我们提出的‘微叙事’‘沉浸共创’等路径是否认可？有哪些改进建议？”通过访谈，我们将获取一线实践者的经验与困惑，验证或修正我们提出的创新路径，使研究更贴近现实。</w:t>
      </w:r>
    </w:p>
    <w:p w14:paraId="52830B33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设计小型实践验证：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与学校社团（如国学社、手工社或青年志愿者协会）合作，在校园内举办一次“湖湘文化游园会”。活动计划设置三个互动环节：一是湘绣体验区，由手工社同学指导参与者完成简易书签刺绣；二是湖湘知识闯关区，设置10道关于湖湘历史名人的选择题，答对者可获得我们小组设计的手绘明信片；三是文创义卖区，展示并义卖我们制作的湖湘元素文创产品（如书签、帆布包），所得捐赠给社区文化服务项目。我们将通过观察参与者的行为变化来验证对策效果：记录每个区域的停留时间、主动提问和互动的次数、是否愿意留下联系方式以便后续参与文化活动等。活动结束后，小组将撰写一份实践反馈报告，总结哪些形式最能引发青年共鸣，哪些环节需要改进。</w:t>
      </w:r>
    </w:p>
    <w:p w14:paraId="41ED130A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拓展比较研究：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选择浙江“宋韵文化”和广东“岭南文化”作为比较对象，研究它们在青年传承方面的创新模式。我们将收集相关政策文件、活动报道及学术论文，从四个维度进行对比分析：政策支持力度（如专项资金、进校园文件）、传播媒介选择（如短视频、沉浸式戏剧、数字藏品）、青年参与形式（如打卡、共创、志愿服务）、文化内核保留程度（是否避免过度娱乐化）。通过比较，我们旨在为湖湘文化传承提供借鉴：例如浙江将宋韵融入生活美学的做法，广东以粤剧电影和醒狮潮牌吸引青年的策略。同时，我们也将关注可能出现的问题，如商业化对文化严肃性的消解，从而优化我们自己的路径设计。</w:t>
      </w:r>
    </w:p>
    <w:p w14:paraId="7A03EDB2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2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申报大创项目：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在本次研究性学习报告的基础上，我们计划进一步修改完善，申报2026年大学生创新创业训练计划项目（创新训练类），项目名称拟为“湖湘文化在Z世代中的传承现状与创新传播研究——基于在湘高校的观察与实践活动”。如果获得立项，我们将获得指导教师和经费支持，能够系统性地开展上述深度访谈、游园会实践以及比较研究。此外，我们还计划将研究成果转化为一篇学术短文，投稿至校内学生学术刊物或参加思政课相关征文比赛，同时将小组制作的文创手绘、推文等成果发布在班级或学院公众号上，扩大影响力。通过项目申报和成果转化，我们希望本次研究性学习能够持续深化，真正实现“从纸面到地面”的跨越。</w:t>
      </w:r>
    </w:p>
    <w:p w14:paraId="43815CC7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</w:p>
    <w:p w14:paraId="0FE88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C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五、研究性学习过程中的体会</w:t>
      </w:r>
    </w:p>
    <w:p w14:paraId="70021B93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杨景诚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：在查阅湖湘文化相关文献时，我最初面对几十篇论文毫无头绪，后来学会用关键词筛选、先读摘要和结论，效率大大提高。读到王夫之“力行第一”的观点时，我深受触动——原来湖湘先贤如此强调实践。这让我反思自己平时是否只停留在“知道”层面，而缺少“做到”的勇气。通过这次学习，我真正理解了“经世致用”不是书本上的四个字，而是要求我们把知识转化为行动。</w:t>
      </w:r>
    </w:p>
    <w:p w14:paraId="67CAE81F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李</w:t>
      </w:r>
      <w:r>
        <w:rPr>
          <w:rFonts w:hint="eastAsia" w:ascii="宋体" w:hAnsi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知夏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：我负责文献综述，需要归纳学界对湖湘文化的研究现状。刚开始觉得枯燥，但当我发现多位学者都提到“青年传承存在表面化问题”时，突然意识到我们的研究是有价值的。整理资料过程中，我学会了如何区分核心期刊与普通文献，也锻炼了提炼观点的能力。更重要的是，我体会到学术研究需要耐心和细心，任何一份好报告都离不开扎实的文献基础。</w:t>
      </w:r>
    </w:p>
    <w:p w14:paraId="3AC3AC15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杜丰君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：撰写“研究成果”部分时，我们需要把抽象的精神提炼成具体的路径。小组讨论中，有人建议参考《觉醒年代》的叙事，有人提到长沙本地的沉浸式戏剧，还有人分享了高校思政课的创新案例。经过多次碰撞，我们最终凝练出四条传承创新路径。这个过程让我深刻感受到：团队智慧远大于个人，而且好的创意往往来自不同视角的交锋。我也学会了倾听和包容。</w:t>
      </w:r>
    </w:p>
    <w:p w14:paraId="16DFE8EE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朱骏宇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：负责“下一步设想”让我认识到，研究性学习不能止步于写报告。我们计划后续与社团合作举办小型文化活动，哪怕只是摆一个湘绣体验摊位，也是“知行合一”的体现。在设想具体步骤时，我反复考虑可行性：时间、场地、经费、人员分工。这让我锻炼了项目策划能力，也明白了“敢为人先”不一定要做惊天动地的事，迈出第一步就是成功。</w:t>
      </w:r>
    </w:p>
    <w:p w14:paraId="79E2755B">
      <w:pPr>
        <w:pStyle w:val="6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480" w:firstLineChars="200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王云超</w:t>
      </w:r>
      <w:r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：作为组长，我需要协调五个人的时间、分工和进度。我们课表不同，只能晚上线上讨论，有时还会因为观点不同而争执。但正是这些磨合，让我学会了沟通技巧和责任担当。看到大家为了查一个资料熬夜、为了一个措辞反复修改，我由衷感动。这次学习不仅提升了我的组织能力，更让我收获了珍贵的友谊和团队精神。我相信，这种协作经验将受益终生。</w:t>
      </w:r>
    </w:p>
    <w:p w14:paraId="34FD2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C00000"/>
          <w:kern w:val="0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304" w:right="1304" w:bottom="1304" w:left="130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20106090300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51F58">
    <w:pPr>
      <w:pStyle w:val="5"/>
      <w:jc w:val="right"/>
      <w:rPr>
        <w:rFonts w:eastAsia="仿宋_GB2312"/>
        <w:sz w:val="28"/>
        <w:szCs w:val="28"/>
      </w:rPr>
    </w:pPr>
    <w:r>
      <w:rPr>
        <w:rFonts w:eastAsia="仿宋_GB2312"/>
        <w:sz w:val="28"/>
        <w:szCs w:val="28"/>
      </w:rPr>
      <w:t>－</w:t>
    </w:r>
    <w:r>
      <w:rPr>
        <w:rFonts w:hint="eastAsia" w:eastAsia="仿宋_GB2312"/>
        <w:sz w:val="28"/>
        <w:szCs w:val="28"/>
      </w:rPr>
      <w:t xml:space="preserve"> </w:t>
    </w:r>
    <w:r>
      <w:rPr>
        <w:rFonts w:eastAsia="仿宋_GB2312"/>
        <w:sz w:val="28"/>
        <w:szCs w:val="28"/>
      </w:rPr>
      <w:fldChar w:fldCharType="begin"/>
    </w:r>
    <w:r>
      <w:rPr>
        <w:rFonts w:eastAsia="仿宋_GB2312"/>
        <w:sz w:val="28"/>
        <w:szCs w:val="28"/>
      </w:rPr>
      <w:instrText xml:space="preserve">PAGE   \* MERGEFORMAT</w:instrText>
    </w:r>
    <w:r>
      <w:rPr>
        <w:rFonts w:eastAsia="仿宋_GB2312"/>
        <w:sz w:val="28"/>
        <w:szCs w:val="28"/>
      </w:rPr>
      <w:fldChar w:fldCharType="separate"/>
    </w:r>
    <w:r>
      <w:rPr>
        <w:rFonts w:eastAsia="仿宋_GB2312"/>
        <w:sz w:val="28"/>
        <w:szCs w:val="28"/>
        <w:lang w:val="zh-CN"/>
      </w:rPr>
      <w:t>21</w:t>
    </w:r>
    <w:r>
      <w:rPr>
        <w:rFonts w:eastAsia="仿宋_GB2312"/>
        <w:sz w:val="28"/>
        <w:szCs w:val="28"/>
      </w:rPr>
      <w:fldChar w:fldCharType="end"/>
    </w:r>
    <w:r>
      <w:rPr>
        <w:rFonts w:eastAsia="仿宋_GB2312"/>
        <w:sz w:val="28"/>
        <w:szCs w:val="28"/>
      </w:rPr>
      <w:t xml:space="preserve"> 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74655"/>
    <w:rsid w:val="177F3F79"/>
    <w:rsid w:val="19F61241"/>
    <w:rsid w:val="1E646584"/>
    <w:rsid w:val="2A506019"/>
    <w:rsid w:val="430B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customStyle="1" w:styleId="11">
    <w:name w:val="批注框文本 Char"/>
    <w:basedOn w:val="9"/>
    <w:link w:val="4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C4E7E5-1F94-4C8F-94C7-D5DEE603FC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4740</Words>
  <Characters>4764</Characters>
  <Paragraphs>106</Paragraphs>
  <TotalTime>11</TotalTime>
  <ScaleCrop>false</ScaleCrop>
  <LinksUpToDate>false</LinksUpToDate>
  <CharactersWithSpaces>4918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2019-08-21T08:23:00Z</dcterms:created>
  <dc:creator>李正军</dc:creator>
  <cp:lastModifiedBy>王云超0110</cp:lastModifiedBy>
  <cp:lastPrinted>2026-05-25T14:03:48Z</cp:lastPrinted>
  <dcterms:modified xsi:type="dcterms:W3CDTF">2026-05-25T14:06:54Z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E3252F81BD794F8F9B6852B72E58219D_13</vt:lpwstr>
  </property>
  <property fmtid="{D5CDD505-2E9C-101B-9397-08002B2CF9AE}" pid="4" name="KSOTemplateDocerSaveRecord">
    <vt:lpwstr>eyJoZGlkIjoiMzNhMDNkMGFhOTM3ZTljMTgzOGM5ZTMyYmI1MjgyNTYiLCJ1c2VySWQiOiIxODIyNDE0MjI2In0=</vt:lpwstr>
  </property>
</Properties>
</file>