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35C7A">
      <w:pPr>
        <w:spacing w:before="960" w:beforeLines="400"/>
        <w:jc w:val="center"/>
        <w:rPr>
          <w:rFonts w:hint="eastAsia" w:ascii="黑体" w:hAnsi="黑体" w:eastAsia="黑体"/>
          <w:b/>
          <w:sz w:val="48"/>
        </w:rPr>
      </w:pPr>
      <w:r>
        <w:rPr>
          <w:rFonts w:hint="eastAsia" w:ascii="黑体" w:hAnsi="黑体" w:eastAsia="黑体"/>
          <w:sz w:val="56"/>
        </w:rPr>
        <w:t>电</w:t>
      </w:r>
      <w:r>
        <w:rPr>
          <w:rFonts w:ascii="黑体" w:hAnsi="黑体" w:eastAsia="黑体"/>
          <w:sz w:val="56"/>
        </w:rPr>
        <w:t xml:space="preserve"> </w:t>
      </w:r>
      <w:r>
        <w:rPr>
          <w:rFonts w:hint="eastAsia" w:ascii="黑体" w:hAnsi="黑体" w:eastAsia="黑体"/>
          <w:sz w:val="56"/>
        </w:rPr>
        <w:t>子</w:t>
      </w:r>
      <w:r>
        <w:rPr>
          <w:rFonts w:ascii="黑体" w:hAnsi="黑体" w:eastAsia="黑体"/>
          <w:sz w:val="56"/>
        </w:rPr>
        <w:t xml:space="preserve"> </w:t>
      </w:r>
      <w:r>
        <w:rPr>
          <w:rFonts w:hint="eastAsia" w:ascii="黑体" w:hAnsi="黑体" w:eastAsia="黑体"/>
          <w:sz w:val="56"/>
        </w:rPr>
        <w:t>科</w:t>
      </w:r>
      <w:r>
        <w:rPr>
          <w:rFonts w:ascii="黑体" w:hAnsi="黑体" w:eastAsia="黑体"/>
          <w:sz w:val="56"/>
        </w:rPr>
        <w:t xml:space="preserve"> </w:t>
      </w:r>
      <w:r>
        <w:rPr>
          <w:rFonts w:hint="eastAsia" w:ascii="黑体" w:hAnsi="黑体" w:eastAsia="黑体"/>
          <w:sz w:val="56"/>
        </w:rPr>
        <w:t>技</w:t>
      </w:r>
      <w:r>
        <w:rPr>
          <w:rFonts w:ascii="黑体" w:hAnsi="黑体" w:eastAsia="黑体"/>
          <w:sz w:val="56"/>
        </w:rPr>
        <w:t xml:space="preserve"> </w:t>
      </w:r>
      <w:r>
        <w:rPr>
          <w:rFonts w:hint="eastAsia" w:ascii="黑体" w:hAnsi="黑体" w:eastAsia="黑体"/>
          <w:sz w:val="56"/>
        </w:rPr>
        <w:t>大</w:t>
      </w:r>
      <w:r>
        <w:rPr>
          <w:rFonts w:ascii="黑体" w:hAnsi="黑体" w:eastAsia="黑体"/>
          <w:sz w:val="56"/>
        </w:rPr>
        <w:t xml:space="preserve"> </w:t>
      </w:r>
      <w:r>
        <w:rPr>
          <w:rFonts w:hint="eastAsia" w:ascii="黑体" w:hAnsi="黑体" w:eastAsia="黑体"/>
          <w:sz w:val="56"/>
        </w:rPr>
        <w:t>学</w:t>
      </w:r>
    </w:p>
    <w:p w14:paraId="30EF93A1">
      <w:pPr>
        <w:spacing w:before="240" w:beforeLines="100" w:after="2160" w:afterLines="900"/>
        <w:jc w:val="center"/>
        <w:rPr>
          <w:rFonts w:hint="eastAsia" w:ascii="黑体" w:hAnsi="黑体" w:eastAsia="黑体"/>
          <w:spacing w:val="50"/>
          <w:sz w:val="46"/>
          <w:szCs w:val="46"/>
        </w:rPr>
      </w:pPr>
      <w:r>
        <w:rPr>
          <w:rFonts w:hint="eastAsia" w:ascii="黑体" w:hAnsi="黑体" w:eastAsia="黑体"/>
          <w:spacing w:val="50"/>
          <w:sz w:val="46"/>
          <w:szCs w:val="46"/>
        </w:rPr>
        <w:t>学术学位研究生学位论文中期考评表</w:t>
      </w:r>
    </w:p>
    <w:p w14:paraId="71FF631F">
      <w:pPr>
        <w:tabs>
          <w:tab w:val="left" w:pos="1276"/>
        </w:tabs>
        <w:spacing w:after="360" w:afterLines="150"/>
        <w:rPr>
          <w:rFonts w:ascii="楷体" w:eastAsia="楷体"/>
          <w:sz w:val="30"/>
          <w:u w:val="single"/>
        </w:rPr>
      </w:pPr>
      <w:r>
        <w:rPr>
          <w:rFonts w:ascii="黑体" w:eastAsia="黑体"/>
          <w:sz w:val="30"/>
        </w:rPr>
        <w:tab/>
      </w:r>
      <w:r>
        <w:rPr>
          <w:rFonts w:hint="eastAsia" w:ascii="黑体" w:eastAsia="黑体"/>
          <w:sz w:val="30"/>
        </w:rPr>
        <w:t xml:space="preserve">攻读学位级别： </w:t>
      </w:r>
      <w:r>
        <w:rPr>
          <w:rFonts w:hint="eastAsia" w:ascii="黑体" w:hAnsi="黑体" w:eastAsia="黑体"/>
          <w:sz w:val="30"/>
          <w:szCs w:val="30"/>
        </w:rPr>
        <w:t xml:space="preserve">□博士   </w:t>
      </w:r>
      <w:r>
        <w:rPr>
          <w:rFonts w:ascii="黑体" w:hAnsi="黑体" w:eastAsia="黑体"/>
          <w:sz w:val="30"/>
          <w:szCs w:val="30"/>
        </w:rPr>
        <w:t xml:space="preserve">     </w:t>
      </w:r>
      <w:r>
        <w:rPr>
          <w:rFonts w:hint="eastAsia" w:ascii="黑体" w:hAnsi="黑体" w:eastAsia="黑体"/>
          <w:sz w:val="30"/>
          <w:szCs w:val="30"/>
        </w:rPr>
        <w:t>☑硕士</w:t>
      </w:r>
    </w:p>
    <w:p w14:paraId="6D8AA215">
      <w:pPr>
        <w:tabs>
          <w:tab w:val="left" w:pos="1276"/>
        </w:tabs>
        <w:spacing w:after="360" w:afterLines="150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w:tab/>
      </w:r>
      <w:r>
        <w:rPr>
          <w:rFonts w:hint="eastAsia" w:ascii="黑体" w:eastAsia="黑体"/>
          <w:spacing w:val="100"/>
          <w:kern w:val="0"/>
          <w:sz w:val="30"/>
          <w:fitText w:val="1800" w:id="1786951430"/>
        </w:rPr>
        <w:t>学科专</w:t>
      </w:r>
      <w:r>
        <w:rPr>
          <w:rFonts w:hint="eastAsia" w:ascii="黑体" w:eastAsia="黑体"/>
          <w:spacing w:val="0"/>
          <w:kern w:val="0"/>
          <w:sz w:val="30"/>
          <w:fitText w:val="1800" w:id="1786951430"/>
        </w:rPr>
        <w:t>业</w:t>
      </w:r>
      <w:r>
        <w:rPr>
          <w:rFonts w:hint="eastAsia" w:ascii="黑体" w:eastAsia="黑体"/>
          <w:sz w:val="30"/>
        </w:rPr>
        <w:t>：</w:t>
      </w:r>
      <w:r>
        <w:rPr>
          <w:rFonts w:hint="eastAsia" w:ascii="黑体" w:eastAsia="黑体"/>
          <w:sz w:val="30"/>
          <w:u w:val="single"/>
        </w:rPr>
        <w:t xml:space="preserve">         信息与通信工程      </w:t>
      </w:r>
    </w:p>
    <w:p w14:paraId="7A78E959">
      <w:pPr>
        <w:tabs>
          <w:tab w:val="left" w:pos="1276"/>
        </w:tabs>
        <w:spacing w:after="360" w:afterLines="150"/>
        <w:rPr>
          <w:rFonts w:ascii="楷体" w:eastAsia="楷体"/>
          <w:sz w:val="30"/>
          <w:u w:val="single"/>
        </w:rPr>
      </w:pPr>
      <w:r>
        <w:rPr>
          <w:rFonts w:ascii="黑体" w:eastAsia="黑体"/>
          <w:sz w:val="30"/>
        </w:rPr>
        <w:tab/>
      </w:r>
      <w:r>
        <w:rPr>
          <w:rFonts w:hint="eastAsia" w:ascii="黑体" w:eastAsia="黑体"/>
          <w:sz w:val="30"/>
        </w:rPr>
        <w:t xml:space="preserve">学 </w:t>
      </w:r>
      <w:r>
        <w:rPr>
          <w:rFonts w:ascii="黑体" w:eastAsia="黑体"/>
          <w:sz w:val="30"/>
        </w:rPr>
        <w:t xml:space="preserve">       </w:t>
      </w:r>
      <w:r>
        <w:rPr>
          <w:rFonts w:hint="eastAsia" w:ascii="黑体" w:eastAsia="黑体"/>
          <w:sz w:val="30"/>
        </w:rPr>
        <w:t>院：</w:t>
      </w:r>
      <w:r>
        <w:rPr>
          <w:rFonts w:hint="eastAsia" w:ascii="黑体" w:eastAsia="黑体"/>
          <w:sz w:val="30"/>
          <w:u w:val="single"/>
        </w:rPr>
        <w:t xml:space="preserve">         信息与通信工程学院  </w:t>
      </w:r>
    </w:p>
    <w:p w14:paraId="0B9D06ED">
      <w:pPr>
        <w:tabs>
          <w:tab w:val="left" w:pos="1276"/>
        </w:tabs>
        <w:spacing w:after="360" w:afterLines="150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w:tab/>
      </w:r>
      <w:r>
        <w:rPr>
          <w:rFonts w:hint="eastAsia" w:ascii="黑体" w:eastAsia="黑体"/>
          <w:sz w:val="30"/>
        </w:rPr>
        <w:t xml:space="preserve">学 </w:t>
      </w:r>
      <w:r>
        <w:rPr>
          <w:rFonts w:ascii="黑体" w:eastAsia="黑体"/>
          <w:sz w:val="30"/>
        </w:rPr>
        <w:t xml:space="preserve">       </w:t>
      </w:r>
      <w:r>
        <w:rPr>
          <w:rFonts w:hint="eastAsia" w:ascii="黑体" w:eastAsia="黑体"/>
          <w:sz w:val="30"/>
        </w:rPr>
        <w:t>号：</w:t>
      </w:r>
      <w:r>
        <w:rPr>
          <w:rFonts w:hint="eastAsia" w:ascii="黑体" w:eastAsia="黑体"/>
          <w:sz w:val="30"/>
          <w:u w:val="single"/>
        </w:rPr>
        <w:t xml:space="preserve">          </w:t>
      </w:r>
      <w:r>
        <w:rPr>
          <w:rFonts w:ascii="黑体" w:eastAsia="黑体"/>
          <w:sz w:val="30"/>
          <w:u w:val="single"/>
        </w:rPr>
        <w:t>202421011127</w:t>
      </w:r>
      <w:r>
        <w:rPr>
          <w:rFonts w:hint="eastAsia" w:ascii="黑体" w:eastAsia="黑体"/>
          <w:sz w:val="30"/>
          <w:u w:val="single"/>
        </w:rPr>
        <w:t xml:space="preserve">  </w:t>
      </w:r>
      <w:r>
        <w:rPr>
          <w:rFonts w:ascii="黑体" w:eastAsia="黑体"/>
          <w:sz w:val="30"/>
          <w:u w:val="single"/>
        </w:rPr>
        <w:t xml:space="preserve">  </w:t>
      </w:r>
      <w:r>
        <w:rPr>
          <w:rFonts w:hint="eastAsia" w:ascii="黑体" w:eastAsia="黑体"/>
          <w:sz w:val="30"/>
          <w:u w:val="single"/>
        </w:rPr>
        <w:t xml:space="preserve">   </w:t>
      </w:r>
    </w:p>
    <w:p w14:paraId="221F74DC">
      <w:pPr>
        <w:tabs>
          <w:tab w:val="left" w:pos="1276"/>
        </w:tabs>
        <w:spacing w:after="360" w:afterLines="150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w:tab/>
      </w:r>
      <w:r>
        <w:rPr>
          <w:rFonts w:hint="eastAsia" w:ascii="黑体" w:eastAsia="黑体"/>
          <w:sz w:val="30"/>
        </w:rPr>
        <w:t xml:space="preserve">姓  </w:t>
      </w:r>
      <w:r>
        <w:rPr>
          <w:rFonts w:ascii="黑体" w:eastAsia="黑体"/>
          <w:sz w:val="30"/>
        </w:rPr>
        <w:t xml:space="preserve">     </w:t>
      </w:r>
      <w:r>
        <w:rPr>
          <w:rFonts w:hint="eastAsia" w:ascii="黑体" w:eastAsia="黑体"/>
          <w:sz w:val="30"/>
        </w:rPr>
        <w:t xml:space="preserve"> 名：</w:t>
      </w:r>
      <w:r>
        <w:rPr>
          <w:rFonts w:hint="eastAsia" w:ascii="黑体" w:eastAsia="黑体"/>
          <w:sz w:val="30"/>
          <w:u w:val="single"/>
        </w:rPr>
        <w:t xml:space="preserve">           陈俊峰     </w:t>
      </w:r>
      <w:r>
        <w:rPr>
          <w:rFonts w:ascii="黑体" w:eastAsia="黑体"/>
          <w:sz w:val="30"/>
          <w:u w:val="single"/>
        </w:rPr>
        <w:t xml:space="preserve">   </w:t>
      </w:r>
      <w:r>
        <w:rPr>
          <w:rFonts w:hint="eastAsia" w:ascii="黑体" w:eastAsia="黑体"/>
          <w:sz w:val="30"/>
          <w:u w:val="single"/>
        </w:rPr>
        <w:t xml:space="preserve">    </w:t>
      </w:r>
    </w:p>
    <w:p w14:paraId="2BD2EFB1">
      <w:pPr>
        <w:tabs>
          <w:tab w:val="left" w:pos="1276"/>
        </w:tabs>
        <w:spacing w:after="360" w:afterLines="150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w:tab/>
      </w:r>
      <w:r>
        <w:rPr>
          <w:rFonts w:hint="eastAsia" w:ascii="黑体" w:eastAsia="黑体"/>
          <w:spacing w:val="100"/>
          <w:kern w:val="0"/>
          <w:sz w:val="30"/>
          <w:fitText w:val="1800" w:id="1786951431"/>
        </w:rPr>
        <w:t>论文题</w:t>
      </w:r>
      <w:r>
        <w:rPr>
          <w:rFonts w:hint="eastAsia" w:ascii="黑体" w:eastAsia="黑体"/>
          <w:spacing w:val="0"/>
          <w:kern w:val="0"/>
          <w:sz w:val="30"/>
          <w:fitText w:val="1800" w:id="1786951431"/>
        </w:rPr>
        <w:t>目</w:t>
      </w:r>
      <w:r>
        <w:rPr>
          <w:rFonts w:hint="eastAsia" w:ascii="黑体" w:eastAsia="黑体"/>
          <w:sz w:val="30"/>
        </w:rPr>
        <w:t>：</w:t>
      </w:r>
      <w:r>
        <w:rPr>
          <w:rFonts w:hint="eastAsia" w:ascii="黑体" w:eastAsia="黑体"/>
          <w:sz w:val="30"/>
          <w:u w:val="single"/>
        </w:rPr>
        <w:t xml:space="preserve">   基于自适应无线数能内生    </w:t>
      </w:r>
    </w:p>
    <w:p w14:paraId="564235FC">
      <w:pPr>
        <w:tabs>
          <w:tab w:val="left" w:pos="1276"/>
        </w:tabs>
        <w:spacing w:after="360" w:afterLines="150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w:tab/>
      </w:r>
      <w:r>
        <w:rPr>
          <w:rFonts w:hint="eastAsia" w:ascii="黑体" w:eastAsia="黑体"/>
          <w:sz w:val="30"/>
        </w:rPr>
        <w:t xml:space="preserve">         </w:t>
      </w:r>
      <w:r>
        <w:rPr>
          <w:rFonts w:ascii="黑体" w:eastAsia="黑体"/>
          <w:sz w:val="30"/>
        </w:rPr>
        <w:t xml:space="preserve">    </w:t>
      </w:r>
      <w:r>
        <w:rPr>
          <w:rFonts w:hint="eastAsia" w:ascii="黑体" w:eastAsia="黑体"/>
          <w:sz w:val="30"/>
        </w:rPr>
        <w:t xml:space="preserve"> </w:t>
      </w:r>
      <w:r>
        <w:rPr>
          <w:rFonts w:hint="eastAsia" w:ascii="黑体" w:eastAsia="黑体"/>
          <w:sz w:val="30"/>
          <w:u w:val="single"/>
        </w:rPr>
        <w:t xml:space="preserve">   传输的编码方案研究      </w:t>
      </w:r>
      <w:r>
        <w:rPr>
          <w:rFonts w:ascii="黑体" w:eastAsia="黑体"/>
          <w:sz w:val="30"/>
          <w:u w:val="single"/>
        </w:rPr>
        <w:t xml:space="preserve"> </w:t>
      </w:r>
      <w:r>
        <w:rPr>
          <w:rFonts w:hint="eastAsia" w:ascii="黑体" w:eastAsia="黑体"/>
          <w:sz w:val="30"/>
          <w:u w:val="single"/>
        </w:rPr>
        <w:t xml:space="preserve"> </w:t>
      </w:r>
    </w:p>
    <w:p w14:paraId="451DF8D6">
      <w:pPr>
        <w:tabs>
          <w:tab w:val="left" w:pos="1276"/>
        </w:tabs>
        <w:spacing w:after="360" w:afterLines="150"/>
        <w:rPr>
          <w:rFonts w:ascii="黑体" w:eastAsia="黑体"/>
          <w:sz w:val="30"/>
          <w:u w:val="single"/>
        </w:rPr>
      </w:pPr>
      <w:r>
        <w:rPr>
          <w:rFonts w:ascii="黑体" w:eastAsia="黑体"/>
          <w:sz w:val="30"/>
        </w:rPr>
        <w:tab/>
      </w:r>
      <w:r>
        <w:rPr>
          <w:rFonts w:hint="eastAsia" w:ascii="黑体" w:eastAsia="黑体"/>
          <w:spacing w:val="100"/>
          <w:kern w:val="0"/>
          <w:sz w:val="30"/>
          <w:fitText w:val="1800" w:id="1786951432"/>
        </w:rPr>
        <w:t>指导教</w:t>
      </w:r>
      <w:r>
        <w:rPr>
          <w:rFonts w:hint="eastAsia" w:ascii="黑体" w:eastAsia="黑体"/>
          <w:spacing w:val="0"/>
          <w:kern w:val="0"/>
          <w:sz w:val="30"/>
          <w:fitText w:val="1800" w:id="1786951432"/>
        </w:rPr>
        <w:t>师</w:t>
      </w:r>
      <w:r>
        <w:rPr>
          <w:rFonts w:hint="eastAsia" w:ascii="黑体" w:eastAsia="黑体"/>
          <w:sz w:val="30"/>
        </w:rPr>
        <w:t>：</w:t>
      </w:r>
      <w:r>
        <w:rPr>
          <w:rFonts w:hint="eastAsia" w:ascii="黑体" w:eastAsia="黑体"/>
          <w:sz w:val="30"/>
          <w:u w:val="single"/>
        </w:rPr>
        <w:t xml:space="preserve">           </w:t>
      </w:r>
      <w:r>
        <w:rPr>
          <w:rFonts w:hint="default" w:ascii="黑体" w:eastAsia="黑体"/>
          <w:sz w:val="30"/>
          <w:u w:val="single"/>
          <w:lang w:val="en-US"/>
        </w:rPr>
        <w:t>赵毅哲</w:t>
      </w:r>
      <w:r>
        <w:rPr>
          <w:rFonts w:hint="eastAsia" w:ascii="黑体" w:eastAsia="黑体"/>
          <w:sz w:val="30"/>
          <w:u w:val="single"/>
        </w:rPr>
        <w:t xml:space="preserve">          </w:t>
      </w:r>
      <w:r>
        <w:rPr>
          <w:rFonts w:ascii="黑体" w:eastAsia="黑体"/>
          <w:sz w:val="30"/>
          <w:u w:val="single"/>
        </w:rPr>
        <w:t xml:space="preserve"> </w:t>
      </w:r>
      <w:r>
        <w:rPr>
          <w:rFonts w:hint="eastAsia" w:ascii="黑体" w:eastAsia="黑体"/>
          <w:sz w:val="30"/>
          <w:u w:val="single"/>
        </w:rPr>
        <w:t xml:space="preserve"> </w:t>
      </w:r>
    </w:p>
    <w:p w14:paraId="29DFFFFD">
      <w:pPr>
        <w:tabs>
          <w:tab w:val="left" w:pos="1276"/>
        </w:tabs>
        <w:spacing w:after="360" w:afterLines="150"/>
        <w:rPr>
          <w:rFonts w:ascii="黑体" w:eastAsia="黑体"/>
          <w:sz w:val="30"/>
          <w:u w:val="single"/>
        </w:rPr>
      </w:pPr>
      <w:r>
        <w:rPr>
          <w:rFonts w:ascii="黑体" w:eastAsia="黑体"/>
          <w:sz w:val="30"/>
        </w:rPr>
        <w:t>填表日期：   2026   年   9   月   20   日</w:t>
      </w:r>
    </w:p>
    <w:p w14:paraId="116C4303">
      <w:pPr>
        <w:spacing w:before="1680" w:beforeLines="700"/>
        <w:jc w:val="center"/>
        <w:rPr>
          <w:rFonts w:ascii="楷体" w:eastAsia="楷体"/>
          <w:sz w:val="32"/>
        </w:rPr>
      </w:pPr>
      <w:r>
        <w:rPr>
          <w:rFonts w:hint="eastAsia" w:ascii="楷体" w:eastAsia="楷体"/>
          <w:sz w:val="32"/>
        </w:rPr>
        <w:t>电子科技大学研究生院</w:t>
      </w:r>
    </w:p>
    <w:p w14:paraId="0153831D">
      <w:pPr>
        <w:spacing w:before="1680" w:beforeLines="700"/>
        <w:ind w:firstLine="3210"/>
        <w:jc w:val="left"/>
        <w:rPr>
          <w:rFonts w:ascii="楷体" w:eastAsia="楷体"/>
          <w:sz w:val="32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18" w:right="1191" w:bottom="1418" w:left="1474" w:header="851" w:footer="992" w:gutter="0"/>
          <w:cols w:space="425" w:num="1"/>
          <w:docGrid w:linePitch="312" w:charSpace="0"/>
        </w:sectPr>
      </w:pPr>
    </w:p>
    <w:p w14:paraId="7BD9ABC6">
      <w:pPr>
        <w:numPr>
          <w:ilvl w:val="0"/>
          <w:numId w:val="1"/>
        </w:numPr>
        <w:rPr>
          <w:rFonts w:hint="eastAsia" w:ascii="黑体" w:hAnsi="黑体" w:eastAsia="黑体"/>
          <w:bCs/>
          <w:sz w:val="28"/>
        </w:rPr>
      </w:pPr>
      <w:r>
        <w:rPr>
          <w:rFonts w:hint="eastAsia" w:ascii="黑体" w:hAnsi="黑体" w:eastAsia="黑体"/>
          <w:bCs/>
          <w:sz w:val="28"/>
        </w:rPr>
        <w:t>已完成的主要工作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5451"/>
        <w:gridCol w:w="4301"/>
      </w:tblGrid>
      <w:tr w14:paraId="557A3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5000" w:type="pct"/>
            <w:gridSpan w:val="2"/>
            <w:vAlign w:val="center"/>
          </w:tcPr>
          <w:p w14:paraId="689FCCA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1</w:t>
            </w:r>
            <w:r>
              <w:rPr>
                <w:rFonts w:ascii="宋体" w:hAnsi="宋体"/>
                <w:b/>
                <w:sz w:val="24"/>
              </w:rPr>
              <w:t>.</w:t>
            </w:r>
            <w:r>
              <w:rPr>
                <w:rFonts w:hint="eastAsia" w:ascii="宋体" w:hAnsi="宋体"/>
                <w:b/>
                <w:sz w:val="24"/>
              </w:rPr>
              <w:t>开题报告通过时间：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  </w:t>
            </w:r>
            <w:r>
              <w:rPr>
                <w:rFonts w:hint="default" w:ascii="宋体" w:hAnsi="宋体"/>
                <w:sz w:val="24"/>
                <w:u w:val="single"/>
                <w:lang w:val="en-US"/>
              </w:rPr>
              <w:t>2025</w:t>
            </w:r>
            <w:r>
              <w:rPr>
                <w:rFonts w:ascii="宋体" w:hAnsi="宋体"/>
                <w:sz w:val="24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default" w:ascii="宋体" w:hAnsi="宋体"/>
                <w:sz w:val="24"/>
                <w:u w:val="single"/>
                <w:lang w:val="en-US"/>
              </w:rPr>
              <w:t>10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default" w:ascii="宋体" w:hAnsi="宋体"/>
                <w:sz w:val="24"/>
                <w:u w:val="single"/>
                <w:lang w:val="en-US"/>
              </w:rPr>
              <w:t>20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日</w:t>
            </w:r>
          </w:p>
        </w:tc>
      </w:tr>
      <w:tr w14:paraId="439D2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340" w:hRule="atLeast"/>
          <w:jc w:val="center"/>
        </w:trPr>
        <w:tc>
          <w:tcPr>
            <w:tcW w:w="5000" w:type="pct"/>
            <w:gridSpan w:val="2"/>
            <w:vAlign w:val="center"/>
          </w:tcPr>
          <w:p w14:paraId="4BDEF656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 xml:space="preserve">2. </w:t>
            </w:r>
            <w:r>
              <w:rPr>
                <w:rFonts w:hint="eastAsia" w:ascii="宋体" w:hAnsi="宋体"/>
                <w:b/>
                <w:sz w:val="24"/>
              </w:rPr>
              <w:t>课程学习情况</w:t>
            </w:r>
          </w:p>
        </w:tc>
      </w:tr>
      <w:tr w14:paraId="4CAD0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340" w:hRule="atLeast"/>
          <w:jc w:val="center"/>
        </w:trPr>
        <w:tc>
          <w:tcPr>
            <w:tcW w:w="2795" w:type="pct"/>
            <w:vAlign w:val="center"/>
          </w:tcPr>
          <w:p w14:paraId="7E893643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是否已达到培养方案规定的学分要求</w:t>
            </w:r>
          </w:p>
        </w:tc>
        <w:tc>
          <w:tcPr>
            <w:tcW w:w="2205" w:type="pct"/>
            <w:vAlign w:val="center"/>
          </w:tcPr>
          <w:p w14:paraId="70F39BCD">
            <w:pPr>
              <w:rPr>
                <w:rFonts w:hint="eastAsia" w:ascii="宋体" w:hAnsi="宋体"/>
                <w:sz w:val="24"/>
              </w:rPr>
            </w:pPr>
            <w:r>
              <w:rPr>
                <w:rFonts w:hint="default" w:ascii="宋体" w:hAnsi="宋体"/>
                <w:sz w:val="24"/>
                <w:lang w:val="en-US"/>
              </w:rPr>
              <w:t>□</w:t>
            </w:r>
            <w:r>
              <w:rPr>
                <w:rFonts w:hint="eastAsia" w:ascii="宋体" w:hAnsi="宋体"/>
                <w:sz w:val="24"/>
              </w:rPr>
              <w:t xml:space="preserve">是 </w:t>
            </w:r>
            <w:r>
              <w:rPr>
                <w:rFonts w:ascii="宋体" w:hAnsi="宋体"/>
                <w:sz w:val="24"/>
              </w:rPr>
              <w:t xml:space="preserve">  </w:t>
            </w:r>
            <w:r>
              <w:rPr>
                <w:rFonts w:hint="default" w:ascii="宋体" w:hAnsi="宋体"/>
                <w:sz w:val="24"/>
                <w:lang w:val="en-US"/>
              </w:rPr>
              <w:t>☑</w:t>
            </w:r>
            <w:r>
              <w:rPr>
                <w:rFonts w:hint="eastAsia" w:ascii="宋体" w:hAnsi="宋体"/>
                <w:sz w:val="24"/>
              </w:rPr>
              <w:t>否</w:t>
            </w:r>
          </w:p>
        </w:tc>
      </w:tr>
      <w:tr w14:paraId="12C92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5000" w:type="pct"/>
            <w:gridSpan w:val="2"/>
            <w:vAlign w:val="center"/>
          </w:tcPr>
          <w:p w14:paraId="2E33CB2B">
            <w:pPr>
              <w:tabs>
                <w:tab w:val="left" w:pos="6182"/>
              </w:tabs>
              <w:spacing w:after="102" w:afterLines="32" w:afterAutospacing="0"/>
              <w:rPr>
                <w:rFonts w:hint="default"/>
                <w:lang w:val="en-US"/>
              </w:rPr>
            </w:pPr>
            <w:r>
              <w:rPr>
                <w:rFonts w:ascii="宋体" w:hAnsi="宋体"/>
                <w:b/>
                <w:sz w:val="24"/>
              </w:rPr>
              <w:t>3</w:t>
            </w:r>
            <w:r>
              <w:rPr>
                <w:rFonts w:hint="eastAsia" w:ascii="宋体" w:hAnsi="宋体"/>
                <w:b/>
                <w:sz w:val="24"/>
              </w:rPr>
              <w:t>.</w:t>
            </w:r>
            <w:r>
              <w:rPr>
                <w:rFonts w:ascii="宋体" w:hAnsi="宋体"/>
                <w:b/>
                <w:sz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</w:rPr>
              <w:t>论文研究进展</w:t>
            </w:r>
            <w:r>
              <w:rPr>
                <w:rFonts w:hint="default" w:ascii="宋体" w:hAnsi="宋体"/>
                <w:b/>
                <w:sz w:val="24"/>
                <w:lang w:val="en-US"/>
              </w:rPr>
              <w:tab/>
            </w:r>
          </w:p>
        </w:tc>
      </w:tr>
      <w:tr w14:paraId="2D62F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1488" w:hRule="atLeast"/>
          <w:jc w:val="center"/>
        </w:trPr>
        <w:tc>
          <w:tcPr>
            <w:tcW w:w="5000" w:type="pct"/>
            <w:gridSpan w:val="2"/>
          </w:tcPr>
          <w:p w14:paraId="51BE5A6E">
            <w:pPr>
              <w:keepNext/>
              <w:numPr>
                <w:ilvl w:val="0"/>
                <w:numId w:val="2"/>
              </w:numPr>
              <w:spacing w:before="120"/>
              <w:rPr>
                <w:rFonts w:hint="default"/>
                <w:b/>
                <w:color w:val="000000"/>
                <w:sz w:val="24"/>
                <w:lang w:val="en-US"/>
              </w:rPr>
            </w:pPr>
            <w:r>
              <w:rPr>
                <w:b/>
                <w:color w:val="000000"/>
                <w:sz w:val="24"/>
              </w:rPr>
              <w:t>高阶调制概率整形极化码仿真框架</w:t>
            </w:r>
          </w:p>
          <w:p w14:paraId="5D8EFE40">
            <w:pPr>
              <w:ind w:firstLine="480"/>
              <w:rPr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  <w:lang w:val="en-US"/>
              </w:rPr>
              <w:t>本阶段在16QAM概率整形极化码方案初步完成的基础上，将编码前通过预编码达到概率整形效果的整形方案推广到了8QAM、32QAM、64QAM。链路均经过概率整形、编码、Gray QAM映射、AWGN信道、LLR计算、译码。</w:t>
            </w:r>
          </w:p>
          <w:p w14:paraId="1405EDD7">
            <w:pPr>
              <w:keepNext/>
              <w:spacing w:before="60"/>
            </w:pPr>
            <w:r>
              <w:rPr>
                <w:b/>
                <w:color w:val="000000"/>
                <w:sz w:val="24"/>
              </w:rPr>
              <w:t>1、</w:t>
            </w:r>
            <w:r>
              <w:rPr>
                <w:rFonts w:hint="default"/>
                <w:b/>
                <w:color w:val="000000"/>
                <w:sz w:val="24"/>
                <w:lang w:val="en-US"/>
              </w:rPr>
              <w:t>通用框架</w:t>
            </w:r>
            <w:r>
              <w:rPr>
                <w:b/>
                <w:color w:val="000000"/>
                <w:sz w:val="24"/>
              </w:rPr>
              <w:t>验证</w:t>
            </w:r>
          </w:p>
          <w:p w14:paraId="0107F172">
            <w:pPr>
              <w:ind w:firstLine="480"/>
              <w:rPr>
                <w:rFonts w:hint="default"/>
                <w:color w:val="000000"/>
                <w:sz w:val="24"/>
                <w:lang w:val="en-US"/>
              </w:rPr>
            </w:pPr>
            <w:r>
              <w:rPr>
                <w:rFonts w:hint="default"/>
                <w:color w:val="000000"/>
                <w:sz w:val="24"/>
                <w:lang w:val="en-US"/>
              </w:rPr>
              <w:t>通用框架通过以下门禁验证：</w:t>
            </w:r>
          </w:p>
          <w:p w14:paraId="7DAC25B4">
            <w:pPr>
              <w:numPr>
                <w:ilvl w:val="0"/>
                <w:numId w:val="3"/>
              </w:numPr>
              <w:ind w:firstLine="480"/>
              <w:rPr>
                <w:rFonts w:hint="default"/>
                <w:color w:val="000000"/>
                <w:sz w:val="24"/>
                <w:lang w:val="en-US"/>
              </w:rPr>
            </w:pPr>
            <w:r>
              <w:rPr>
                <w:rFonts w:hint="default"/>
                <w:color w:val="000000"/>
                <w:sz w:val="24"/>
                <w:lang w:val="en-US"/>
              </w:rPr>
              <w:t>概率分布：整形后，整体星座图是否符合目标（调整内外圈层分布）。</w:t>
            </w:r>
          </w:p>
          <w:p w14:paraId="69D43A47">
            <w:pPr>
              <w:numPr>
                <w:ilvl w:val="0"/>
                <w:numId w:val="3"/>
              </w:numPr>
              <w:ind w:firstLine="480"/>
              <w:rPr>
                <w:rFonts w:hint="default"/>
                <w:color w:val="000000"/>
                <w:sz w:val="24"/>
                <w:lang w:val="en-US"/>
              </w:rPr>
            </w:pPr>
            <w:r>
              <w:rPr>
                <w:rFonts w:hint="default"/>
                <w:color w:val="000000"/>
                <w:sz w:val="24"/>
                <w:lang w:val="en-US"/>
              </w:rPr>
              <w:t>BER性能：能否形成瀑布流现象。</w:t>
            </w:r>
          </w:p>
          <w:p w14:paraId="1F3C7F43">
            <w:pPr>
              <w:numPr>
                <w:ilvl w:val="0"/>
                <w:numId w:val="3"/>
              </w:numPr>
              <w:ind w:firstLine="480"/>
              <w:rPr>
                <w:rFonts w:hint="default"/>
                <w:color w:val="000000"/>
                <w:sz w:val="24"/>
                <w:lang w:val="en-US"/>
              </w:rPr>
            </w:pPr>
            <w:r>
              <w:rPr>
                <w:rFonts w:hint="default"/>
                <w:color w:val="000000"/>
                <w:sz w:val="24"/>
                <w:lang w:val="en-US"/>
              </w:rPr>
              <w:t>发送能量：能量随整形强度增加。</w:t>
            </w:r>
          </w:p>
          <w:p w14:paraId="1343DF4B">
            <w:pPr>
              <w:keepNext/>
              <w:jc w:val="center"/>
            </w:pPr>
            <w:r>
              <w:rPr>
                <w:color w:val="000000"/>
              </w:rPr>
              <w:t>表1 通用</w:t>
            </w:r>
            <w:r>
              <w:rPr>
                <w:rFonts w:hint="default"/>
                <w:color w:val="000000"/>
                <w:lang w:val="en-US"/>
              </w:rPr>
              <w:t>框架</w:t>
            </w:r>
            <w:r>
              <w:rPr>
                <w:color w:val="000000"/>
              </w:rPr>
              <w:t>验证</w:t>
            </w:r>
          </w:p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0"/>
              <w:gridCol w:w="4464"/>
            </w:tblGrid>
            <w:tr w14:paraId="7B456A7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blHeader/>
                <w:jc w:val="center"/>
              </w:trPr>
              <w:tc>
                <w:tcPr>
                  <w:tcW w:w="1800" w:type="dxa"/>
                  <w:shd w:val="clear" w:color="auto" w:fill="D9EAF7"/>
                  <w:vAlign w:val="center"/>
                </w:tcPr>
                <w:p w14:paraId="1D36F414">
                  <w:pPr>
                    <w:jc w:val="center"/>
                  </w:pPr>
                  <w:r>
                    <w:rPr>
                      <w:b/>
                      <w:color w:val="000000"/>
                    </w:rPr>
                    <w:t>验证对象</w:t>
                  </w:r>
                </w:p>
              </w:tc>
              <w:tc>
                <w:tcPr>
                  <w:tcW w:w="4464" w:type="dxa"/>
                  <w:shd w:val="clear" w:color="auto" w:fill="D9EAF7"/>
                  <w:vAlign w:val="center"/>
                </w:tcPr>
                <w:p w14:paraId="603E75FC">
                  <w:pPr>
                    <w:jc w:val="center"/>
                  </w:pPr>
                  <w:r>
                    <w:rPr>
                      <w:b/>
                      <w:color w:val="000000"/>
                    </w:rPr>
                    <w:t>通过标准</w:t>
                  </w:r>
                </w:p>
              </w:tc>
            </w:tr>
            <w:tr w14:paraId="35DF8C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0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827D499">
                  <w:pPr>
                    <w:jc w:val="center"/>
                  </w:pPr>
                  <w:r>
                    <w:rPr>
                      <w:color w:val="000000"/>
                    </w:rPr>
                    <w:t>概率分布</w:t>
                  </w:r>
                </w:p>
              </w:tc>
              <w:tc>
                <w:tcPr>
                  <w:tcW w:w="4464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2B13F47C">
                  <w:pPr>
                    <w:jc w:val="left"/>
                  </w:pPr>
                  <w:r>
                    <w:rPr>
                      <w:color w:val="000000"/>
                    </w:rPr>
                    <w:t>目标、模型和经验PMF满足阈值</w:t>
                  </w:r>
                </w:p>
              </w:tc>
            </w:tr>
            <w:tr w14:paraId="0B9E22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15" w:hRule="atLeast"/>
                <w:jc w:val="center"/>
              </w:trPr>
              <w:tc>
                <w:tcPr>
                  <w:tcW w:w="1800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9A31663">
                  <w:pPr>
                    <w:jc w:val="center"/>
                  </w:pPr>
                  <w:r>
                    <w:rPr>
                      <w:color w:val="000000"/>
                    </w:rPr>
                    <w:t>有限SNR BER</w:t>
                  </w:r>
                </w:p>
              </w:tc>
              <w:tc>
                <w:tcPr>
                  <w:tcW w:w="4464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09E9C6B">
                  <w:pPr>
                    <w:jc w:val="left"/>
                  </w:pPr>
                  <w:r>
                    <w:rPr>
                      <w:color w:val="000000"/>
                    </w:rPr>
                    <w:t>每条曲线至少2个有效点且每点不少于100个错误</w:t>
                  </w:r>
                </w:p>
              </w:tc>
            </w:tr>
            <w:tr w14:paraId="540322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0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8CDC824">
                  <w:pPr>
                    <w:jc w:val="center"/>
                  </w:pPr>
                  <w:r>
                    <w:rPr>
                      <w:color w:val="000000"/>
                    </w:rPr>
                    <w:t>发送能量</w:t>
                  </w:r>
                </w:p>
              </w:tc>
              <w:tc>
                <w:tcPr>
                  <w:tcW w:w="4464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983EC50">
                  <w:pPr>
                    <w:jc w:val="center"/>
                  </w:pPr>
                  <w:r>
                    <w:rPr>
                      <w:color w:val="000000"/>
                    </w:rPr>
                    <w:t>模型与经验能量随整形强度增加</w:t>
                  </w:r>
                </w:p>
              </w:tc>
            </w:tr>
          </w:tbl>
          <w:p w14:paraId="6F08F41E"/>
          <w:p w14:paraId="458A21D4">
            <w:pPr>
              <w:keepNext/>
              <w:spacing w:before="60"/>
            </w:pPr>
            <w:r>
              <w:rPr>
                <w:b/>
                <w:color w:val="000000"/>
                <w:sz w:val="24"/>
              </w:rPr>
              <w:t>2、概率整形与能量验证</w:t>
            </w:r>
          </w:p>
          <w:p w14:paraId="5F409077">
            <w:pPr>
              <w:ind w:firstLine="480"/>
            </w:pPr>
            <w:r>
              <w:rPr>
                <w:color w:val="000000"/>
                <w:sz w:val="24"/>
              </w:rPr>
              <w:t>概率整形参数lambda用于提高外层高能量星座点的出现概率。</w:t>
            </w:r>
            <w:r>
              <w:rPr>
                <w:rFonts w:hint="default"/>
                <w:color w:val="000000"/>
                <w:sz w:val="24"/>
                <w:lang w:val="en-US"/>
              </w:rPr>
              <w:t>相同星座图映射点全集下，</w:t>
            </w:r>
            <w:r>
              <w:rPr>
                <w:color w:val="000000"/>
                <w:sz w:val="24"/>
              </w:rPr>
              <w:t>平均发送符号能量由符号概率与星座点能量共同决定，可写为</w:t>
            </w:r>
          </w:p>
          <w:p w14:paraId="4AF305E3">
            <w:pPr>
              <w:spacing w:before="40" w:after="40"/>
              <w:jc w:val="center"/>
            </w:pPr>
            <m:oMathPara>
              <m:oMath>
                <m:r>
                  <m:rPr/>
                  <w:rPr>
                    <w:rFonts w:ascii="Cambria Math" w:hAnsi="Cambria Math"/>
                  </w:rPr>
                  <m:t>E=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</w:rPr>
                      <m:t>x∈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r>
                      <m:rPr/>
                      <w:rPr>
                        <w:rFonts w:ascii="Cambria Math" w:hAnsi="Cambria Math"/>
                      </w:rPr>
                      <m:t>P(x)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oMath>
            </m:oMathPara>
          </w:p>
          <w:p w14:paraId="6835BB71">
            <w:pPr>
              <w:ind w:firstLine="480"/>
              <w:rPr>
                <w:rFonts w:hint="default"/>
                <w:lang w:val="en-US"/>
              </w:rPr>
            </w:pPr>
            <w:r>
              <w:rPr>
                <w:rFonts w:hint="default"/>
                <w:color w:val="000000"/>
                <w:sz w:val="24"/>
                <w:lang w:val="en-US"/>
              </w:rPr>
              <w:t>下图主要衡量不同调制方式下的能量性能，</w:t>
            </w:r>
            <w:r>
              <w:rPr>
                <w:color w:val="000000"/>
                <w:sz w:val="24"/>
              </w:rPr>
              <w:t>采用N=256、每个点40帧。随着lambda增大，</w:t>
            </w:r>
            <w:r>
              <w:rPr>
                <w:rFonts w:hint="default"/>
                <w:color w:val="000000"/>
                <w:sz w:val="24"/>
                <w:lang w:val="en-US"/>
              </w:rPr>
              <w:t>所有调制方式</w:t>
            </w:r>
            <w:r>
              <w:rPr>
                <w:color w:val="000000"/>
                <w:sz w:val="24"/>
              </w:rPr>
              <w:t>的能量</w:t>
            </w:r>
            <w:r>
              <w:rPr>
                <w:rFonts w:hint="default"/>
                <w:color w:val="000000"/>
                <w:sz w:val="24"/>
                <w:lang w:val="en-US"/>
              </w:rPr>
              <w:t>性能</w:t>
            </w:r>
            <w:r>
              <w:rPr>
                <w:color w:val="000000"/>
                <w:sz w:val="24"/>
              </w:rPr>
              <w:t>均上升。model</w:t>
            </w:r>
            <w:r>
              <w:rPr>
                <w:rFonts w:hint="default"/>
                <w:color w:val="000000"/>
                <w:sz w:val="24"/>
                <w:lang w:val="en-US"/>
              </w:rPr>
              <w:t>表示理想</w:t>
            </w:r>
            <w:r>
              <w:rPr>
                <w:color w:val="000000"/>
                <w:sz w:val="24"/>
              </w:rPr>
              <w:t>概率，empirical</w:t>
            </w:r>
            <w:r>
              <w:rPr>
                <w:rFonts w:hint="default"/>
                <w:color w:val="000000"/>
                <w:sz w:val="24"/>
                <w:lang w:val="en-US"/>
              </w:rPr>
              <w:t>统计实际码字能量</w:t>
            </w:r>
            <w:r>
              <w:rPr>
                <w:color w:val="000000"/>
                <w:sz w:val="24"/>
              </w:rPr>
              <w:t>；</w:t>
            </w:r>
            <w:r>
              <w:rPr>
                <w:rFonts w:hint="default"/>
                <w:color w:val="000000"/>
                <w:sz w:val="24"/>
                <w:lang w:val="en-US"/>
              </w:rPr>
              <w:t>图中所有</w:t>
            </w:r>
            <w:r>
              <w:rPr>
                <w:color w:val="000000"/>
                <w:sz w:val="24"/>
              </w:rPr>
              <w:t>组合中，以</w:t>
            </w:r>
            <w:r>
              <w:rPr>
                <w:rFonts w:hint="default"/>
                <w:color w:val="000000"/>
                <w:sz w:val="24"/>
                <w:lang w:val="en-US"/>
              </w:rPr>
              <w:t>理想能量为参照的</w:t>
            </w:r>
            <w:r>
              <w:rPr>
                <w:color w:val="000000"/>
                <w:sz w:val="24"/>
              </w:rPr>
              <w:t>最大相对偏差为4.9%，</w:t>
            </w:r>
            <w:r>
              <w:rPr>
                <w:rFonts w:hint="default"/>
                <w:color w:val="000000"/>
                <w:sz w:val="24"/>
                <w:lang w:val="en-US"/>
              </w:rPr>
              <w:t>偏差的主要原因是极化码整形本身是通过无限长码字进行推导的，随着码长度N的提升才能趋向理论值</w:t>
            </w:r>
            <w:r>
              <w:rPr>
                <w:color w:val="000000"/>
                <w:sz w:val="24"/>
              </w:rPr>
              <w:t>。后文</w:t>
            </w:r>
            <w:r>
              <w:rPr>
                <w:rFonts w:hint="default"/>
                <w:color w:val="000000"/>
                <w:sz w:val="24"/>
                <w:lang w:val="en-US"/>
              </w:rPr>
              <w:t>针对</w:t>
            </w:r>
            <w:r>
              <w:rPr>
                <w:color w:val="000000"/>
                <w:sz w:val="24"/>
              </w:rPr>
              <w:t>64QAM</w:t>
            </w:r>
            <w:r>
              <w:rPr>
                <w:rFonts w:hint="default"/>
                <w:color w:val="000000"/>
                <w:sz w:val="24"/>
                <w:lang w:val="en-US"/>
              </w:rPr>
              <w:t>在</w:t>
            </w:r>
            <w:r>
              <w:rPr>
                <w:color w:val="000000"/>
                <w:sz w:val="24"/>
              </w:rPr>
              <w:t>N=1024独立复核</w:t>
            </w:r>
            <w:r>
              <w:rPr>
                <w:color w:val="000000"/>
                <w:sz w:val="24"/>
                <w:lang w:val="en-US"/>
              </w:rPr>
              <w:t>（</w:t>
            </w:r>
            <w:r>
              <w:rPr>
                <w:rFonts w:hint="default"/>
                <w:color w:val="000000"/>
                <w:sz w:val="24"/>
                <w:lang w:val="en-US"/>
              </w:rPr>
              <w:t>每个点80帧重复</w:t>
            </w:r>
            <w:r>
              <w:rPr>
                <w:color w:val="000000"/>
                <w:sz w:val="24"/>
                <w:lang w:val="en-US"/>
              </w:rPr>
              <w:t>）</w:t>
            </w:r>
            <w:r>
              <w:rPr>
                <w:rFonts w:hint="default"/>
                <w:color w:val="000000"/>
                <w:sz w:val="24"/>
                <w:lang w:val="en-US"/>
              </w:rPr>
              <w:t>和理想能量的误差明显减小</w:t>
            </w:r>
            <w:bookmarkStart w:id="0" w:name="_GoBack"/>
            <w:bookmarkEnd w:id="0"/>
            <w:r>
              <w:rPr>
                <w:color w:val="000000"/>
                <w:sz w:val="24"/>
              </w:rPr>
              <w:t>。</w:t>
            </w:r>
          </w:p>
          <w:p w14:paraId="7064C00E">
            <w:pPr>
              <w:keepNext/>
              <w:spacing w:before="60"/>
              <w:jc w:val="center"/>
            </w:pPr>
            <w:r>
              <w:drawing>
                <wp:inline distT="0" distB="0" distL="0" distR="0">
                  <wp:extent cx="5166360" cy="419481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4195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8C967">
            <w:pPr>
              <w:spacing w:after="60"/>
              <w:jc w:val="center"/>
            </w:pPr>
            <w:r>
              <w:rPr>
                <w:color w:val="000000"/>
              </w:rPr>
              <w:t>图1 高阶调制经验发送能量与模型能量对照</w:t>
            </w:r>
          </w:p>
          <w:p w14:paraId="77CD48F2">
            <w:pPr>
              <w:keepNext/>
              <w:spacing w:before="60"/>
            </w:pPr>
            <w:r>
              <w:rPr>
                <w:b/>
                <w:color w:val="000000"/>
                <w:sz w:val="24"/>
              </w:rPr>
              <w:t>3、有限SNR通信链路门禁（对应表1）</w:t>
            </w:r>
          </w:p>
          <w:p w14:paraId="19747017">
            <w:pPr>
              <w:ind w:firstLine="480"/>
            </w:pPr>
            <w:r>
              <w:rPr>
                <w:color w:val="000000"/>
                <w:sz w:val="24"/>
              </w:rPr>
              <w:t>在8/16/32/64QAM和lambda=0、0.25、0.5的12组条件下，BER曲线均进入10的负4次方至10的负1次方的有效瀑布区；每条曲线有5至7个累计错误数不少于100的有效点，最低有效错误数为104。这些结果对应表1中的“误码有效”门禁，说明调制、复AWGN信道、软解调和SC译码链路能够闭合运行。</w:t>
            </w:r>
          </w:p>
          <w:p w14:paraId="7D7162EE">
            <w:pPr>
              <w:ind w:firstLine="480"/>
            </w:pPr>
            <w:r>
              <w:rPr>
                <w:color w:val="000000"/>
                <w:sz w:val="24"/>
              </w:rPr>
              <w:t>有限SNR验证用于确认链路和误码统计有效。不同lambda的曲线在部分工作区间交叉，因此不据此选出适用于全部调制阶数和SNR的统一最优整形参数。</w:t>
            </w:r>
          </w:p>
          <w:p w14:paraId="01ED3BC0">
            <w:pPr>
              <w:keepNext/>
              <w:spacing w:before="60"/>
            </w:pPr>
            <w:r>
              <w:rPr>
                <w:b/>
                <w:color w:val="000000"/>
                <w:sz w:val="24"/>
              </w:rPr>
              <w:t>4、64QAM经验分布正式门禁（对应图2）</w:t>
            </w:r>
          </w:p>
          <w:p w14:paraId="0519EED3">
            <w:pPr>
              <w:ind w:firstLine="480"/>
            </w:pPr>
            <w:r>
              <w:rPr>
                <w:color w:val="000000"/>
                <w:sz w:val="24"/>
              </w:rPr>
              <w:t>图2直接给出64QAM在三个lambda取值下的分布误差：横轴为lambda，纵轴为经验PMF相对目标PMF的TV距离95%置信上界，虚线为5%门限。PMF（Probability Mass Function，概率质量函数）表示各星座点的发送概率；TV（Total Variation Distance，总变差距离）衡量两种分布的整体差异。lambda为0、0.25和0.5时，上界分别为0.01877、0.02680和0.03310，三点均低于门限。该正式复核采用N=1024、每个整形点80帧和2000次cluster bootstrap。最大上界3.31%只描述整体分布距离，没有正负方向，也不保证每个星座点的相对误差都低于3.31%。</w:t>
            </w:r>
          </w:p>
          <w:p w14:paraId="4EEBBF5D">
            <w:pPr>
              <w:keepNext/>
              <w:spacing w:before="60"/>
              <w:jc w:val="center"/>
            </w:pPr>
            <w:r>
              <w:drawing>
                <wp:inline distT="0" distB="0" distL="0" distR="0">
                  <wp:extent cx="4754880" cy="356425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564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1931C9">
            <w:pPr>
              <w:spacing w:after="60"/>
              <w:jc w:val="center"/>
            </w:pPr>
            <w:r>
              <w:rPr>
                <w:color w:val="000000"/>
              </w:rPr>
              <w:t>图2 64QAM经验PMF的TV距离95%上界</w:t>
            </w:r>
          </w:p>
          <w:p w14:paraId="7297C2DC">
            <w:pPr>
              <w:ind w:firstLine="480"/>
            </w:pPr>
            <w:r>
              <w:rPr>
                <w:color w:val="000000"/>
                <w:sz w:val="24"/>
              </w:rPr>
              <w:t>表1汇总五类验收门禁；图1展示整形增强时发送能量的模型与经验趋势；图2给出64QAM经验分布相对目标分布的TV上界。结合有限SNR链路验证，四种调制阶数的通用单载波概率整形极化码框架已形成可复现闭环。当前结论适用于复AWGN信道、multi-stream BICM结构和SC译码；发送能量是RF能量代理量，不等同于RF至直流转换效率，也不支持跨调制阶数的统一最优整形参数结论。</w:t>
            </w:r>
          </w:p>
          <w:p w14:paraId="431B5FC4">
            <w:pPr>
              <w:keepNext/>
              <w:spacing w:before="120"/>
            </w:pPr>
            <w:r>
              <w:rPr>
                <w:rFonts w:hint="default"/>
                <w:b/>
                <w:bCs w:val="0"/>
                <w:color w:val="000000"/>
                <w:sz w:val="24"/>
                <w:lang w:val="en-US"/>
              </w:rPr>
              <w:t>二、</w:t>
            </w:r>
            <w:r>
              <w:rPr>
                <w:b/>
                <w:color w:val="000000"/>
                <w:sz w:val="24"/>
              </w:rPr>
              <w:t>16QAM通信与发送能量权衡</w:t>
            </w:r>
          </w:p>
          <w:p w14:paraId="0C35C723">
            <w:pPr>
              <w:ind w:firstLine="480"/>
            </w:pPr>
            <w:r>
              <w:rPr>
                <w:color w:val="000000"/>
                <w:sz w:val="24"/>
              </w:rPr>
              <w:t>在通用框架完成后，进一步针对固定16QAM开展BER、Goodput（考虑码率和误码后的有效信息吞吐）和发送能量的同批帧联合实验。实验采用p=0.5、0.4、0.3、0.2和0.1，SNR标签为8至20 dB，使用3个独立seed，每个p和SNR点每个seed运行300帧，共形成195个重复点和58500帧。每一帧同时记录四路信息位错误、块错误、实际发送符号和符号均方能量，避免拼接不同批次的通信与能量数据。</w:t>
            </w:r>
          </w:p>
          <w:p w14:paraId="06253088">
            <w:pPr>
              <w:keepNext/>
              <w:spacing w:before="60"/>
            </w:pPr>
            <w:r>
              <w:rPr>
                <w:b/>
                <w:color w:val="000000"/>
                <w:sz w:val="24"/>
              </w:rPr>
              <w:t>1、指标定义与正式实验口径</w:t>
            </w:r>
          </w:p>
          <w:p w14:paraId="5BC38854">
            <w:pPr>
              <w:ind w:firstLine="480"/>
            </w:pPr>
            <w:r>
              <w:rPr>
                <w:color w:val="000000"/>
                <w:sz w:val="24"/>
              </w:rPr>
              <w:t>星座坐标和均匀星座缩放保持固定，整形参数p改变高、低能量星座点的出现比例，并改变两条受控bit路的信息位数量、整形位集合和聚合BER权重。发送能量定义为真实发送16QAM符号的均方值；在同一seed和同一SNR下，以p=0.5的经验能量定义为1单位，再跨seed汇总。系统BER和Goodput分别按下式计算</w:t>
            </w:r>
          </w:p>
          <w:p w14:paraId="7751DDD2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BER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sys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nary>
                      <m:naryPr>
                        <m:chr m:val="∑"/>
                        <m:grow m:val="1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  <m:sup>
                        <m:ctrlPr>
                          <w:rPr>
                            <w:rFonts w:ascii="Cambria Math" w:hAnsi="Cambria Math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nary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BER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nary>
                      <m:naryPr>
                        <m:chr m:val="∑"/>
                        <m:grow m:val="1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  <m:sup>
                        <m:ctrlPr>
                          <w:rPr>
                            <w:rFonts w:ascii="Cambria Math" w:hAnsi="Cambria Math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nary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</w:rPr>
                  <m:t>,G=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total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(1−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BER</m:t>
                </m:r>
                <m:r>
                  <m:rPr/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1AB7C34B">
            <w:pPr>
              <w:ind w:firstLine="480"/>
            </w:pPr>
            <w:r>
              <w:rPr>
                <w:color w:val="000000"/>
                <w:sz w:val="24"/>
              </w:rPr>
              <w:t>正式实验采用fixed_esn0，噪声幅度随每帧发送功率的平方根同步缩放，因此更高发送能量不会自动转化为更高有效Es/N0。v2横轴保留历史SNR输入标签，实际Es/N0比标签低3.0103 dB。三seed均值的95%区间使用自由度2的Student t区间。</w:t>
            </w:r>
          </w:p>
          <w:p w14:paraId="16CBCD6B">
            <w:pPr>
              <w:keepNext/>
              <w:spacing w:before="60"/>
            </w:pPr>
            <w:r>
              <w:rPr>
                <w:b/>
                <w:color w:val="000000"/>
                <w:sz w:val="24"/>
              </w:rPr>
              <w:t>2、BER随SNR和整形参数变化</w:t>
            </w:r>
          </w:p>
          <w:p w14:paraId="23944C0D">
            <w:pPr>
              <w:ind w:firstLine="480"/>
            </w:pPr>
            <w:r>
              <w:rPr>
                <w:color w:val="000000"/>
                <w:sz w:val="24"/>
              </w:rPr>
              <w:t>五条BER曲线随SNR提高整体下降，但相对排序发生变化。8至15 dB区间内，强整形p=0.1的聚合BER相对较低；到20 dB，p=0.5下降得更快并取得最低BER。20 dB处，p=0.5、0.4、0.3、0.2和0.1的平均BER分别为0.01335、0.01830、0.03512、0.04971和0.04325。</w:t>
            </w:r>
          </w:p>
          <w:p w14:paraId="0B3661D2">
            <w:pPr>
              <w:keepNext/>
              <w:spacing w:before="60"/>
              <w:jc w:val="center"/>
            </w:pPr>
            <w:r>
              <w:drawing>
                <wp:inline distT="0" distB="0" distL="0" distR="0">
                  <wp:extent cx="5166360" cy="360299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603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379A0">
            <w:pPr>
              <w:spacing w:after="60"/>
              <w:jc w:val="center"/>
            </w:pPr>
            <w:r>
              <w:rPr>
                <w:color w:val="000000"/>
              </w:rPr>
              <w:t>图3 16QAM不同整形参数的BER随SNR变化</w:t>
            </w:r>
          </w:p>
          <w:p w14:paraId="5D6DBBC6">
            <w:pPr>
              <w:ind w:firstLine="480"/>
            </w:pPr>
            <w:r>
              <w:rPr>
                <w:color w:val="000000"/>
                <w:sz w:val="24"/>
              </w:rPr>
              <w:t>曲线交叉源于可重算的组成效应。以p由0.5降至0.1为例，受控bit2和bit4的每路信息位数由512降至240。中低SNR下，bit1和bit3的BER明显改善，同时接近随机的bit2和bit4在系统BER中的权重降低；高SNR下，p=0.5的四路均进入瀑布区，而强整形的受控两路仍保持较高错误率，因而排序反转。</w:t>
            </w:r>
          </w:p>
          <w:p w14:paraId="55C9942A">
            <w:pPr>
              <w:keepNext/>
              <w:spacing w:before="60"/>
            </w:pPr>
            <w:r>
              <w:rPr>
                <w:b/>
                <w:color w:val="000000"/>
                <w:sz w:val="24"/>
              </w:rPr>
              <w:t>3、发送能量随整形增强而上升</w:t>
            </w:r>
          </w:p>
          <w:p w14:paraId="3145E50D">
            <w:pPr>
              <w:ind w:firstLine="480"/>
            </w:pPr>
            <w:r>
              <w:rPr>
                <w:color w:val="000000"/>
                <w:sz w:val="24"/>
              </w:rPr>
              <w:t>14 dB代表点下，p=0.5的归一化发送能量为1，p=0.4、0.3、0.2和0.1依次为1.046、1.169、1.283和1.400。完整8至20 dB范围内保持相同排序：p=0.1的归一化能量约为1.353至1.400。该结果表明较小p使真实码字中外层高能量星座点占比提高，从而增加平均发送符号能量。</w:t>
            </w:r>
          </w:p>
          <w:p w14:paraId="6170FCBC">
            <w:pPr>
              <w:keepNext/>
              <w:spacing w:before="60"/>
              <w:jc w:val="center"/>
            </w:pPr>
            <w:r>
              <w:drawing>
                <wp:inline distT="0" distB="0" distL="0" distR="0">
                  <wp:extent cx="4572000" cy="28575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CB068">
            <w:pPr>
              <w:spacing w:after="60"/>
              <w:jc w:val="center"/>
            </w:pPr>
            <w:r>
              <w:rPr>
                <w:color w:val="000000"/>
              </w:rPr>
              <w:t>图4 14 dB下16QAM归一化发送能量随p变化</w:t>
            </w:r>
          </w:p>
          <w:p w14:paraId="04286625">
            <w:pPr>
              <w:ind w:firstLine="480"/>
            </w:pPr>
            <w:r>
              <w:rPr>
                <w:color w:val="000000"/>
                <w:sz w:val="24"/>
              </w:rPr>
              <w:t>归一化能量提高35%至40%只表示相对发送符号均方值增加，不能解释为收获直流能量提高相同比例。不同p没有重新缩放到相同平均功率，因此图中差异包含发射功率变化。</w:t>
            </w:r>
          </w:p>
          <w:p w14:paraId="1CE33D2F">
            <w:pPr>
              <w:keepNext/>
              <w:spacing w:before="60"/>
            </w:pPr>
            <w:r>
              <w:rPr>
                <w:b/>
                <w:color w:val="000000"/>
                <w:sz w:val="24"/>
              </w:rPr>
              <w:t>4、BER与发送能量联合关系</w:t>
            </w:r>
          </w:p>
          <w:p w14:paraId="54AF0033">
            <w:pPr>
              <w:ind w:firstLine="480"/>
            </w:pPr>
            <w:r>
              <w:rPr>
                <w:color w:val="000000"/>
                <w:sz w:val="24"/>
              </w:rPr>
              <w:t>同一批帧的联合统计显示，SNR提高使整体BER下降，但同一SNR内增加发送能量并不总能带来单调的BER改善。整形参数同时影响符号分布、信息位数量、S/I/F集合和逐bit BER权重，因此这一关系是多因素联合结果，不是单独提高发射功率的因果曲线。</w:t>
            </w:r>
          </w:p>
          <w:p w14:paraId="54C7FC10">
            <w:pPr>
              <w:keepNext/>
              <w:spacing w:before="60"/>
            </w:pPr>
            <w:r>
              <w:rPr>
                <w:b/>
                <w:color w:val="000000"/>
                <w:sz w:val="24"/>
              </w:rPr>
              <w:t>5、Goodput与发送能量的工作点选择</w:t>
            </w:r>
          </w:p>
          <w:p w14:paraId="171DDC37">
            <w:pPr>
              <w:ind w:firstLine="480"/>
            </w:pPr>
            <w:r>
              <w:rPr>
                <w:color w:val="000000"/>
                <w:sz w:val="24"/>
              </w:rPr>
              <w:t>Goodput同时反映设计码率和误码率。结合五种p的Goodput随SNR变化，以及20 dB下的发送能量比较，可以看到高Goodput与高发送能量对应不同参数：p=0.5偏向通信，p=0.1偏向能量，p=0.3可作为两者之间的折中。选择工作点必须先说明SNR和目标，代表性结果见表2。</w:t>
            </w:r>
          </w:p>
          <w:p w14:paraId="1862EAD3">
            <w:pPr>
              <w:keepNext/>
              <w:jc w:val="center"/>
            </w:pPr>
            <w:r>
              <w:rPr>
                <w:color w:val="000000"/>
              </w:rPr>
              <w:t>表2 代表性SNR下的通信、能量与折中工作点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6"/>
              <w:gridCol w:w="2160"/>
              <w:gridCol w:w="648"/>
              <w:gridCol w:w="1152"/>
              <w:gridCol w:w="1224"/>
              <w:gridCol w:w="1224"/>
            </w:tblGrid>
            <w:tr w14:paraId="59C6878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</w:trPr>
              <w:tc>
                <w:tcPr>
                  <w:tcW w:w="936" w:type="dxa"/>
                  <w:shd w:val="clear" w:color="auto" w:fill="D9EAF7"/>
                  <w:vAlign w:val="center"/>
                </w:tcPr>
                <w:p w14:paraId="25D76F54">
                  <w:pPr>
                    <w:jc w:val="center"/>
                  </w:pPr>
                  <w:r>
                    <w:rPr>
                      <w:b/>
                      <w:color w:val="000000"/>
                      <w:sz w:val="19"/>
                    </w:rPr>
                    <w:t>SNR</w:t>
                  </w:r>
                </w:p>
              </w:tc>
              <w:tc>
                <w:tcPr>
                  <w:tcW w:w="2160" w:type="dxa"/>
                  <w:shd w:val="clear" w:color="auto" w:fill="D9EAF7"/>
                  <w:vAlign w:val="center"/>
                </w:tcPr>
                <w:p w14:paraId="54D6B8B7">
                  <w:pPr>
                    <w:jc w:val="center"/>
                  </w:pPr>
                  <w:r>
                    <w:rPr>
                      <w:b/>
                      <w:color w:val="000000"/>
                      <w:sz w:val="19"/>
                    </w:rPr>
                    <w:t>角色</w:t>
                  </w:r>
                </w:p>
              </w:tc>
              <w:tc>
                <w:tcPr>
                  <w:tcW w:w="648" w:type="dxa"/>
                  <w:shd w:val="clear" w:color="auto" w:fill="D9EAF7"/>
                  <w:vAlign w:val="center"/>
                </w:tcPr>
                <w:p w14:paraId="4C791E18">
                  <w:pPr>
                    <w:jc w:val="center"/>
                  </w:pPr>
                  <w:r>
                    <w:rPr>
                      <w:b/>
                      <w:color w:val="000000"/>
                      <w:sz w:val="19"/>
                    </w:rPr>
                    <w:t>p</w:t>
                  </w:r>
                </w:p>
              </w:tc>
              <w:tc>
                <w:tcPr>
                  <w:tcW w:w="1152" w:type="dxa"/>
                  <w:shd w:val="clear" w:color="auto" w:fill="D9EAF7"/>
                  <w:vAlign w:val="center"/>
                </w:tcPr>
                <w:p w14:paraId="5D8461D9">
                  <w:pPr>
                    <w:jc w:val="center"/>
                  </w:pPr>
                  <w:r>
                    <w:rPr>
                      <w:b/>
                      <w:color w:val="000000"/>
                      <w:sz w:val="19"/>
                    </w:rPr>
                    <w:t>BER</w:t>
                  </w:r>
                </w:p>
              </w:tc>
              <w:tc>
                <w:tcPr>
                  <w:tcW w:w="1224" w:type="dxa"/>
                  <w:shd w:val="clear" w:color="auto" w:fill="D9EAF7"/>
                  <w:vAlign w:val="center"/>
                </w:tcPr>
                <w:p w14:paraId="3AAAA796">
                  <w:pPr>
                    <w:jc w:val="center"/>
                  </w:pPr>
                  <w:r>
                    <w:rPr>
                      <w:b/>
                      <w:color w:val="000000"/>
                      <w:sz w:val="19"/>
                    </w:rPr>
                    <w:t>Goodput</w:t>
                  </w:r>
                </w:p>
              </w:tc>
              <w:tc>
                <w:tcPr>
                  <w:tcW w:w="1224" w:type="dxa"/>
                  <w:shd w:val="clear" w:color="auto" w:fill="D9EAF7"/>
                  <w:vAlign w:val="center"/>
                </w:tcPr>
                <w:p w14:paraId="3FEBF298">
                  <w:pPr>
                    <w:jc w:val="center"/>
                  </w:pPr>
                  <w:r>
                    <w:rPr>
                      <w:b/>
                      <w:color w:val="000000"/>
                      <w:sz w:val="19"/>
                    </w:rPr>
                    <w:t>单位能量</w:t>
                  </w:r>
                </w:p>
              </w:tc>
            </w:tr>
            <w:tr w14:paraId="22C277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36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04A7633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8 dB</w:t>
                  </w:r>
                </w:p>
              </w:tc>
              <w:tc>
                <w:tcPr>
                  <w:tcW w:w="2160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3A55DCB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通信、能量、折中</w:t>
                  </w:r>
                </w:p>
              </w:tc>
              <w:tc>
                <w:tcPr>
                  <w:tcW w:w="648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A0BF15C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0.1</w:t>
                  </w:r>
                </w:p>
              </w:tc>
              <w:tc>
                <w:tcPr>
                  <w:tcW w:w="1152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7375499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0.2767</w:t>
                  </w:r>
                </w:p>
              </w:tc>
              <w:tc>
                <w:tcPr>
                  <w:tcW w:w="1224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0B56D4A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0.2656</w:t>
                  </w:r>
                </w:p>
              </w:tc>
              <w:tc>
                <w:tcPr>
                  <w:tcW w:w="1224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B2E8573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1.3526</w:t>
                  </w:r>
                </w:p>
              </w:tc>
            </w:tr>
            <w:tr w14:paraId="6CBDEF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36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965B05D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14 dB</w:t>
                  </w:r>
                </w:p>
              </w:tc>
              <w:tc>
                <w:tcPr>
                  <w:tcW w:w="2160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D2B98A7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通信优先</w:t>
                  </w:r>
                </w:p>
              </w:tc>
              <w:tc>
                <w:tcPr>
                  <w:tcW w:w="648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C8C39B3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0.4</w:t>
                  </w:r>
                </w:p>
              </w:tc>
              <w:tc>
                <w:tcPr>
                  <w:tcW w:w="1152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A8E6BC1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0.3664</w:t>
                  </w:r>
                </w:p>
              </w:tc>
              <w:tc>
                <w:tcPr>
                  <w:tcW w:w="1224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4C8C23F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0.3122</w:t>
                  </w:r>
                </w:p>
              </w:tc>
              <w:tc>
                <w:tcPr>
                  <w:tcW w:w="1224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4D0E3BF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1.0456</w:t>
                  </w:r>
                </w:p>
              </w:tc>
            </w:tr>
            <w:tr w14:paraId="758F24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36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DA47385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14 dB</w:t>
                  </w:r>
                </w:p>
              </w:tc>
              <w:tc>
                <w:tcPr>
                  <w:tcW w:w="2160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8F08112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能量、折中</w:t>
                  </w:r>
                </w:p>
              </w:tc>
              <w:tc>
                <w:tcPr>
                  <w:tcW w:w="648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D945B83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0.1</w:t>
                  </w:r>
                </w:p>
              </w:tc>
              <w:tc>
                <w:tcPr>
                  <w:tcW w:w="1152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F87B7D6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0.1516</w:t>
                  </w:r>
                </w:p>
              </w:tc>
              <w:tc>
                <w:tcPr>
                  <w:tcW w:w="1224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4A46156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0.3115</w:t>
                  </w:r>
                </w:p>
              </w:tc>
              <w:tc>
                <w:tcPr>
                  <w:tcW w:w="1224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136FCDB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1.3995</w:t>
                  </w:r>
                </w:p>
              </w:tc>
            </w:tr>
            <w:tr w14:paraId="67267FF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36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F78B652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20 dB</w:t>
                  </w:r>
                </w:p>
              </w:tc>
              <w:tc>
                <w:tcPr>
                  <w:tcW w:w="2160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24F71DAA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通信优先</w:t>
                  </w:r>
                </w:p>
              </w:tc>
              <w:tc>
                <w:tcPr>
                  <w:tcW w:w="648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739CD3D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0.5</w:t>
                  </w:r>
                </w:p>
              </w:tc>
              <w:tc>
                <w:tcPr>
                  <w:tcW w:w="1152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F8365C4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0.01335</w:t>
                  </w:r>
                </w:p>
              </w:tc>
              <w:tc>
                <w:tcPr>
                  <w:tcW w:w="1224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2EE3EA6B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0.4933</w:t>
                  </w:r>
                </w:p>
              </w:tc>
              <w:tc>
                <w:tcPr>
                  <w:tcW w:w="1224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8A4D905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1.0000</w:t>
                  </w:r>
                </w:p>
              </w:tc>
            </w:tr>
            <w:tr w14:paraId="198BA2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36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B07F6FA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20 dB</w:t>
                  </w:r>
                </w:p>
              </w:tc>
              <w:tc>
                <w:tcPr>
                  <w:tcW w:w="2160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B9AC345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能量优先</w:t>
                  </w:r>
                </w:p>
              </w:tc>
              <w:tc>
                <w:tcPr>
                  <w:tcW w:w="648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B41D780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0.1</w:t>
                  </w:r>
                </w:p>
              </w:tc>
              <w:tc>
                <w:tcPr>
                  <w:tcW w:w="1152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7F53480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0.04325</w:t>
                  </w:r>
                </w:p>
              </w:tc>
              <w:tc>
                <w:tcPr>
                  <w:tcW w:w="1224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4EBD4A9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0.3513</w:t>
                  </w:r>
                </w:p>
              </w:tc>
              <w:tc>
                <w:tcPr>
                  <w:tcW w:w="1224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64A4024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1.3975</w:t>
                  </w:r>
                </w:p>
              </w:tc>
            </w:tr>
            <w:tr w14:paraId="3965BD1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36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CEED14D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20 dB</w:t>
                  </w:r>
                </w:p>
              </w:tc>
              <w:tc>
                <w:tcPr>
                  <w:tcW w:w="2160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0E049FF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等权折中</w:t>
                  </w:r>
                </w:p>
              </w:tc>
              <w:tc>
                <w:tcPr>
                  <w:tcW w:w="648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7837902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0.3</w:t>
                  </w:r>
                </w:p>
              </w:tc>
              <w:tc>
                <w:tcPr>
                  <w:tcW w:w="1152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9C5EC22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0.03512</w:t>
                  </w:r>
                </w:p>
              </w:tc>
              <w:tc>
                <w:tcPr>
                  <w:tcW w:w="1224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900CD37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0.4537</w:t>
                  </w:r>
                </w:p>
              </w:tc>
              <w:tc>
                <w:tcPr>
                  <w:tcW w:w="1224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ECD69EE">
                  <w:pPr>
                    <w:jc w:val="center"/>
                  </w:pPr>
                  <w:r>
                    <w:rPr>
                      <w:color w:val="000000"/>
                      <w:sz w:val="19"/>
                    </w:rPr>
                    <w:t>1.1626</w:t>
                  </w:r>
                </w:p>
              </w:tc>
            </w:tr>
          </w:tbl>
          <w:p w14:paraId="0F139E81"/>
          <w:p w14:paraId="7EB48676"/>
          <w:p w14:paraId="6E9767A2">
            <w:pPr>
              <w:ind w:firstLine="480"/>
            </w:pPr>
            <w:r>
              <w:rPr>
                <w:color w:val="000000"/>
                <w:sz w:val="24"/>
              </w:rPr>
              <w:t>代表性工作点说明所选p随SNR和系统目标变化。14 dB时p=0.4与p=0.1的Goodput分别为0.3122和0.3115，均值接近，而p=0.1提供更高发送能量；20 dB时通信、折中、能量三个工作点分离。上述结果只对当前五个离散p、SC译码和发送端能量代理口径成立。</w:t>
            </w:r>
          </w:p>
          <w:p w14:paraId="416F9AFA">
            <w:pPr>
              <w:keepNext/>
              <w:spacing w:before="120"/>
            </w:pPr>
            <w:r>
              <w:rPr>
                <w:rFonts w:hint="default"/>
                <w:b/>
                <w:color w:val="000000"/>
                <w:sz w:val="24"/>
                <w:lang w:val="en-US"/>
              </w:rPr>
              <w:t>三、</w:t>
            </w:r>
            <w:r>
              <w:rPr>
                <w:b/>
                <w:color w:val="000000"/>
                <w:sz w:val="24"/>
              </w:rPr>
              <w:t>OFDM Rayleigh多载波自适应信息能量策略</w:t>
            </w:r>
          </w:p>
          <w:p w14:paraId="71993CAA">
            <w:pPr>
              <w:ind w:firstLine="480"/>
            </w:pPr>
            <w:r>
              <w:rPr>
                <w:color w:val="000000"/>
                <w:sz w:val="24"/>
              </w:rPr>
              <w:t>在单载波结果基础上，研究进一步扩展到频率选择性Rayleigh OFDM。系统采用64个子载波和长度16的循环前缀，每个信道实现生成16-tap复Rayleigh冲激响应，并按子载波增益将64个子载波划分为high、mid和low三组。每组承载一套N=1024的polar块，接收链路依次经过去循环前缀、FFT、ZF均衡、逐子载波LLR和SC译码。</w:t>
            </w:r>
          </w:p>
          <w:p w14:paraId="1EB9296A">
            <w:pPr>
              <w:keepNext/>
              <w:spacing w:before="60"/>
            </w:pPr>
            <w:r>
              <w:rPr>
                <w:b/>
                <w:color w:val="000000"/>
                <w:sz w:val="24"/>
              </w:rPr>
              <w:t>1、严格OFDM Rayleigh链路与六类策略</w:t>
            </w:r>
          </w:p>
          <w:p w14:paraId="40769176">
            <w:pPr>
              <w:ind w:firstLine="480"/>
            </w:pPr>
            <w:r>
              <w:rPr>
                <w:color w:val="000000"/>
                <w:sz w:val="24"/>
              </w:rPr>
              <w:t>正式实验比较三种统一整形基线、两种可靠性分组策略和一种差子载波纯传能对照。六类策略在相同SNR和相同Rayleigh realization下共享信道与噪声语境，从而支持配对比较。Goodput分母计入全部时频资源、循环前缀和2.0408%的padding；能量主指标为Rayleigh多径后、加入AWGN前的接收信号时域均方。</w:t>
            </w:r>
          </w:p>
          <w:p w14:paraId="1FB7406C">
            <w:pPr>
              <w:keepNext/>
              <w:jc w:val="center"/>
            </w:pPr>
            <w:r>
              <w:rPr>
                <w:color w:val="000000"/>
              </w:rPr>
              <w:t>表3 多载波正式实验的六类预定义策略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024"/>
              <w:gridCol w:w="2448"/>
              <w:gridCol w:w="2880"/>
            </w:tblGrid>
            <w:tr w14:paraId="787B483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</w:trPr>
              <w:tc>
                <w:tcPr>
                  <w:tcW w:w="3024" w:type="dxa"/>
                  <w:shd w:val="clear" w:color="auto" w:fill="D9EAF7"/>
                  <w:vAlign w:val="center"/>
                </w:tcPr>
                <w:p w14:paraId="542F3FEE">
                  <w:pPr>
                    <w:jc w:val="center"/>
                  </w:pPr>
                  <w:r>
                    <w:rPr>
                      <w:b/>
                      <w:color w:val="000000"/>
                      <w:sz w:val="18"/>
                    </w:rPr>
                    <w:t>策略</w:t>
                  </w:r>
                </w:p>
              </w:tc>
              <w:tc>
                <w:tcPr>
                  <w:tcW w:w="2448" w:type="dxa"/>
                  <w:shd w:val="clear" w:color="auto" w:fill="D9EAF7"/>
                  <w:vAlign w:val="center"/>
                </w:tcPr>
                <w:p w14:paraId="33B47F5A">
                  <w:pPr>
                    <w:jc w:val="center"/>
                  </w:pPr>
                  <w:r>
                    <w:rPr>
                      <w:b/>
                      <w:color w:val="000000"/>
                      <w:sz w:val="18"/>
                    </w:rPr>
                    <w:t>high/mid/low规则</w:t>
                  </w:r>
                </w:p>
              </w:tc>
              <w:tc>
                <w:tcPr>
                  <w:tcW w:w="2880" w:type="dxa"/>
                  <w:shd w:val="clear" w:color="auto" w:fill="D9EAF7"/>
                  <w:vAlign w:val="center"/>
                </w:tcPr>
                <w:p w14:paraId="2E867D22">
                  <w:pPr>
                    <w:jc w:val="center"/>
                  </w:pPr>
                  <w:r>
                    <w:rPr>
                      <w:b/>
                      <w:color w:val="000000"/>
                      <w:sz w:val="18"/>
                    </w:rPr>
                    <w:t>研究作用</w:t>
                  </w:r>
                </w:p>
              </w:tc>
            </w:tr>
            <w:tr w14:paraId="16AC0A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24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2C8EF932">
                  <w:pPr>
                    <w:jc w:val="center"/>
                  </w:pPr>
                  <w:r>
                    <w:rPr>
                      <w:color w:val="000000"/>
                      <w:sz w:val="18"/>
                    </w:rPr>
                    <w:t>uniform p05</w:t>
                  </w:r>
                </w:p>
              </w:tc>
              <w:tc>
                <w:tcPr>
                  <w:tcW w:w="2448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3FAAD16">
                  <w:pPr>
                    <w:jc w:val="center"/>
                  </w:pPr>
                  <w:r>
                    <w:rPr>
                      <w:color w:val="000000"/>
                      <w:sz w:val="18"/>
                    </w:rPr>
                    <w:t>0.5/0.5/0.5</w:t>
                  </w:r>
                </w:p>
              </w:tc>
              <w:tc>
                <w:tcPr>
                  <w:tcW w:w="2880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42CEE821">
                  <w:pPr>
                    <w:jc w:val="center"/>
                  </w:pPr>
                  <w:r>
                    <w:rPr>
                      <w:color w:val="000000"/>
                      <w:sz w:val="18"/>
                    </w:rPr>
                    <w:t>高码率通信基线</w:t>
                  </w:r>
                </w:p>
              </w:tc>
            </w:tr>
            <w:tr w14:paraId="52DF1B8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24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1118E3D">
                  <w:pPr>
                    <w:jc w:val="center"/>
                  </w:pPr>
                  <w:r>
                    <w:rPr>
                      <w:color w:val="000000"/>
                      <w:sz w:val="18"/>
                    </w:rPr>
                    <w:t>uniform p03</w:t>
                  </w:r>
                </w:p>
              </w:tc>
              <w:tc>
                <w:tcPr>
                  <w:tcW w:w="2448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798AB052">
                  <w:pPr>
                    <w:jc w:val="center"/>
                  </w:pPr>
                  <w:r>
                    <w:rPr>
                      <w:color w:val="000000"/>
                      <w:sz w:val="18"/>
                    </w:rPr>
                    <w:t>0.3/0.3/0.3</w:t>
                  </w:r>
                </w:p>
              </w:tc>
              <w:tc>
                <w:tcPr>
                  <w:tcW w:w="2880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89B24C9">
                  <w:pPr>
                    <w:jc w:val="center"/>
                  </w:pPr>
                  <w:r>
                    <w:rPr>
                      <w:color w:val="000000"/>
                      <w:sz w:val="18"/>
                    </w:rPr>
                    <w:t>中等整形基线</w:t>
                  </w:r>
                </w:p>
              </w:tc>
            </w:tr>
            <w:tr w14:paraId="433F36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24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4308C3F">
                  <w:pPr>
                    <w:jc w:val="center"/>
                  </w:pPr>
                  <w:r>
                    <w:rPr>
                      <w:color w:val="000000"/>
                      <w:sz w:val="18"/>
                    </w:rPr>
                    <w:t>uniform p01</w:t>
                  </w:r>
                </w:p>
              </w:tc>
              <w:tc>
                <w:tcPr>
                  <w:tcW w:w="2448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581242D">
                  <w:pPr>
                    <w:jc w:val="center"/>
                  </w:pPr>
                  <w:r>
                    <w:rPr>
                      <w:color w:val="000000"/>
                      <w:sz w:val="18"/>
                    </w:rPr>
                    <w:t>0.1/0.1/0.1</w:t>
                  </w:r>
                </w:p>
              </w:tc>
              <w:tc>
                <w:tcPr>
                  <w:tcW w:w="2880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2655C3A4">
                  <w:pPr>
                    <w:jc w:val="center"/>
                  </w:pPr>
                  <w:r>
                    <w:rPr>
                      <w:color w:val="000000"/>
                      <w:sz w:val="18"/>
                    </w:rPr>
                    <w:t>强整形能量基线</w:t>
                  </w:r>
                </w:p>
              </w:tc>
            </w:tr>
            <w:tr w14:paraId="02CA4B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24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6B1FA656">
                  <w:pPr>
                    <w:jc w:val="left"/>
                  </w:pPr>
                  <w:r>
                    <w:rPr>
                      <w:color w:val="000000"/>
                      <w:sz w:val="18"/>
                    </w:rPr>
                    <w:t>good channel information</w:t>
                  </w:r>
                </w:p>
              </w:tc>
              <w:tc>
                <w:tcPr>
                  <w:tcW w:w="2448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83D2801">
                  <w:pPr>
                    <w:jc w:val="center"/>
                  </w:pPr>
                  <w:r>
                    <w:rPr>
                      <w:color w:val="000000"/>
                      <w:sz w:val="18"/>
                    </w:rPr>
                    <w:t>0.5/0.3/0.1</w:t>
                  </w:r>
                </w:p>
              </w:tc>
              <w:tc>
                <w:tcPr>
                  <w:tcW w:w="2880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D348475">
                  <w:pPr>
                    <w:jc w:val="center"/>
                  </w:pPr>
                  <w:r>
                    <w:rPr>
                      <w:color w:val="000000"/>
                      <w:sz w:val="18"/>
                    </w:rPr>
                    <w:t>好信道优先承载信息</w:t>
                  </w:r>
                </w:p>
              </w:tc>
            </w:tr>
            <w:tr w14:paraId="21D5A42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24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25AD332C">
                  <w:pPr>
                    <w:jc w:val="left"/>
                  </w:pPr>
                  <w:r>
                    <w:rPr>
                      <w:color w:val="000000"/>
                      <w:sz w:val="18"/>
                    </w:rPr>
                    <w:t>good channel energy shaping</w:t>
                  </w:r>
                </w:p>
              </w:tc>
              <w:tc>
                <w:tcPr>
                  <w:tcW w:w="2448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0090DA7C">
                  <w:pPr>
                    <w:jc w:val="center"/>
                  </w:pPr>
                  <w:r>
                    <w:rPr>
                      <w:color w:val="000000"/>
                      <w:sz w:val="18"/>
                    </w:rPr>
                    <w:t>0.1/0.3/0.5</w:t>
                  </w:r>
                </w:p>
              </w:tc>
              <w:tc>
                <w:tcPr>
                  <w:tcW w:w="2880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01A73B4">
                  <w:pPr>
                    <w:jc w:val="center"/>
                  </w:pPr>
                  <w:r>
                    <w:rPr>
                      <w:color w:val="000000"/>
                      <w:sz w:val="18"/>
                    </w:rPr>
                    <w:t>好信道承担更强整形</w:t>
                  </w:r>
                </w:p>
              </w:tc>
            </w:tr>
            <w:tr w14:paraId="012FF1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24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1C061580">
                  <w:pPr>
                    <w:jc w:val="left"/>
                  </w:pPr>
                  <w:r>
                    <w:rPr>
                      <w:color w:val="000000"/>
                      <w:sz w:val="18"/>
                    </w:rPr>
                    <w:t>bad channel energy only</w:t>
                  </w:r>
                </w:p>
              </w:tc>
              <w:tc>
                <w:tcPr>
                  <w:tcW w:w="2448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307399FB">
                  <w:pPr>
                    <w:jc w:val="center"/>
                  </w:pPr>
                  <w:r>
                    <w:rPr>
                      <w:color w:val="000000"/>
                      <w:sz w:val="18"/>
                    </w:rPr>
                    <w:t>low组不承载payload</w:t>
                  </w:r>
                </w:p>
              </w:tc>
              <w:tc>
                <w:tcPr>
                  <w:tcW w:w="2880" w:type="dx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vAlign w:val="center"/>
                </w:tcPr>
                <w:p w14:paraId="5DE6FACA">
                  <w:pPr>
                    <w:jc w:val="center"/>
                  </w:pPr>
                  <w:r>
                    <w:rPr>
                      <w:color w:val="000000"/>
                      <w:sz w:val="18"/>
                    </w:rPr>
                    <w:t>差子载波纯传能对照</w:t>
                  </w:r>
                </w:p>
              </w:tc>
            </w:tr>
          </w:tbl>
          <w:p w14:paraId="275448BC"/>
          <w:p w14:paraId="67771915"/>
          <w:p w14:paraId="5F0A163A">
            <w:pPr>
              <w:ind w:firstLine="480"/>
            </w:pPr>
            <w:r>
              <w:rPr>
                <w:color w:val="000000"/>
                <w:sz w:val="24"/>
              </w:rPr>
              <w:t>正式网格为20、24、28、32、36和40 dB，每个SNR使用30个公共Rayleigh实现。每个策略与实现至少运行5帧，累计达到200错误时停止，否则最多50帧。最终形成1080条重复记录、36条策略汇总和1920条信道记录，独立审计检查了键唯一性、资源恒等式、逐实现信道记录和零错误点上界。</w:t>
            </w:r>
          </w:p>
          <w:p w14:paraId="21039E44">
            <w:pPr>
              <w:keepNext/>
              <w:spacing w:before="60"/>
            </w:pPr>
            <w:r>
              <w:rPr>
                <w:b/>
                <w:color w:val="000000"/>
                <w:sz w:val="24"/>
              </w:rPr>
              <w:t>2、BER Goodput与接收能量正式统计</w:t>
            </w:r>
          </w:p>
          <w:p w14:paraId="22DB5F76">
            <w:pPr>
              <w:ind w:firstLine="480"/>
            </w:pPr>
            <w:r>
              <w:rPr>
                <w:color w:val="000000"/>
                <w:sz w:val="24"/>
              </w:rPr>
              <w:t>所有普通通信策略均进入有效BER瀑布区。good channel information在20至40 dB的平均BER约为0.148、0.070、0.046、0.027、0.014和0.008，整体低于uniform p05；但uniform p05从20 dB的0.319上升到40 dB的0.387，在六个SNR点均取得最高Goodput。这一差异首先来自设计码率上限，而不是译码器异常。</w:t>
            </w:r>
          </w:p>
          <w:p w14:paraId="54E9F3A7">
            <w:pPr>
              <w:keepNext/>
              <w:spacing w:before="60"/>
              <w:jc w:val="center"/>
            </w:pPr>
            <w:r>
              <w:drawing>
                <wp:inline distT="0" distB="0" distL="0" distR="0">
                  <wp:extent cx="5257800" cy="354012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3540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3539F1">
            <w:pPr>
              <w:spacing w:after="60"/>
              <w:jc w:val="center"/>
            </w:pPr>
            <w:r>
              <w:rPr>
                <w:color w:val="000000"/>
              </w:rPr>
              <w:t>图5 严格OFDM Rayleigh六策略BER随SNR变化</w:t>
            </w:r>
          </w:p>
          <w:p w14:paraId="4AFC9815">
            <w:pPr>
              <w:keepNext/>
              <w:spacing w:before="60"/>
              <w:jc w:val="center"/>
            </w:pPr>
            <w:r>
              <w:drawing>
                <wp:inline distT="0" distB="0" distL="0" distR="0">
                  <wp:extent cx="5257800" cy="353504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3535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634D0C">
            <w:pPr>
              <w:spacing w:after="60"/>
              <w:jc w:val="center"/>
            </w:pPr>
            <w:r>
              <w:rPr>
                <w:color w:val="000000"/>
              </w:rPr>
              <w:t>图6 严格OFDM Rayleigh六策略Goodput随SNR变化</w:t>
            </w:r>
          </w:p>
          <w:p w14:paraId="178FA306">
            <w:pPr>
              <w:ind w:firstLine="480"/>
            </w:pPr>
            <w:r>
              <w:rPr>
                <w:color w:val="000000"/>
                <w:sz w:val="24"/>
              </w:rPr>
              <w:t>加噪前接收能量不直接包含AWGN项，同一策略在六个SNR点的均值范围仅约为2×10的负5次方至5×10的负5次方。因此，能量统计先在每个“策略与realization”内部对六个SNR点取均值，再以30个独立realization计算均值和95%区间。uniform p01的平均接收能量约为0.0230，高于uniform p05的0.0166；good channel energy shaping约为0.0215。</w:t>
            </w:r>
          </w:p>
          <w:p w14:paraId="7C6DD29A">
            <w:pPr>
              <w:keepNext/>
              <w:spacing w:before="60"/>
              <w:jc w:val="center"/>
            </w:pPr>
            <w:r>
              <w:drawing>
                <wp:inline distT="0" distB="0" distL="0" distR="0">
                  <wp:extent cx="5074920" cy="328676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3287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54B58">
            <w:pPr>
              <w:spacing w:after="60"/>
              <w:jc w:val="center"/>
            </w:pPr>
            <w:r>
              <w:rPr>
                <w:color w:val="000000"/>
              </w:rPr>
              <w:t>图7 六类策略的接收能量及95%区间</w:t>
            </w:r>
          </w:p>
          <w:p w14:paraId="439829F0">
            <w:pPr>
              <w:ind w:firstLine="480"/>
            </w:pPr>
            <w:r>
              <w:rPr>
                <w:color w:val="000000"/>
                <w:sz w:val="24"/>
              </w:rPr>
              <w:t>正式结果没有出现同时支配BER、Goodput和接收能量的单一策略。uniform p05偏向高Goodput，uniform p01偏向高接收能量，good channel information偏向较低BER，说明策略选择必须明确通信约束和优化目标。</w:t>
            </w:r>
          </w:p>
          <w:p w14:paraId="3F8DB427">
            <w:pPr>
              <w:keepNext/>
              <w:spacing w:before="60"/>
            </w:pPr>
            <w:r>
              <w:rPr>
                <w:b/>
                <w:color w:val="000000"/>
                <w:sz w:val="24"/>
              </w:rPr>
              <w:t>3、配对统计与三目标非支配关系</w:t>
            </w:r>
          </w:p>
          <w:p w14:paraId="3A451F73">
            <w:pPr>
              <w:ind w:firstLine="480"/>
            </w:pPr>
            <w:r>
              <w:rPr>
                <w:color w:val="000000"/>
                <w:sz w:val="24"/>
              </w:rPr>
              <w:t>为消除Rayleigh信道实现间波动，以uniform p05为参考，在相同SNR和相同realization下计算候选策略减参考策略的差值。共形成5个候选、6个SNR和3个指标，即90条配对统计。good channel information在六个SNR上的BER差值均低于0，95%区间不跨0；与此同时，其Goodput差值均为负、接收能量差值均为正，说明该策略稳定地以部分吞吐换取可靠性和能量，而非全面优于基线。</w:t>
            </w:r>
          </w:p>
          <w:p w14:paraId="4DEDB330">
            <w:pPr>
              <w:ind w:firstLine="480"/>
            </w:pPr>
            <w:r>
              <w:rPr>
                <w:color w:val="000000"/>
                <w:sz w:val="24"/>
              </w:rPr>
              <w:t>在每个SNR内，以BER不增、Goodput不降、接收能量不降且至少一项严格改善作为三目标支配判据。uniform p05位于高Goodput、低能量区域，uniform p01位于高能量、低Goodput区域，good channel information因BER较低经常保留在非支配集合中。黑圈只表示六种已验证离散策略中的非支配点，不代表连续参数空间的全局Pareto前沿。</w:t>
            </w:r>
          </w:p>
          <w:p w14:paraId="330014D3">
            <w:pPr>
              <w:keepNext/>
              <w:spacing w:before="60"/>
              <w:jc w:val="center"/>
            </w:pPr>
            <w:r>
              <w:drawing>
                <wp:inline distT="0" distB="0" distL="0" distR="0">
                  <wp:extent cx="5257800" cy="335026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3350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BBB12">
            <w:pPr>
              <w:spacing w:after="60"/>
              <w:jc w:val="center"/>
            </w:pPr>
            <w:r>
              <w:rPr>
                <w:color w:val="000000"/>
              </w:rPr>
              <w:t>图8 逐SNR Goodput 能量关系及三目标非支配点</w:t>
            </w:r>
          </w:p>
          <w:p w14:paraId="19B461E8">
            <w:pPr>
              <w:keepNext/>
              <w:spacing w:before="60"/>
            </w:pPr>
            <w:r>
              <w:rPr>
                <w:b/>
                <w:color w:val="000000"/>
                <w:sz w:val="24"/>
              </w:rPr>
              <w:t>4、低复杂度约束码本</w:t>
            </w:r>
          </w:p>
          <w:p w14:paraId="381CB5E2">
            <w:pPr>
              <w:ind w:firstLine="480"/>
            </w:pPr>
            <w:r>
              <w:rPr>
                <w:color w:val="000000"/>
                <w:sz w:val="24"/>
              </w:rPr>
              <w:t>将六种完成full-chain验证的策略作为离散码本。给定平均SNR后，先筛选BER上95%区间不超过0.1且Goodput下95%区间不低于0.25的策略；若存在可行项，则选择平均接收能量最大的策略；若不存在可行项，则回退到Goodput均值最大的策略。约束写为</w:t>
            </w:r>
          </w:p>
          <w:p w14:paraId="407A6635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BER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upper</m:t>
                    </m:r>
                    <m:r>
                      <m:rPr/>
                      <w:rPr>
                        <w:rFonts w:ascii="Cambria Math" w:hAnsi="Cambria Math"/>
                      </w:rPr>
                      <m:t>,95%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≤0.1,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lower</m:t>
                    </m:r>
                    <m:r>
                      <m:rPr/>
                      <w:rPr>
                        <w:rFonts w:ascii="Cambria Math" w:hAnsi="Cambria Math"/>
                      </w:rPr>
                      <m:t>,95%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≥0.25</m:t>
                </m:r>
              </m:oMath>
            </m:oMathPara>
          </w:p>
          <w:p w14:paraId="32AFE78E">
            <w:pPr>
              <w:ind w:firstLine="480"/>
            </w:pPr>
            <w:r>
              <w:rPr>
                <w:color w:val="000000"/>
                <w:sz w:val="24"/>
              </w:rPr>
              <w:t>在线阶段仅需按子载波增益排序并扫描6个码本项，复杂度为O(Nsc log Nsc)+O(6)，码本索引需要3 bit信令。训练数据最初给出20 dB选择uniform p05、24至40 dB选择uniform p01的规则；后续独立验证发现24 dB的BER门限失败，最终将强整形切换点推迟到28 dB。</w:t>
            </w:r>
          </w:p>
          <w:p w14:paraId="22697A73">
            <w:pPr>
              <w:ind w:firstLine="480"/>
            </w:pPr>
            <w:r>
              <w:rPr>
                <w:color w:val="000000"/>
                <w:sz w:val="24"/>
              </w:rPr>
              <w:t>5、固定28 dB下的约束敏感性分析。为检验约束对策略选择的影响，固定28 dB并对正式数据进行离线复算。默认门限（BER上界≤0.10、Goodput下界≥0.25）选择统一p=0.1；将Goodput下限提高至0.32和0.34时，分别选择统一p=0.3和p=0.5；将BER上限收紧至0.06（Goodput下限0.30）时，选择好信道偏信息。双约束收紧至BER≤0.03、Goodput≥0.30后无可行项，回退到Goodput最高的p=0.5，但仍不满足约束。新增门限均为离线敏感性示例，尚未独立验证；已通过验证的正式规则仍为20/24 dB选择p=0.5、28—40 dB选择p=0.1。</w:t>
            </w:r>
          </w:p>
          <w:p w14:paraId="4087B034">
            <w:pPr>
              <w:keepNext/>
              <w:spacing w:before="60"/>
            </w:pPr>
            <w:r>
              <w:rPr>
                <w:b/>
                <w:color w:val="000000"/>
                <w:sz w:val="24"/>
              </w:rPr>
              <w:t>6、独立验证与28 dB保护带</w:t>
            </w:r>
          </w:p>
          <w:p w14:paraId="307F9182">
            <w:pPr>
              <w:ind w:firstLine="480"/>
            </w:pPr>
            <w:r>
              <w:rPr>
                <w:color w:val="000000"/>
                <w:sz w:val="24"/>
              </w:rPr>
              <w:t>第一批独立验证固定上述码本和门限，使用30个全新Rayleigh实现，不重新选择策略。20 dB回退到uniform p05仍保持最大Goodput；28至40 dB的uniform p01同时通过BER和Goodput门限，并获得约0.0061的接收能量增量。24 dB是唯一失败点，其BER上95%区间为0.1060，高于0.1门限约0.006，而Goodput下95%区间为0.2573。该结果表明训练集切换点位于统计边界，不能直接宣称完整泛化。</w:t>
            </w:r>
          </w:p>
          <w:p w14:paraId="5D9EBD26">
            <w:pPr>
              <w:ind w:firstLine="480"/>
            </w:pPr>
            <w:r>
              <w:rPr>
                <w:color w:val="000000"/>
                <w:sz w:val="24"/>
              </w:rPr>
              <w:t>针对24 dB边界失败，预先将保护带规则修订为20和24 dB使用uniform p05、28至40 dB使用uniform p01，并采用seed=2042生成第三批30个全新Rayleigh实现。第三批在28至40 dB的各点通过默认BER和Goodput门限；其中28 dB最弱点的BER上95%区间为0.0760，Goodput下95%区间为0.2659，接收能量增量约为0.0066。</w:t>
            </w:r>
          </w:p>
          <w:p w14:paraId="4473E69D">
            <w:pPr>
              <w:ind w:firstLine="480"/>
            </w:pPr>
            <w:r>
              <w:rPr>
                <w:color w:val="000000"/>
                <w:sz w:val="24"/>
              </w:rPr>
              <w:t>最终推荐规则为：20和24 dB优先保持uniform p05，28 dB及以上在通信门限满足后切换到uniform p01。该规则只在六项离散码本中选择，适用于当前16-tap Rayleigh、ZF均衡、SC译码和三组polar块架构；接收信号均方仍是能量代理量，不等同于RF至直流效率，也不代表64个子载波各自使用独立polar码或连续全局最优分配。</w:t>
            </w:r>
          </w:p>
        </w:tc>
      </w:tr>
      <w:tr w14:paraId="1BDE5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340" w:hRule="atLeast"/>
          <w:jc w:val="center"/>
        </w:trPr>
        <w:tc>
          <w:tcPr>
            <w:tcW w:w="5000" w:type="pct"/>
            <w:gridSpan w:val="2"/>
            <w:vAlign w:val="center"/>
          </w:tcPr>
          <w:p w14:paraId="482DB0A4">
            <w:pPr>
              <w:rPr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4</w:t>
            </w:r>
            <w:r>
              <w:rPr>
                <w:rFonts w:hint="eastAsia" w:ascii="宋体" w:hAnsi="宋体"/>
                <w:b/>
                <w:sz w:val="24"/>
              </w:rPr>
              <w:t>.</w:t>
            </w:r>
            <w:r>
              <w:rPr>
                <w:rFonts w:ascii="宋体" w:hAnsi="宋体"/>
                <w:b/>
                <w:sz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</w:rPr>
              <w:t>阶段性研究成果</w:t>
            </w:r>
          </w:p>
        </w:tc>
      </w:tr>
      <w:tr w14:paraId="770C2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4352" w:hRule="atLeast"/>
          <w:jc w:val="center"/>
        </w:trPr>
        <w:tc>
          <w:tcPr>
            <w:tcW w:w="5000" w:type="pct"/>
            <w:gridSpan w:val="2"/>
          </w:tcPr>
          <w:p w14:paraId="3CBB4328">
            <w:pPr>
              <w:ind w:firstLine="480"/>
            </w:pPr>
            <w:r>
              <w:rPr>
                <w:color w:val="000000"/>
                <w:sz w:val="24"/>
              </w:rPr>
              <w:t>暂无与本学位论文直接相关且符合本表填写条件的已发表、录用或投稿成果。</w:t>
            </w:r>
          </w:p>
        </w:tc>
      </w:tr>
    </w:tbl>
    <w:p w14:paraId="2796974D">
      <w:pPr>
        <w:numPr>
          <w:ilvl w:val="0"/>
          <w:numId w:val="1"/>
        </w:numPr>
        <w:rPr>
          <w:b/>
          <w:bCs/>
          <w:sz w:val="36"/>
        </w:rPr>
      </w:pPr>
      <w:r>
        <w:br w:type="page"/>
      </w:r>
      <w:r>
        <w:rPr>
          <w:rFonts w:hint="eastAsia" w:ascii="黑体" w:hAnsi="黑体" w:eastAsia="黑体"/>
          <w:bCs/>
          <w:sz w:val="28"/>
        </w:rPr>
        <w:t>存在的主要问题和解决办法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9752"/>
      </w:tblGrid>
      <w:tr w14:paraId="5A428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6803" w:hRule="atLeast"/>
          <w:jc w:val="center"/>
        </w:trPr>
        <w:tc>
          <w:tcPr>
            <w:tcW w:w="5000" w:type="pct"/>
          </w:tcPr>
          <w:p w14:paraId="5737263C">
            <w:pPr>
              <w:spacing w:after="120"/>
            </w:pPr>
            <w:r>
              <w:rPr>
                <w:color w:val="000000"/>
                <w:sz w:val="24"/>
              </w:rPr>
              <w:t>1.未按开题计划完成的研究工作，研究工作存在的原理性、技术性难题以及在实验条件等方面的限制</w:t>
            </w:r>
          </w:p>
          <w:p w14:paraId="79C2ADA6">
            <w:pPr>
              <w:ind w:firstLine="480"/>
            </w:pPr>
            <w:r>
              <w:rPr>
                <w:color w:val="000000"/>
                <w:sz w:val="24"/>
              </w:rPr>
              <w:t>1）理论模型与有限长链路仍存在差异。现有GA/BPSK等效模型不能精确描述非均匀高阶QAM位信道、有限长集合构造和SC误差传播，解析预测与full-chain Monte Carlo之间仍有偏差。</w:t>
            </w:r>
          </w:p>
          <w:p w14:paraId="3C8CC20D">
            <w:pPr>
              <w:ind w:firstLine="480"/>
            </w:pPr>
            <w:r>
              <w:rPr>
                <w:color w:val="000000"/>
                <w:sz w:val="24"/>
              </w:rPr>
              <w:t>2）通信可靠性、有效吞吐和能量之间存在结构性权衡。强整形提高高能量符号占比，却改变信息位数量、设计码率上限和逐bit BER权重；现有正式结果未发现覆盖全部SNR和目标的单一最优参数。</w:t>
            </w:r>
          </w:p>
          <w:p w14:paraId="7EFD333A">
            <w:pPr>
              <w:ind w:firstLine="480"/>
            </w:pPr>
            <w:r>
              <w:rPr>
                <w:color w:val="000000"/>
                <w:sz w:val="24"/>
              </w:rPr>
              <w:t>3）策略选择仍限于六项预定义码本。固定28 dB的离线敏感性复算显示，不同BER和Goodput门限会改变最优可行策略；双约束无可行项时按最大Goodput回退，但回退不代表满足约束。新增门限尚未独立验证，后续还需检验门限稳健性、能量下置信界目标、切换滞回和在线运行时间。</w:t>
            </w:r>
          </w:p>
          <w:p w14:paraId="52A33559">
            <w:pPr>
              <w:ind w:firstLine="480"/>
            </w:pPr>
            <w:r>
              <w:rPr>
                <w:color w:val="000000"/>
                <w:sz w:val="24"/>
              </w:rPr>
              <w:t>4）能量模型和工程实测尚未闭环。单载波采用归一化发送符号均方，多载波采用Rayleigh多径后、加噪前接收信号均方，均不是RF至直流转换效率；USRP、整流器标定和端到端实测按后续计划开展。</w:t>
            </w:r>
          </w:p>
        </w:tc>
      </w:tr>
      <w:tr w14:paraId="6950E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7030" w:hRule="atLeast"/>
          <w:jc w:val="center"/>
        </w:trPr>
        <w:tc>
          <w:tcPr>
            <w:tcW w:w="5000" w:type="pct"/>
          </w:tcPr>
          <w:p w14:paraId="46074819">
            <w:pPr>
              <w:spacing w:after="120"/>
            </w:pPr>
            <w:r>
              <w:rPr>
                <w:color w:val="000000"/>
                <w:sz w:val="24"/>
              </w:rPr>
              <w:t>2.针对上述问题采取何种解决办法，对学位论文的研究内容及所采取的理论方法、技术路线和实施方案的进一步调整，以及下一步的研究计划</w:t>
            </w:r>
          </w:p>
          <w:p w14:paraId="2065CD10">
            <w:pPr>
              <w:ind w:firstLine="480"/>
            </w:pPr>
            <w:r>
              <w:rPr>
                <w:color w:val="000000"/>
                <w:sz w:val="24"/>
              </w:rPr>
              <w:t>1）从真实Gray QAM符号先验出发完善bit-level LLR信道，分别用source Monte Carlo和GA处理分布构造与通信可靠性；必要时比较先验适配的CA-SCL，并继续报告设计码率上限、错误数、帧数和置信区间。</w:t>
            </w:r>
          </w:p>
          <w:p w14:paraId="7C789A74">
            <w:pPr>
              <w:ind w:firstLine="480"/>
            </w:pPr>
            <w:r>
              <w:rPr>
                <w:color w:val="000000"/>
                <w:sz w:val="24"/>
              </w:rPr>
              <w:t>2）以严格OFDM Rayleigh正式统计和已通过第三批验证的28 dB保护带为基线，继续比较BER门限、Goodput下限和能量目标。固定28 dB的离线复算已说明门限会改变策略选择；下一步将用新的信道实现独立验证新增门限，并比较能量均值与能量下置信界作为选择目标的差别。</w:t>
            </w:r>
          </w:p>
          <w:p w14:paraId="39CA4475">
            <w:pPr>
              <w:ind w:firstLine="480"/>
            </w:pPr>
            <w:r>
              <w:rPr>
                <w:color w:val="000000"/>
                <w:sz w:val="24"/>
              </w:rPr>
              <w:t>3）补充六项码本扫描与子载波排序的运行时间，研究保护带和切换滞回；根据论文需要比较更丰富的分组策略、MMSE均衡或SCL译码，同时保持离散码本的可解释性和低信令开销。</w:t>
            </w:r>
          </w:p>
          <w:p w14:paraId="1FB12123">
            <w:pPr>
              <w:ind w:firstLine="480"/>
            </w:pPr>
            <w:r>
              <w:rPr>
                <w:color w:val="000000"/>
                <w:sz w:val="24"/>
              </w:rPr>
              <w:t>4）按开题计划搭建USRP基础收发链路和整流测试平台，依次完成仪器与功率标定、概率整形编码上板、多载波策略验证和非线性整流模型校准，最终汇总理论、仿真与实测结果完成论文。</w:t>
            </w:r>
          </w:p>
        </w:tc>
      </w:tr>
    </w:tbl>
    <w:p w14:paraId="60A1A039">
      <w:pPr>
        <w:numPr>
          <w:ilvl w:val="0"/>
          <w:numId w:val="1"/>
        </w:numPr>
        <w:rPr>
          <w:b/>
          <w:bCs/>
          <w:sz w:val="36"/>
        </w:rPr>
      </w:pPr>
      <w:r>
        <w:br w:type="page"/>
      </w:r>
      <w:r>
        <w:rPr>
          <w:rFonts w:hint="eastAsia" w:ascii="黑体" w:hAnsi="黑体" w:eastAsia="黑体"/>
          <w:bCs/>
          <w:sz w:val="28"/>
        </w:rPr>
        <w:t>中期考评审查意见</w:t>
      </w:r>
    </w:p>
    <w:tbl>
      <w:tblPr>
        <w:tblStyle w:val="4"/>
        <w:tblW w:w="5000" w:type="pct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145"/>
        <w:gridCol w:w="2450"/>
        <w:gridCol w:w="2198"/>
        <w:gridCol w:w="3959"/>
      </w:tblGrid>
      <w:tr w14:paraId="020BE70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cantSplit/>
          <w:trHeight w:val="2268" w:hRule="atLeast"/>
          <w:jc w:val="center"/>
        </w:trPr>
        <w:tc>
          <w:tcPr>
            <w:tcW w:w="5000" w:type="pct"/>
            <w:gridSpan w:val="4"/>
            <w:tcBorders>
              <w:bottom w:val="nil"/>
            </w:tcBorders>
          </w:tcPr>
          <w:p w14:paraId="338C8885">
            <w:pPr>
              <w:spacing w:after="120" w:afterLines="50"/>
              <w:rPr>
                <w:rFonts w:eastAsia="楷体"/>
                <w:sz w:val="24"/>
              </w:rPr>
            </w:pPr>
            <w:r>
              <w:rPr>
                <w:rFonts w:hint="eastAsia" w:eastAsia="楷体"/>
                <w:sz w:val="24"/>
              </w:rPr>
              <w:t>1.导师对工作进展</w:t>
            </w:r>
            <w:r>
              <w:rPr>
                <w:rFonts w:hint="eastAsia" w:ascii="楷体" w:hAnsi="楷体" w:eastAsia="楷体"/>
                <w:sz w:val="24"/>
              </w:rPr>
              <w:t>及研究计划的</w:t>
            </w:r>
            <w:r>
              <w:rPr>
                <w:rFonts w:hint="eastAsia" w:eastAsia="楷体"/>
                <w:sz w:val="24"/>
              </w:rPr>
              <w:t>意见：</w:t>
            </w:r>
          </w:p>
          <w:p w14:paraId="315E19AE">
            <w:pPr>
              <w:ind w:firstLine="420" w:firstLineChars="200"/>
            </w:pPr>
          </w:p>
        </w:tc>
      </w:tr>
      <w:tr w14:paraId="162D6F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cantSplit/>
          <w:jc w:val="center"/>
        </w:trPr>
        <w:tc>
          <w:tcPr>
            <w:tcW w:w="5000" w:type="pct"/>
            <w:gridSpan w:val="4"/>
            <w:tcBorders>
              <w:top w:val="nil"/>
            </w:tcBorders>
          </w:tcPr>
          <w:p w14:paraId="1DA9CD15">
            <w:pPr>
              <w:spacing w:line="720" w:lineRule="auto"/>
            </w:pPr>
            <w:r>
              <w:rPr>
                <w:rFonts w:hint="eastAsia"/>
              </w:rPr>
              <w:t xml:space="preserve">导师（组）签字： </w:t>
            </w:r>
            <w:r>
              <w:t xml:space="preserve">                                                       </w:t>
            </w:r>
            <w:r>
              <w:rPr>
                <w:rFonts w:hint="eastAsia"/>
              </w:rPr>
              <w:t xml:space="preserve">年 </w:t>
            </w:r>
            <w:r>
              <w:t xml:space="preserve">    </w:t>
            </w:r>
            <w:r>
              <w:rPr>
                <w:rFonts w:hint="eastAsia"/>
              </w:rPr>
              <w:t xml:space="preserve">月 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14:paraId="4BB7FA6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cantSplit/>
          <w:trHeight w:val="397" w:hRule="atLeast"/>
          <w:jc w:val="center"/>
        </w:trPr>
        <w:tc>
          <w:tcPr>
            <w:tcW w:w="5000" w:type="pct"/>
            <w:gridSpan w:val="4"/>
            <w:vAlign w:val="center"/>
          </w:tcPr>
          <w:p w14:paraId="681D6BA8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  <w:r>
              <w:rPr>
                <w:rFonts w:hint="eastAsia" w:ascii="宋体" w:hAnsi="宋体"/>
                <w:b/>
                <w:sz w:val="24"/>
              </w:rPr>
              <w:t>.中期考评专家组意见</w:t>
            </w:r>
          </w:p>
        </w:tc>
      </w:tr>
      <w:tr w14:paraId="4BBA6EA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cantSplit/>
          <w:trHeight w:val="397" w:hRule="atLeast"/>
          <w:jc w:val="center"/>
        </w:trPr>
        <w:tc>
          <w:tcPr>
            <w:tcW w:w="587" w:type="pct"/>
            <w:vAlign w:val="center"/>
          </w:tcPr>
          <w:p w14:paraId="6C0E0A3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考评日期</w:t>
            </w:r>
          </w:p>
        </w:tc>
        <w:tc>
          <w:tcPr>
            <w:tcW w:w="1256" w:type="pct"/>
            <w:vAlign w:val="center"/>
          </w:tcPr>
          <w:p w14:paraId="71AC0201">
            <w:pPr>
              <w:jc w:val="center"/>
              <w:rPr>
                <w:sz w:val="24"/>
              </w:rPr>
            </w:pPr>
          </w:p>
        </w:tc>
        <w:tc>
          <w:tcPr>
            <w:tcW w:w="1127" w:type="pct"/>
            <w:vAlign w:val="center"/>
          </w:tcPr>
          <w:p w14:paraId="6ED5C89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考评地点</w:t>
            </w:r>
          </w:p>
        </w:tc>
        <w:tc>
          <w:tcPr>
            <w:tcW w:w="2030" w:type="pct"/>
            <w:vAlign w:val="center"/>
          </w:tcPr>
          <w:p w14:paraId="1A7D15CF">
            <w:pPr>
              <w:rPr>
                <w:sz w:val="24"/>
              </w:rPr>
            </w:pPr>
          </w:p>
        </w:tc>
      </w:tr>
      <w:tr w14:paraId="07EEDCC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cantSplit/>
          <w:trHeight w:val="397" w:hRule="atLeast"/>
          <w:jc w:val="center"/>
        </w:trPr>
        <w:tc>
          <w:tcPr>
            <w:tcW w:w="587" w:type="pct"/>
            <w:vAlign w:val="center"/>
          </w:tcPr>
          <w:p w14:paraId="4A33EF4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考评专家</w:t>
            </w:r>
          </w:p>
        </w:tc>
        <w:tc>
          <w:tcPr>
            <w:tcW w:w="4413" w:type="pct"/>
            <w:gridSpan w:val="3"/>
            <w:vAlign w:val="center"/>
          </w:tcPr>
          <w:p w14:paraId="45708017">
            <w:pPr>
              <w:rPr>
                <w:sz w:val="24"/>
              </w:rPr>
            </w:pPr>
          </w:p>
        </w:tc>
      </w:tr>
      <w:tr w14:paraId="0B75858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cantSplit/>
          <w:trHeight w:val="397" w:hRule="atLeast"/>
          <w:jc w:val="center"/>
        </w:trPr>
        <w:tc>
          <w:tcPr>
            <w:tcW w:w="587" w:type="pct"/>
            <w:vAlign w:val="center"/>
          </w:tcPr>
          <w:p w14:paraId="7197AF4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考评成绩</w:t>
            </w:r>
          </w:p>
        </w:tc>
        <w:tc>
          <w:tcPr>
            <w:tcW w:w="4413" w:type="pct"/>
            <w:gridSpan w:val="3"/>
            <w:vAlign w:val="center"/>
          </w:tcPr>
          <w:p w14:paraId="632B33F7">
            <w:pPr>
              <w:ind w:firstLine="720" w:firstLineChars="300"/>
              <w:rPr>
                <w:sz w:val="24"/>
              </w:rPr>
            </w:pPr>
            <w:r>
              <w:rPr>
                <w:rFonts w:hint="eastAsia"/>
                <w:sz w:val="24"/>
              </w:rPr>
              <w:t>合格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票 </w:t>
            </w:r>
            <w:r>
              <w:rPr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基本合格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票 </w:t>
            </w:r>
            <w:r>
              <w:rPr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不合格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</w:rPr>
              <w:t>票</w:t>
            </w:r>
          </w:p>
        </w:tc>
      </w:tr>
      <w:tr w14:paraId="4F84BE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cantSplit/>
          <w:trHeight w:val="397" w:hRule="atLeast"/>
          <w:jc w:val="center"/>
        </w:trPr>
        <w:tc>
          <w:tcPr>
            <w:tcW w:w="587" w:type="pct"/>
            <w:tcBorders>
              <w:bottom w:val="single" w:color="auto" w:sz="6" w:space="0"/>
            </w:tcBorders>
            <w:vAlign w:val="center"/>
          </w:tcPr>
          <w:p w14:paraId="3690CDC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结 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论</w:t>
            </w:r>
          </w:p>
        </w:tc>
        <w:tc>
          <w:tcPr>
            <w:tcW w:w="4413" w:type="pct"/>
            <w:gridSpan w:val="3"/>
            <w:tcBorders>
              <w:bottom w:val="single" w:color="auto" w:sz="6" w:space="0"/>
            </w:tcBorders>
            <w:vAlign w:val="center"/>
          </w:tcPr>
          <w:p w14:paraId="6C344D65">
            <w:pPr>
              <w:spacing w:before="240" w:beforeLines="100" w:after="240" w:afterLines="100"/>
              <w:ind w:firstLine="708" w:firstLineChars="300"/>
              <w:rPr>
                <w:spacing w:val="-2"/>
                <w:sz w:val="24"/>
              </w:rPr>
            </w:pPr>
            <w:r>
              <w:rPr>
                <w:rFonts w:hint="eastAsia" w:ascii="宋体" w:hAnsi="宋体"/>
                <w:spacing w:val="-2"/>
                <w:sz w:val="24"/>
              </w:rPr>
              <w:t>□</w:t>
            </w:r>
            <w:r>
              <w:rPr>
                <w:rFonts w:hint="eastAsia"/>
                <w:spacing w:val="-2"/>
                <w:sz w:val="24"/>
              </w:rPr>
              <w:t xml:space="preserve">通过 </w:t>
            </w:r>
            <w:r>
              <w:rPr>
                <w:spacing w:val="-2"/>
                <w:sz w:val="24"/>
              </w:rPr>
              <w:t xml:space="preserve">           </w:t>
            </w:r>
            <w:r>
              <w:rPr>
                <w:rFonts w:hint="eastAsia" w:ascii="宋体" w:hAnsi="宋体"/>
                <w:spacing w:val="-2"/>
                <w:sz w:val="24"/>
              </w:rPr>
              <w:t>□原则</w:t>
            </w:r>
            <w:r>
              <w:rPr>
                <w:rFonts w:hint="eastAsia"/>
                <w:spacing w:val="-2"/>
                <w:sz w:val="24"/>
              </w:rPr>
              <w:t xml:space="preserve">通过 </w:t>
            </w:r>
            <w:r>
              <w:rPr>
                <w:spacing w:val="-2"/>
                <w:sz w:val="24"/>
              </w:rPr>
              <w:t xml:space="preserve">          </w:t>
            </w:r>
            <w:r>
              <w:rPr>
                <w:rFonts w:hint="eastAsia" w:ascii="宋体" w:hAnsi="宋体"/>
                <w:spacing w:val="-2"/>
                <w:sz w:val="24"/>
              </w:rPr>
              <w:t>□不</w:t>
            </w:r>
            <w:r>
              <w:rPr>
                <w:rFonts w:hint="eastAsia"/>
                <w:spacing w:val="-2"/>
                <w:sz w:val="24"/>
              </w:rPr>
              <w:t xml:space="preserve">通过 </w:t>
            </w:r>
          </w:p>
          <w:p w14:paraId="2D8A1BAC">
            <w:pPr>
              <w:rPr>
                <w:spacing w:val="-2"/>
                <w:sz w:val="18"/>
                <w:szCs w:val="18"/>
              </w:rPr>
            </w:pPr>
            <w:r>
              <w:rPr>
                <w:rFonts w:hint="eastAsia"/>
                <w:b/>
                <w:spacing w:val="182"/>
                <w:kern w:val="0"/>
                <w:sz w:val="18"/>
                <w:szCs w:val="18"/>
                <w:fitText w:val="724" w:id="1790685443"/>
              </w:rPr>
              <w:t>通</w:t>
            </w:r>
            <w:r>
              <w:rPr>
                <w:rFonts w:hint="eastAsia"/>
                <w:b/>
                <w:spacing w:val="0"/>
                <w:kern w:val="0"/>
                <w:sz w:val="18"/>
                <w:szCs w:val="18"/>
                <w:fitText w:val="724" w:id="1790685443"/>
              </w:rPr>
              <w:t>过</w:t>
            </w:r>
            <w:r>
              <w:rPr>
                <w:rFonts w:hint="eastAsia"/>
                <w:b/>
                <w:spacing w:val="-2"/>
                <w:sz w:val="18"/>
                <w:szCs w:val="18"/>
              </w:rPr>
              <w:t>：</w:t>
            </w:r>
            <w:r>
              <w:rPr>
                <w:rFonts w:hint="eastAsia"/>
                <w:spacing w:val="-2"/>
                <w:sz w:val="18"/>
                <w:szCs w:val="18"/>
              </w:rPr>
              <w:t>表决票均为合格</w:t>
            </w:r>
          </w:p>
          <w:p w14:paraId="26545241">
            <w:pPr>
              <w:rPr>
                <w:spacing w:val="-2"/>
                <w:sz w:val="18"/>
                <w:szCs w:val="18"/>
              </w:rPr>
            </w:pPr>
            <w:r>
              <w:rPr>
                <w:rFonts w:hint="eastAsia"/>
                <w:b/>
                <w:spacing w:val="0"/>
                <w:kern w:val="0"/>
                <w:sz w:val="18"/>
                <w:szCs w:val="18"/>
                <w:fitText w:val="724" w:id="1790685444"/>
              </w:rPr>
              <w:t>原则通过</w:t>
            </w:r>
            <w:r>
              <w:rPr>
                <w:rFonts w:hint="eastAsia"/>
                <w:b/>
                <w:spacing w:val="-2"/>
                <w:sz w:val="18"/>
                <w:szCs w:val="18"/>
              </w:rPr>
              <w:t>：</w:t>
            </w:r>
            <w:r>
              <w:rPr>
                <w:rFonts w:hint="eastAsia"/>
                <w:spacing w:val="-2"/>
                <w:sz w:val="18"/>
                <w:szCs w:val="18"/>
              </w:rPr>
              <w:t>表决票中有1票为基本合格或不合格，其余为合格和基本合格</w:t>
            </w:r>
          </w:p>
          <w:p w14:paraId="0BE44702">
            <w:pPr>
              <w:rPr>
                <w:b/>
                <w:spacing w:val="-2"/>
                <w:sz w:val="24"/>
              </w:rPr>
            </w:pPr>
            <w:r>
              <w:rPr>
                <w:rFonts w:hint="eastAsia"/>
                <w:b/>
                <w:spacing w:val="46"/>
                <w:kern w:val="0"/>
                <w:sz w:val="18"/>
                <w:szCs w:val="18"/>
                <w:fitText w:val="724" w:id="1790685445"/>
              </w:rPr>
              <w:t>不通</w:t>
            </w:r>
            <w:r>
              <w:rPr>
                <w:rFonts w:hint="eastAsia"/>
                <w:b/>
                <w:spacing w:val="0"/>
                <w:kern w:val="0"/>
                <w:sz w:val="18"/>
                <w:szCs w:val="18"/>
                <w:fitText w:val="724" w:id="1790685445"/>
              </w:rPr>
              <w:t>过</w:t>
            </w:r>
            <w:r>
              <w:rPr>
                <w:rFonts w:hint="eastAsia"/>
                <w:b/>
                <w:spacing w:val="-2"/>
                <w:sz w:val="18"/>
                <w:szCs w:val="18"/>
              </w:rPr>
              <w:t>：</w:t>
            </w:r>
            <w:r>
              <w:rPr>
                <w:rFonts w:hint="eastAsia"/>
                <w:spacing w:val="-2"/>
                <w:sz w:val="18"/>
                <w:szCs w:val="18"/>
              </w:rPr>
              <w:t>表决票中有2票及以上为不合格</w:t>
            </w:r>
          </w:p>
        </w:tc>
      </w:tr>
      <w:tr w14:paraId="79BCD01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cantSplit/>
          <w:jc w:val="center"/>
        </w:trPr>
        <w:tc>
          <w:tcPr>
            <w:tcW w:w="5000" w:type="pct"/>
            <w:gridSpan w:val="4"/>
            <w:tcBorders>
              <w:bottom w:val="nil"/>
            </w:tcBorders>
          </w:tcPr>
          <w:p w14:paraId="328BB18D">
            <w:pPr>
              <w:spacing w:after="120" w:afterLines="50"/>
              <w:rPr>
                <w:rFonts w:eastAsia="楷体"/>
                <w:sz w:val="24"/>
              </w:rPr>
            </w:pPr>
            <w:r>
              <w:rPr>
                <w:rFonts w:hint="eastAsia" w:eastAsia="楷体"/>
                <w:sz w:val="24"/>
              </w:rPr>
              <w:t>对学位论文工作进展，从事科学研究的能力和作风，以及下一步研究计划的建议，是否适合继续攻读学位：</w:t>
            </w:r>
          </w:p>
          <w:p w14:paraId="34272B4A"/>
          <w:p w14:paraId="5DB49125"/>
          <w:p w14:paraId="73311B6B"/>
          <w:p w14:paraId="3DF5D60D"/>
          <w:p w14:paraId="1B218612"/>
          <w:p w14:paraId="70210FBE"/>
          <w:p w14:paraId="3F65D67F"/>
          <w:p w14:paraId="40E2A452"/>
          <w:p w14:paraId="51C6C3FE"/>
          <w:p w14:paraId="5159B7D2"/>
          <w:p w14:paraId="79EDD73D"/>
          <w:p w14:paraId="34674B34"/>
        </w:tc>
      </w:tr>
      <w:tr w14:paraId="5FCEB12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cantSplit/>
          <w:trHeight w:val="851" w:hRule="atLeast"/>
          <w:jc w:val="center"/>
        </w:trPr>
        <w:tc>
          <w:tcPr>
            <w:tcW w:w="5000" w:type="pct"/>
            <w:gridSpan w:val="4"/>
            <w:tcBorders>
              <w:top w:val="nil"/>
              <w:bottom w:val="single" w:color="auto" w:sz="6" w:space="0"/>
            </w:tcBorders>
            <w:vAlign w:val="center"/>
          </w:tcPr>
          <w:p w14:paraId="5B88307D">
            <w:pPr>
              <w:tabs>
                <w:tab w:val="left" w:pos="3420"/>
                <w:tab w:val="left" w:pos="8010"/>
              </w:tabs>
              <w:spacing w:after="240" w:afterLines="100"/>
              <w:rPr>
                <w:sz w:val="24"/>
              </w:rPr>
            </w:pPr>
            <w:r>
              <w:tab/>
            </w:r>
            <w:r>
              <w:rPr>
                <w:rFonts w:hint="eastAsia"/>
                <w:sz w:val="24"/>
              </w:rPr>
              <w:t>考评组签名：</w:t>
            </w:r>
            <w:r>
              <w:rPr>
                <w:sz w:val="24"/>
              </w:rPr>
              <w:tab/>
            </w:r>
          </w:p>
          <w:p w14:paraId="12B90A59">
            <w:pPr>
              <w:tabs>
                <w:tab w:val="left" w:pos="4253"/>
                <w:tab w:val="left" w:pos="7730"/>
              </w:tabs>
              <w:jc w:val="right"/>
              <w:rPr>
                <w:rFonts w:eastAsia="楷体"/>
                <w:sz w:val="24"/>
              </w:rPr>
            </w:pPr>
            <w:r>
              <w:rPr>
                <w:rFonts w:hint="eastAsia"/>
                <w:sz w:val="24"/>
              </w:rPr>
              <w:t xml:space="preserve">年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月 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日</w:t>
            </w:r>
          </w:p>
        </w:tc>
      </w:tr>
      <w:tr w14:paraId="600E6C2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cantSplit/>
          <w:jc w:val="center"/>
        </w:trPr>
        <w:tc>
          <w:tcPr>
            <w:tcW w:w="5000" w:type="pct"/>
            <w:gridSpan w:val="4"/>
            <w:tcBorders>
              <w:bottom w:val="nil"/>
            </w:tcBorders>
          </w:tcPr>
          <w:p w14:paraId="176E0CB1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3.学院意见：</w:t>
            </w:r>
          </w:p>
          <w:p w14:paraId="73E9A3A3">
            <w:pPr>
              <w:rPr>
                <w:sz w:val="24"/>
              </w:rPr>
            </w:pPr>
          </w:p>
          <w:p w14:paraId="65378D0A">
            <w:pPr>
              <w:rPr>
                <w:sz w:val="24"/>
              </w:rPr>
            </w:pPr>
          </w:p>
          <w:p w14:paraId="1F2A96F8">
            <w:pPr>
              <w:rPr>
                <w:sz w:val="24"/>
              </w:rPr>
            </w:pPr>
          </w:p>
          <w:p w14:paraId="3FEE75DF">
            <w:pPr>
              <w:rPr>
                <w:sz w:val="24"/>
              </w:rPr>
            </w:pPr>
          </w:p>
          <w:p w14:paraId="3A2CB451">
            <w:pPr>
              <w:rPr>
                <w:sz w:val="24"/>
              </w:rPr>
            </w:pPr>
          </w:p>
        </w:tc>
      </w:tr>
      <w:tr w14:paraId="3A8C19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cantSplit/>
          <w:trHeight w:val="30" w:hRule="atLeast"/>
          <w:jc w:val="center"/>
        </w:trPr>
        <w:tc>
          <w:tcPr>
            <w:tcW w:w="5000" w:type="pct"/>
            <w:gridSpan w:val="4"/>
            <w:tcBorders>
              <w:top w:val="nil"/>
            </w:tcBorders>
          </w:tcPr>
          <w:p w14:paraId="24570CA0">
            <w:pPr>
              <w:tabs>
                <w:tab w:val="left" w:pos="3052"/>
                <w:tab w:val="left" w:pos="7871"/>
              </w:tabs>
              <w:jc w:val="right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 xml:space="preserve">负责人签名： </w:t>
            </w:r>
            <w:r>
              <w:rPr>
                <w:sz w:val="24"/>
              </w:rPr>
              <w:t xml:space="preserve">                        </w:t>
            </w:r>
            <w:r>
              <w:rPr>
                <w:rFonts w:hint="eastAsia"/>
                <w:sz w:val="24"/>
              </w:rPr>
              <w:t xml:space="preserve">年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月 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日</w:t>
            </w:r>
          </w:p>
        </w:tc>
      </w:tr>
    </w:tbl>
    <w:p w14:paraId="2BB7AF55">
      <w:pPr>
        <w:spacing w:line="40" w:lineRule="exact"/>
        <w:jc w:val="center"/>
      </w:pPr>
    </w:p>
    <w:sectPr>
      <w:footerReference r:id="rId9" w:type="default"/>
      <w:pgSz w:w="11906" w:h="16838"/>
      <w:pgMar w:top="1134" w:right="1134" w:bottom="1134" w:left="1134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229784">
    <w:pPr>
      <w:pStyle w:val="2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31587E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0B2B2">
    <w:pPr>
      <w:pStyle w:val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6736BE">
    <w:pPr>
      <w:pStyle w:val="2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1E04A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F40ED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498C8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320015"/>
    <w:multiLevelType w:val="singleLevel"/>
    <w:tmpl w:val="1F320015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4DDDC3F0"/>
    <w:multiLevelType w:val="singleLevel"/>
    <w:tmpl w:val="4DDDC3F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0ED5ACE"/>
    <w:multiLevelType w:val="multilevel"/>
    <w:tmpl w:val="50ED5ACE"/>
    <w:lvl w:ilvl="0" w:tentative="0">
      <w:start w:val="1"/>
      <w:numFmt w:val="chineseCountingThousand"/>
      <w:suff w:val="nothing"/>
      <w:lvlText w:val="%1、"/>
      <w:lvlJc w:val="left"/>
      <w:pPr>
        <w:ind w:left="750" w:hanging="750"/>
      </w:pPr>
      <w:rPr>
        <w:rFonts w:hint="default" w:ascii="黑体" w:hAnsi="黑体" w:eastAsia="黑体"/>
        <w:b w:val="0"/>
        <w:sz w:val="2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85C"/>
    <w:rsid w:val="000131C1"/>
    <w:rsid w:val="000267D9"/>
    <w:rsid w:val="000303B0"/>
    <w:rsid w:val="0003134E"/>
    <w:rsid w:val="00051BB3"/>
    <w:rsid w:val="00056DDE"/>
    <w:rsid w:val="000660E3"/>
    <w:rsid w:val="00072637"/>
    <w:rsid w:val="00074E6D"/>
    <w:rsid w:val="0007655E"/>
    <w:rsid w:val="000800A0"/>
    <w:rsid w:val="000A4F7E"/>
    <w:rsid w:val="000C2ECA"/>
    <w:rsid w:val="000D0530"/>
    <w:rsid w:val="000E50C0"/>
    <w:rsid w:val="000F24A4"/>
    <w:rsid w:val="000F2CF2"/>
    <w:rsid w:val="000F62BA"/>
    <w:rsid w:val="00125C2C"/>
    <w:rsid w:val="00134BFD"/>
    <w:rsid w:val="00140748"/>
    <w:rsid w:val="00160451"/>
    <w:rsid w:val="00164AB5"/>
    <w:rsid w:val="0016675F"/>
    <w:rsid w:val="00172077"/>
    <w:rsid w:val="0017473F"/>
    <w:rsid w:val="001952D2"/>
    <w:rsid w:val="001A5DA3"/>
    <w:rsid w:val="001C09F5"/>
    <w:rsid w:val="001C0EBF"/>
    <w:rsid w:val="001F2124"/>
    <w:rsid w:val="001F513B"/>
    <w:rsid w:val="001F77F1"/>
    <w:rsid w:val="00232B82"/>
    <w:rsid w:val="00243E5D"/>
    <w:rsid w:val="00245D8F"/>
    <w:rsid w:val="0024713D"/>
    <w:rsid w:val="00263ADD"/>
    <w:rsid w:val="00267595"/>
    <w:rsid w:val="002805A9"/>
    <w:rsid w:val="002B6B2A"/>
    <w:rsid w:val="002C6ADC"/>
    <w:rsid w:val="002F4C63"/>
    <w:rsid w:val="003012C0"/>
    <w:rsid w:val="00301859"/>
    <w:rsid w:val="00302A0E"/>
    <w:rsid w:val="00316553"/>
    <w:rsid w:val="00336490"/>
    <w:rsid w:val="003416B4"/>
    <w:rsid w:val="00343263"/>
    <w:rsid w:val="00351C2F"/>
    <w:rsid w:val="00363A94"/>
    <w:rsid w:val="00363BC2"/>
    <w:rsid w:val="00364223"/>
    <w:rsid w:val="003762EA"/>
    <w:rsid w:val="003A0553"/>
    <w:rsid w:val="003F1499"/>
    <w:rsid w:val="003F57C5"/>
    <w:rsid w:val="004130D9"/>
    <w:rsid w:val="004161E6"/>
    <w:rsid w:val="00417390"/>
    <w:rsid w:val="00421F54"/>
    <w:rsid w:val="00431612"/>
    <w:rsid w:val="00436096"/>
    <w:rsid w:val="00446549"/>
    <w:rsid w:val="00455D44"/>
    <w:rsid w:val="0047216F"/>
    <w:rsid w:val="0047487B"/>
    <w:rsid w:val="00481AAA"/>
    <w:rsid w:val="00490E65"/>
    <w:rsid w:val="004B2BFD"/>
    <w:rsid w:val="004B32C1"/>
    <w:rsid w:val="004C1483"/>
    <w:rsid w:val="004D02FC"/>
    <w:rsid w:val="004D0D73"/>
    <w:rsid w:val="004D487B"/>
    <w:rsid w:val="004E7C1C"/>
    <w:rsid w:val="004F2454"/>
    <w:rsid w:val="004F45D7"/>
    <w:rsid w:val="004F737F"/>
    <w:rsid w:val="004F7C42"/>
    <w:rsid w:val="005160DE"/>
    <w:rsid w:val="00520FFC"/>
    <w:rsid w:val="005354EE"/>
    <w:rsid w:val="00536AA8"/>
    <w:rsid w:val="00542ABD"/>
    <w:rsid w:val="0056095C"/>
    <w:rsid w:val="00562947"/>
    <w:rsid w:val="00562FAA"/>
    <w:rsid w:val="00573E33"/>
    <w:rsid w:val="00582AB2"/>
    <w:rsid w:val="00592585"/>
    <w:rsid w:val="005B71A4"/>
    <w:rsid w:val="005D4938"/>
    <w:rsid w:val="006056A8"/>
    <w:rsid w:val="00616B1B"/>
    <w:rsid w:val="0061785C"/>
    <w:rsid w:val="00626BBF"/>
    <w:rsid w:val="00631409"/>
    <w:rsid w:val="00631781"/>
    <w:rsid w:val="00636593"/>
    <w:rsid w:val="00650AF5"/>
    <w:rsid w:val="006537FF"/>
    <w:rsid w:val="00656EB9"/>
    <w:rsid w:val="00660F89"/>
    <w:rsid w:val="00662C6C"/>
    <w:rsid w:val="0067028B"/>
    <w:rsid w:val="00692058"/>
    <w:rsid w:val="006A1642"/>
    <w:rsid w:val="006A3E1B"/>
    <w:rsid w:val="006B1592"/>
    <w:rsid w:val="006B2BB3"/>
    <w:rsid w:val="006D21F3"/>
    <w:rsid w:val="006E7145"/>
    <w:rsid w:val="006F44F1"/>
    <w:rsid w:val="00703787"/>
    <w:rsid w:val="007200AB"/>
    <w:rsid w:val="0072239D"/>
    <w:rsid w:val="00731A94"/>
    <w:rsid w:val="007419F7"/>
    <w:rsid w:val="007438C4"/>
    <w:rsid w:val="00744EF1"/>
    <w:rsid w:val="00756604"/>
    <w:rsid w:val="00756F05"/>
    <w:rsid w:val="00757990"/>
    <w:rsid w:val="0078740E"/>
    <w:rsid w:val="00791A82"/>
    <w:rsid w:val="007A70B6"/>
    <w:rsid w:val="007C4021"/>
    <w:rsid w:val="007D4BE6"/>
    <w:rsid w:val="007D57B7"/>
    <w:rsid w:val="007D62FF"/>
    <w:rsid w:val="007D630B"/>
    <w:rsid w:val="007F16B3"/>
    <w:rsid w:val="0080192D"/>
    <w:rsid w:val="00806457"/>
    <w:rsid w:val="00852884"/>
    <w:rsid w:val="008922DC"/>
    <w:rsid w:val="008A35EB"/>
    <w:rsid w:val="008B01C0"/>
    <w:rsid w:val="008B3719"/>
    <w:rsid w:val="008B6756"/>
    <w:rsid w:val="008C4843"/>
    <w:rsid w:val="008C62AD"/>
    <w:rsid w:val="008D150D"/>
    <w:rsid w:val="008D5BB4"/>
    <w:rsid w:val="008E4F17"/>
    <w:rsid w:val="008E71D8"/>
    <w:rsid w:val="008E7216"/>
    <w:rsid w:val="0091733A"/>
    <w:rsid w:val="00922C9B"/>
    <w:rsid w:val="009273EA"/>
    <w:rsid w:val="00931508"/>
    <w:rsid w:val="009414B1"/>
    <w:rsid w:val="00943BF2"/>
    <w:rsid w:val="009470DE"/>
    <w:rsid w:val="0098039C"/>
    <w:rsid w:val="00990DDF"/>
    <w:rsid w:val="009A0BE8"/>
    <w:rsid w:val="009D3865"/>
    <w:rsid w:val="009E14DE"/>
    <w:rsid w:val="009E18E7"/>
    <w:rsid w:val="009F5D53"/>
    <w:rsid w:val="00A07A3A"/>
    <w:rsid w:val="00A12151"/>
    <w:rsid w:val="00A54EA6"/>
    <w:rsid w:val="00A61A12"/>
    <w:rsid w:val="00A638F9"/>
    <w:rsid w:val="00A71230"/>
    <w:rsid w:val="00A74692"/>
    <w:rsid w:val="00A8237B"/>
    <w:rsid w:val="00A9360F"/>
    <w:rsid w:val="00A97CCF"/>
    <w:rsid w:val="00AA22E5"/>
    <w:rsid w:val="00AA406A"/>
    <w:rsid w:val="00AE136E"/>
    <w:rsid w:val="00B0023B"/>
    <w:rsid w:val="00B0220D"/>
    <w:rsid w:val="00B03AF4"/>
    <w:rsid w:val="00B04BDF"/>
    <w:rsid w:val="00B1760C"/>
    <w:rsid w:val="00B208E8"/>
    <w:rsid w:val="00B3136A"/>
    <w:rsid w:val="00B33AC3"/>
    <w:rsid w:val="00B358B5"/>
    <w:rsid w:val="00B60A66"/>
    <w:rsid w:val="00B86241"/>
    <w:rsid w:val="00B95BF0"/>
    <w:rsid w:val="00BA0060"/>
    <w:rsid w:val="00BC5D2E"/>
    <w:rsid w:val="00BC63D4"/>
    <w:rsid w:val="00BD4943"/>
    <w:rsid w:val="00BD617A"/>
    <w:rsid w:val="00BE764B"/>
    <w:rsid w:val="00C1290A"/>
    <w:rsid w:val="00C225E8"/>
    <w:rsid w:val="00C34DB3"/>
    <w:rsid w:val="00C37F5D"/>
    <w:rsid w:val="00C4152A"/>
    <w:rsid w:val="00C41ED3"/>
    <w:rsid w:val="00C47D27"/>
    <w:rsid w:val="00C5583B"/>
    <w:rsid w:val="00C62224"/>
    <w:rsid w:val="00C66128"/>
    <w:rsid w:val="00C80BC9"/>
    <w:rsid w:val="00C80BE0"/>
    <w:rsid w:val="00C813C1"/>
    <w:rsid w:val="00C92241"/>
    <w:rsid w:val="00CA3210"/>
    <w:rsid w:val="00CB54D0"/>
    <w:rsid w:val="00CC5CCE"/>
    <w:rsid w:val="00CD176D"/>
    <w:rsid w:val="00CD355D"/>
    <w:rsid w:val="00CD50A1"/>
    <w:rsid w:val="00CF384F"/>
    <w:rsid w:val="00D00DC5"/>
    <w:rsid w:val="00D035FD"/>
    <w:rsid w:val="00D37238"/>
    <w:rsid w:val="00D53E35"/>
    <w:rsid w:val="00D557DF"/>
    <w:rsid w:val="00D60E08"/>
    <w:rsid w:val="00D6211F"/>
    <w:rsid w:val="00D75508"/>
    <w:rsid w:val="00D75AA9"/>
    <w:rsid w:val="00D77239"/>
    <w:rsid w:val="00D864E5"/>
    <w:rsid w:val="00D86CA6"/>
    <w:rsid w:val="00DA0CAA"/>
    <w:rsid w:val="00DA22C9"/>
    <w:rsid w:val="00DC14C7"/>
    <w:rsid w:val="00DC6140"/>
    <w:rsid w:val="00DC6C66"/>
    <w:rsid w:val="00DD3549"/>
    <w:rsid w:val="00DD7D24"/>
    <w:rsid w:val="00DE4644"/>
    <w:rsid w:val="00DF615F"/>
    <w:rsid w:val="00DF735E"/>
    <w:rsid w:val="00E577A8"/>
    <w:rsid w:val="00E636ED"/>
    <w:rsid w:val="00E84DAA"/>
    <w:rsid w:val="00E94F0F"/>
    <w:rsid w:val="00EC2943"/>
    <w:rsid w:val="00EC48EC"/>
    <w:rsid w:val="00EC7B34"/>
    <w:rsid w:val="00F15C3B"/>
    <w:rsid w:val="00F420C7"/>
    <w:rsid w:val="00F511E7"/>
    <w:rsid w:val="00F55C7A"/>
    <w:rsid w:val="00F70EF3"/>
    <w:rsid w:val="00F76EBE"/>
    <w:rsid w:val="00F816FC"/>
    <w:rsid w:val="00F9202F"/>
    <w:rsid w:val="00FD2272"/>
    <w:rsid w:val="00FD7060"/>
    <w:rsid w:val="00FD7C2F"/>
    <w:rsid w:val="00FE3128"/>
    <w:rsid w:val="232A56E5"/>
    <w:rsid w:val="25DC305D"/>
    <w:rsid w:val="29387837"/>
    <w:rsid w:val="48FF5824"/>
    <w:rsid w:val="5C341139"/>
    <w:rsid w:val="60C3760E"/>
    <w:rsid w:val="6A100E89"/>
    <w:rsid w:val="6DCB39C9"/>
    <w:rsid w:val="7A06001D"/>
    <w:rsid w:val="7D05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EAA99-437C-4FC6-842F-189ABD9D476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uestc</Company>
  <Pages>14</Pages>
  <Words>361</Words>
  <Characters>411</Characters>
  <Lines>60</Lines>
  <Paragraphs>17</Paragraphs>
  <TotalTime>349</TotalTime>
  <ScaleCrop>false</ScaleCrop>
  <LinksUpToDate>false</LinksUpToDate>
  <CharactersWithSpaces>620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2018-07-16T03:02:00Z</dcterms:created>
  <dc:creator>pmx</dc:creator>
  <dc:description>开题报告仅作为内容、语言和版式参考；全部24条参考文献沿用其编号。</dc:description>
  <cp:lastModifiedBy>NeoChen-_-#</cp:lastModifiedBy>
  <cp:lastPrinted>2023-09-25T06:27:00Z</cp:lastPrinted>
  <dcterms:modified xsi:type="dcterms:W3CDTF">2026-09-24T15:12:36Z</dcterms:modified>
  <dc:subject>依据开题报告与阶段周报完善，含参考文献索引</dc:subject>
  <dc:title>学术学位研究生学位论文中期考评表（陈俊峰，完善稿）</dc:title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eyJoZGlkIjoiMzYzMWZmYmM3Y2I0ZWMwYWMzNDg5NWZiYjc4NjkwNmUiLCJ1c2VySWQiOiI0NTk3ODU0NzYifQ==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D82D776B09054E078D7A5D2394D4235A_12</vt:lpwstr>
  </property>
</Properties>
</file>