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B35C7A">
      <w:pPr>
        <w:spacing w:before="960" w:beforeLines="400"/>
        <w:jc w:val="center"/>
        <w:rPr>
          <w:rFonts w:hint="eastAsia" w:ascii="黑体" w:hAnsi="黑体" w:eastAsia="黑体"/>
          <w:b/>
          <w:sz w:val="48"/>
        </w:rPr>
      </w:pPr>
      <w:r>
        <w:rPr>
          <w:rFonts w:hint="eastAsia" w:ascii="黑体" w:hAnsi="黑体" w:eastAsia="黑体"/>
          <w:sz w:val="56"/>
        </w:rPr>
        <w:t>电</w:t>
      </w:r>
      <w:r>
        <w:rPr>
          <w:rFonts w:ascii="黑体" w:hAnsi="黑体" w:eastAsia="黑体"/>
          <w:sz w:val="56"/>
        </w:rPr>
        <w:t xml:space="preserve"> </w:t>
      </w:r>
      <w:r>
        <w:rPr>
          <w:rFonts w:hint="eastAsia" w:ascii="黑体" w:hAnsi="黑体" w:eastAsia="黑体"/>
          <w:sz w:val="56"/>
        </w:rPr>
        <w:t>子</w:t>
      </w:r>
      <w:r>
        <w:rPr>
          <w:rFonts w:ascii="黑体" w:hAnsi="黑体" w:eastAsia="黑体"/>
          <w:sz w:val="56"/>
        </w:rPr>
        <w:t xml:space="preserve"> </w:t>
      </w:r>
      <w:r>
        <w:rPr>
          <w:rFonts w:hint="eastAsia" w:ascii="黑体" w:hAnsi="黑体" w:eastAsia="黑体"/>
          <w:sz w:val="56"/>
        </w:rPr>
        <w:t>科</w:t>
      </w:r>
      <w:r>
        <w:rPr>
          <w:rFonts w:ascii="黑体" w:hAnsi="黑体" w:eastAsia="黑体"/>
          <w:sz w:val="56"/>
        </w:rPr>
        <w:t xml:space="preserve"> </w:t>
      </w:r>
      <w:r>
        <w:rPr>
          <w:rFonts w:hint="eastAsia" w:ascii="黑体" w:hAnsi="黑体" w:eastAsia="黑体"/>
          <w:sz w:val="56"/>
        </w:rPr>
        <w:t>技</w:t>
      </w:r>
      <w:r>
        <w:rPr>
          <w:rFonts w:ascii="黑体" w:hAnsi="黑体" w:eastAsia="黑体"/>
          <w:sz w:val="56"/>
        </w:rPr>
        <w:t xml:space="preserve"> </w:t>
      </w:r>
      <w:r>
        <w:rPr>
          <w:rFonts w:hint="eastAsia" w:ascii="黑体" w:hAnsi="黑体" w:eastAsia="黑体"/>
          <w:sz w:val="56"/>
        </w:rPr>
        <w:t>大</w:t>
      </w:r>
      <w:r>
        <w:rPr>
          <w:rFonts w:ascii="黑体" w:hAnsi="黑体" w:eastAsia="黑体"/>
          <w:sz w:val="56"/>
        </w:rPr>
        <w:t xml:space="preserve"> </w:t>
      </w:r>
      <w:r>
        <w:rPr>
          <w:rFonts w:hint="eastAsia" w:ascii="黑体" w:hAnsi="黑体" w:eastAsia="黑体"/>
          <w:sz w:val="56"/>
        </w:rPr>
        <w:t>学</w:t>
      </w:r>
    </w:p>
    <w:p w14:paraId="30EF93A1">
      <w:pPr>
        <w:spacing w:before="240" w:beforeLines="100" w:after="2160" w:afterLines="900"/>
        <w:jc w:val="center"/>
        <w:rPr>
          <w:rFonts w:hint="eastAsia" w:ascii="黑体" w:hAnsi="黑体" w:eastAsia="黑体"/>
          <w:spacing w:val="50"/>
          <w:sz w:val="46"/>
          <w:szCs w:val="46"/>
        </w:rPr>
      </w:pPr>
      <w:r>
        <w:rPr>
          <w:rFonts w:hint="eastAsia" w:ascii="黑体" w:hAnsi="黑体" w:eastAsia="黑体"/>
          <w:spacing w:val="50"/>
          <w:sz w:val="46"/>
          <w:szCs w:val="46"/>
        </w:rPr>
        <w:t>学术学位研究生学位论文中期考评表</w:t>
      </w:r>
    </w:p>
    <w:p w14:paraId="71FF631F">
      <w:pPr>
        <w:tabs>
          <w:tab w:val="left" w:pos="1276"/>
        </w:tabs>
        <w:spacing w:after="360" w:afterLines="150"/>
        <w:rPr>
          <w:rFonts w:ascii="楷体" w:eastAsia="楷体"/>
          <w:sz w:val="30"/>
          <w:u w:val="single"/>
        </w:rPr>
      </w:pPr>
      <w:r>
        <w:rPr>
          <w:rFonts w:ascii="黑体" w:eastAsia="黑体"/>
          <w:sz w:val="30"/>
        </w:rPr>
        <w:tab/>
      </w:r>
      <w:r>
        <w:rPr>
          <w:rFonts w:hint="eastAsia" w:ascii="黑体" w:eastAsia="黑体"/>
          <w:sz w:val="30"/>
        </w:rPr>
        <w:t xml:space="preserve">攻读学位级别： </w:t>
      </w:r>
      <w:r>
        <w:rPr>
          <w:rFonts w:hint="eastAsia" w:ascii="黑体" w:hAnsi="黑体" w:eastAsia="黑体"/>
          <w:sz w:val="30"/>
          <w:szCs w:val="30"/>
        </w:rPr>
        <w:t xml:space="preserve">□博士   </w:t>
      </w:r>
      <w:r>
        <w:rPr>
          <w:rFonts w:ascii="黑体" w:hAnsi="黑体" w:eastAsia="黑体"/>
          <w:sz w:val="30"/>
          <w:szCs w:val="30"/>
        </w:rPr>
        <w:t xml:space="preserve">     </w:t>
      </w:r>
      <w:r>
        <w:rPr>
          <w:rFonts w:hint="eastAsia" w:ascii="黑体" w:hAnsi="黑体" w:eastAsia="黑体"/>
          <w:sz w:val="30"/>
          <w:szCs w:val="30"/>
        </w:rPr>
        <w:t>☑硕士</w:t>
      </w:r>
    </w:p>
    <w:p w14:paraId="6D8AA215">
      <w:pPr>
        <w:tabs>
          <w:tab w:val="left" w:pos="1276"/>
        </w:tabs>
        <w:spacing w:after="360" w:afterLines="150"/>
        <w:rPr>
          <w:rFonts w:ascii="黑体" w:eastAsia="黑体"/>
          <w:sz w:val="30"/>
        </w:rPr>
      </w:pPr>
      <w:r>
        <w:rPr>
          <w:rFonts w:ascii="黑体" w:eastAsia="黑体"/>
          <w:sz w:val="30"/>
        </w:rPr>
        <w:tab/>
      </w:r>
      <w:r>
        <w:rPr>
          <w:rFonts w:hint="eastAsia" w:ascii="黑体" w:eastAsia="黑体"/>
          <w:spacing w:val="100"/>
          <w:kern w:val="0"/>
          <w:sz w:val="30"/>
          <w:fitText w:val="1800" w:id="1786951430"/>
        </w:rPr>
        <w:t>学科专</w:t>
      </w:r>
      <w:r>
        <w:rPr>
          <w:rFonts w:hint="eastAsia" w:ascii="黑体" w:eastAsia="黑体"/>
          <w:spacing w:val="0"/>
          <w:kern w:val="0"/>
          <w:sz w:val="30"/>
          <w:fitText w:val="1800" w:id="1786951430"/>
        </w:rPr>
        <w:t>业</w:t>
      </w:r>
      <w:r>
        <w:rPr>
          <w:rFonts w:hint="eastAsia" w:ascii="黑体" w:eastAsia="黑体"/>
          <w:sz w:val="30"/>
        </w:rPr>
        <w:t>：</w:t>
      </w:r>
      <w:r>
        <w:rPr>
          <w:rFonts w:hint="eastAsia" w:ascii="黑体" w:eastAsia="黑体"/>
          <w:sz w:val="30"/>
          <w:u w:val="single"/>
        </w:rPr>
        <w:t xml:space="preserve">         信息与通信工程      </w:t>
      </w:r>
    </w:p>
    <w:p w14:paraId="7A78E959">
      <w:pPr>
        <w:tabs>
          <w:tab w:val="left" w:pos="1276"/>
        </w:tabs>
        <w:spacing w:after="360" w:afterLines="150"/>
        <w:rPr>
          <w:rFonts w:ascii="楷体" w:eastAsia="楷体"/>
          <w:sz w:val="30"/>
          <w:u w:val="single"/>
        </w:rPr>
      </w:pPr>
      <w:r>
        <w:rPr>
          <w:rFonts w:ascii="黑体" w:eastAsia="黑体"/>
          <w:sz w:val="30"/>
        </w:rPr>
        <w:tab/>
      </w:r>
      <w:r>
        <w:rPr>
          <w:rFonts w:hint="eastAsia" w:ascii="黑体" w:eastAsia="黑体"/>
          <w:sz w:val="30"/>
        </w:rPr>
        <w:t xml:space="preserve">学 </w:t>
      </w:r>
      <w:r>
        <w:rPr>
          <w:rFonts w:ascii="黑体" w:eastAsia="黑体"/>
          <w:sz w:val="30"/>
        </w:rPr>
        <w:t xml:space="preserve">       </w:t>
      </w:r>
      <w:r>
        <w:rPr>
          <w:rFonts w:hint="eastAsia" w:ascii="黑体" w:eastAsia="黑体"/>
          <w:sz w:val="30"/>
        </w:rPr>
        <w:t>院：</w:t>
      </w:r>
      <w:r>
        <w:rPr>
          <w:rFonts w:hint="eastAsia" w:ascii="黑体" w:eastAsia="黑体"/>
          <w:sz w:val="30"/>
          <w:u w:val="single"/>
        </w:rPr>
        <w:t xml:space="preserve">         信息与通信工程学院  </w:t>
      </w:r>
    </w:p>
    <w:p w14:paraId="0B9D06ED">
      <w:pPr>
        <w:tabs>
          <w:tab w:val="left" w:pos="1276"/>
        </w:tabs>
        <w:spacing w:after="360" w:afterLines="150"/>
        <w:rPr>
          <w:rFonts w:ascii="黑体" w:eastAsia="黑体"/>
          <w:sz w:val="30"/>
        </w:rPr>
      </w:pPr>
      <w:r>
        <w:rPr>
          <w:rFonts w:ascii="黑体" w:eastAsia="黑体"/>
          <w:sz w:val="30"/>
        </w:rPr>
        <w:tab/>
      </w:r>
      <w:r>
        <w:rPr>
          <w:rFonts w:hint="eastAsia" w:ascii="黑体" w:eastAsia="黑体"/>
          <w:sz w:val="30"/>
        </w:rPr>
        <w:t xml:space="preserve">学 </w:t>
      </w:r>
      <w:r>
        <w:rPr>
          <w:rFonts w:ascii="黑体" w:eastAsia="黑体"/>
          <w:sz w:val="30"/>
        </w:rPr>
        <w:t xml:space="preserve">       </w:t>
      </w:r>
      <w:r>
        <w:rPr>
          <w:rFonts w:hint="eastAsia" w:ascii="黑体" w:eastAsia="黑体"/>
          <w:sz w:val="30"/>
        </w:rPr>
        <w:t>号：</w:t>
      </w:r>
      <w:r>
        <w:rPr>
          <w:rFonts w:hint="eastAsia" w:ascii="黑体" w:eastAsia="黑体"/>
          <w:sz w:val="30"/>
          <w:u w:val="single"/>
        </w:rPr>
        <w:t xml:space="preserve">          </w:t>
      </w:r>
      <w:r>
        <w:rPr>
          <w:rFonts w:ascii="黑体" w:eastAsia="黑体"/>
          <w:sz w:val="30"/>
          <w:u w:val="single"/>
        </w:rPr>
        <w:t>202421011127</w:t>
      </w:r>
      <w:r>
        <w:rPr>
          <w:rFonts w:hint="eastAsia" w:ascii="黑体" w:eastAsia="黑体"/>
          <w:sz w:val="30"/>
          <w:u w:val="single"/>
        </w:rPr>
        <w:t xml:space="preserve">  </w:t>
      </w:r>
      <w:r>
        <w:rPr>
          <w:rFonts w:ascii="黑体" w:eastAsia="黑体"/>
          <w:sz w:val="30"/>
          <w:u w:val="single"/>
        </w:rPr>
        <w:t xml:space="preserve">  </w:t>
      </w:r>
      <w:r>
        <w:rPr>
          <w:rFonts w:hint="eastAsia" w:ascii="黑体" w:eastAsia="黑体"/>
          <w:sz w:val="30"/>
          <w:u w:val="single"/>
        </w:rPr>
        <w:t xml:space="preserve">   </w:t>
      </w:r>
    </w:p>
    <w:p w14:paraId="221F74DC">
      <w:pPr>
        <w:tabs>
          <w:tab w:val="left" w:pos="1276"/>
        </w:tabs>
        <w:spacing w:after="360" w:afterLines="150"/>
        <w:rPr>
          <w:rFonts w:ascii="黑体" w:eastAsia="黑体"/>
          <w:sz w:val="30"/>
        </w:rPr>
      </w:pPr>
      <w:r>
        <w:rPr>
          <w:rFonts w:ascii="黑体" w:eastAsia="黑体"/>
          <w:sz w:val="30"/>
        </w:rPr>
        <w:tab/>
      </w:r>
      <w:r>
        <w:rPr>
          <w:rFonts w:hint="eastAsia" w:ascii="黑体" w:eastAsia="黑体"/>
          <w:sz w:val="30"/>
        </w:rPr>
        <w:t xml:space="preserve">姓  </w:t>
      </w:r>
      <w:r>
        <w:rPr>
          <w:rFonts w:ascii="黑体" w:eastAsia="黑体"/>
          <w:sz w:val="30"/>
        </w:rPr>
        <w:t xml:space="preserve">     </w:t>
      </w:r>
      <w:r>
        <w:rPr>
          <w:rFonts w:hint="eastAsia" w:ascii="黑体" w:eastAsia="黑体"/>
          <w:sz w:val="30"/>
        </w:rPr>
        <w:t xml:space="preserve"> 名：</w:t>
      </w:r>
      <w:r>
        <w:rPr>
          <w:rFonts w:hint="eastAsia" w:ascii="黑体" w:eastAsia="黑体"/>
          <w:sz w:val="30"/>
          <w:u w:val="single"/>
        </w:rPr>
        <w:t xml:space="preserve">           陈俊峰     </w:t>
      </w:r>
      <w:r>
        <w:rPr>
          <w:rFonts w:ascii="黑体" w:eastAsia="黑体"/>
          <w:sz w:val="30"/>
          <w:u w:val="single"/>
        </w:rPr>
        <w:t xml:space="preserve">   </w:t>
      </w:r>
      <w:r>
        <w:rPr>
          <w:rFonts w:hint="eastAsia" w:ascii="黑体" w:eastAsia="黑体"/>
          <w:sz w:val="30"/>
          <w:u w:val="single"/>
        </w:rPr>
        <w:t xml:space="preserve">    </w:t>
      </w:r>
    </w:p>
    <w:p w14:paraId="2BD2EFB1">
      <w:pPr>
        <w:tabs>
          <w:tab w:val="left" w:pos="1276"/>
        </w:tabs>
        <w:spacing w:after="360" w:afterLines="150"/>
        <w:rPr>
          <w:rFonts w:ascii="黑体" w:eastAsia="黑体"/>
          <w:sz w:val="30"/>
        </w:rPr>
      </w:pPr>
      <w:r>
        <w:rPr>
          <w:rFonts w:ascii="黑体" w:eastAsia="黑体"/>
          <w:sz w:val="30"/>
        </w:rPr>
        <w:tab/>
      </w:r>
      <w:r>
        <w:rPr>
          <w:rFonts w:hint="eastAsia" w:ascii="黑体" w:eastAsia="黑体"/>
          <w:spacing w:val="100"/>
          <w:kern w:val="0"/>
          <w:sz w:val="30"/>
          <w:fitText w:val="1800" w:id="1786951431"/>
        </w:rPr>
        <w:t>论文题</w:t>
      </w:r>
      <w:r>
        <w:rPr>
          <w:rFonts w:hint="eastAsia" w:ascii="黑体" w:eastAsia="黑体"/>
          <w:spacing w:val="0"/>
          <w:kern w:val="0"/>
          <w:sz w:val="30"/>
          <w:fitText w:val="1800" w:id="1786951431"/>
        </w:rPr>
        <w:t>目</w:t>
      </w:r>
      <w:r>
        <w:rPr>
          <w:rFonts w:hint="eastAsia" w:ascii="黑体" w:eastAsia="黑体"/>
          <w:sz w:val="30"/>
        </w:rPr>
        <w:t>：</w:t>
      </w:r>
      <w:r>
        <w:rPr>
          <w:rFonts w:hint="eastAsia" w:ascii="黑体" w:eastAsia="黑体"/>
          <w:sz w:val="30"/>
          <w:u w:val="single"/>
        </w:rPr>
        <w:t xml:space="preserve">   基于自适应无线数能内生    </w:t>
      </w:r>
    </w:p>
    <w:p w14:paraId="564235FC">
      <w:pPr>
        <w:tabs>
          <w:tab w:val="left" w:pos="1276"/>
        </w:tabs>
        <w:spacing w:after="360" w:afterLines="150"/>
        <w:rPr>
          <w:rFonts w:ascii="黑体" w:eastAsia="黑体"/>
          <w:sz w:val="30"/>
        </w:rPr>
      </w:pPr>
      <w:r>
        <w:rPr>
          <w:rFonts w:ascii="黑体" w:eastAsia="黑体"/>
          <w:sz w:val="30"/>
        </w:rPr>
        <w:tab/>
      </w:r>
      <w:r>
        <w:rPr>
          <w:rFonts w:hint="eastAsia" w:ascii="黑体" w:eastAsia="黑体"/>
          <w:sz w:val="30"/>
        </w:rPr>
        <w:t xml:space="preserve">         </w:t>
      </w:r>
      <w:r>
        <w:rPr>
          <w:rFonts w:ascii="黑体" w:eastAsia="黑体"/>
          <w:sz w:val="30"/>
        </w:rPr>
        <w:t xml:space="preserve">    </w:t>
      </w:r>
      <w:r>
        <w:rPr>
          <w:rFonts w:hint="eastAsia" w:ascii="黑体" w:eastAsia="黑体"/>
          <w:sz w:val="30"/>
        </w:rPr>
        <w:t xml:space="preserve"> </w:t>
      </w:r>
      <w:r>
        <w:rPr>
          <w:rFonts w:hint="eastAsia" w:ascii="黑体" w:eastAsia="黑体"/>
          <w:sz w:val="30"/>
          <w:u w:val="single"/>
        </w:rPr>
        <w:t xml:space="preserve">   传输的编码方案研究      </w:t>
      </w:r>
      <w:r>
        <w:rPr>
          <w:rFonts w:ascii="黑体" w:eastAsia="黑体"/>
          <w:sz w:val="30"/>
          <w:u w:val="single"/>
        </w:rPr>
        <w:t xml:space="preserve"> </w:t>
      </w:r>
      <w:r>
        <w:rPr>
          <w:rFonts w:hint="eastAsia" w:ascii="黑体" w:eastAsia="黑体"/>
          <w:sz w:val="30"/>
          <w:u w:val="single"/>
        </w:rPr>
        <w:t xml:space="preserve"> </w:t>
      </w:r>
    </w:p>
    <w:p w14:paraId="451DF8D6">
      <w:pPr>
        <w:tabs>
          <w:tab w:val="left" w:pos="1276"/>
        </w:tabs>
        <w:spacing w:after="360" w:afterLines="150"/>
        <w:rPr>
          <w:rFonts w:ascii="黑体" w:eastAsia="黑体"/>
          <w:sz w:val="30"/>
          <w:u w:val="single"/>
        </w:rPr>
      </w:pPr>
      <w:r>
        <w:rPr>
          <w:rFonts w:ascii="黑体" w:eastAsia="黑体"/>
          <w:sz w:val="30"/>
        </w:rPr>
        <w:tab/>
      </w:r>
      <w:r>
        <w:rPr>
          <w:rFonts w:hint="eastAsia" w:ascii="黑体" w:eastAsia="黑体"/>
          <w:spacing w:val="100"/>
          <w:kern w:val="0"/>
          <w:sz w:val="30"/>
          <w:fitText w:val="1800" w:id="1786951432"/>
        </w:rPr>
        <w:t>指导教</w:t>
      </w:r>
      <w:r>
        <w:rPr>
          <w:rFonts w:hint="eastAsia" w:ascii="黑体" w:eastAsia="黑体"/>
          <w:spacing w:val="0"/>
          <w:kern w:val="0"/>
          <w:sz w:val="30"/>
          <w:fitText w:val="1800" w:id="1786951432"/>
        </w:rPr>
        <w:t>师</w:t>
      </w:r>
      <w:r>
        <w:rPr>
          <w:rFonts w:hint="eastAsia" w:ascii="黑体" w:eastAsia="黑体"/>
          <w:sz w:val="30"/>
        </w:rPr>
        <w:t>：</w:t>
      </w:r>
      <w:r>
        <w:rPr>
          <w:rFonts w:hint="eastAsia" w:ascii="黑体" w:eastAsia="黑体"/>
          <w:sz w:val="30"/>
          <w:u w:val="single"/>
        </w:rPr>
        <w:t xml:space="preserve">           </w:t>
      </w:r>
      <w:r>
        <w:rPr>
          <w:rFonts w:hint="default" w:ascii="黑体" w:eastAsia="黑体"/>
          <w:sz w:val="30"/>
          <w:u w:val="single"/>
          <w:lang w:val="en-US"/>
        </w:rPr>
        <w:t>赵毅哲</w:t>
      </w:r>
      <w:r>
        <w:rPr>
          <w:rFonts w:hint="eastAsia" w:ascii="黑体" w:eastAsia="黑体"/>
          <w:sz w:val="30"/>
          <w:u w:val="single"/>
        </w:rPr>
        <w:t xml:space="preserve">          </w:t>
      </w:r>
      <w:r>
        <w:rPr>
          <w:rFonts w:ascii="黑体" w:eastAsia="黑体"/>
          <w:sz w:val="30"/>
          <w:u w:val="single"/>
        </w:rPr>
        <w:t xml:space="preserve"> </w:t>
      </w:r>
      <w:r>
        <w:rPr>
          <w:rFonts w:hint="eastAsia" w:ascii="黑体" w:eastAsia="黑体"/>
          <w:sz w:val="30"/>
          <w:u w:val="single"/>
        </w:rPr>
        <w:t xml:space="preserve"> </w:t>
      </w:r>
    </w:p>
    <w:p w14:paraId="29DFFFFD">
      <w:pPr>
        <w:tabs>
          <w:tab w:val="left" w:pos="1276"/>
        </w:tabs>
        <w:spacing w:after="360" w:afterLines="150"/>
        <w:rPr>
          <w:rFonts w:ascii="黑体" w:eastAsia="黑体"/>
          <w:sz w:val="30"/>
          <w:u w:val="single"/>
        </w:rPr>
      </w:pPr>
      <w:r>
        <w:rPr>
          <w:rFonts w:ascii="黑体" w:eastAsia="黑体"/>
          <w:sz w:val="30"/>
        </w:rPr>
        <w:t>填表日期：   2026   年   9   月   20   日</w:t>
      </w:r>
    </w:p>
    <w:p w14:paraId="116C4303">
      <w:pPr>
        <w:spacing w:before="1680" w:beforeLines="700"/>
        <w:jc w:val="center"/>
        <w:rPr>
          <w:rFonts w:ascii="楷体" w:eastAsia="楷体"/>
          <w:sz w:val="32"/>
        </w:rPr>
      </w:pPr>
      <w:r>
        <w:rPr>
          <w:rFonts w:hint="eastAsia" w:ascii="楷体" w:eastAsia="楷体"/>
          <w:sz w:val="32"/>
        </w:rPr>
        <w:t>电子科技大学研究生院</w:t>
      </w:r>
    </w:p>
    <w:p w14:paraId="0153831D">
      <w:pPr>
        <w:spacing w:before="1680" w:beforeLines="700"/>
        <w:ind w:firstLine="3210"/>
        <w:jc w:val="left"/>
        <w:rPr>
          <w:rFonts w:ascii="楷体" w:eastAsia="楷体"/>
          <w:sz w:val="32"/>
        </w:rPr>
        <w:sectPr>
          <w:headerReference r:id="rId5" w:type="first"/>
          <w:footerReference r:id="rId8" w:type="first"/>
          <w:headerReference r:id="rId3" w:type="default"/>
          <w:footerReference r:id="rId6" w:type="default"/>
          <w:headerReference r:id="rId4" w:type="even"/>
          <w:footerReference r:id="rId7" w:type="even"/>
          <w:pgSz w:w="11906" w:h="16838"/>
          <w:pgMar w:top="1418" w:right="1191" w:bottom="1418" w:left="1474" w:header="851" w:footer="992" w:gutter="0"/>
          <w:cols w:space="425" w:num="1"/>
          <w:docGrid w:linePitch="312" w:charSpace="0"/>
        </w:sectPr>
      </w:pPr>
    </w:p>
    <w:p w14:paraId="7BD9ABC6">
      <w:pPr>
        <w:numPr>
          <w:ilvl w:val="0"/>
          <w:numId w:val="1"/>
        </w:numPr>
        <w:rPr>
          <w:rFonts w:hint="eastAsia" w:ascii="黑体" w:hAnsi="黑体" w:eastAsia="黑体"/>
          <w:bCs/>
          <w:sz w:val="28"/>
        </w:rPr>
      </w:pPr>
      <w:r>
        <w:rPr>
          <w:rFonts w:hint="eastAsia" w:ascii="黑体" w:hAnsi="黑体" w:eastAsia="黑体"/>
          <w:bCs/>
          <w:sz w:val="28"/>
        </w:rPr>
        <w:t>已完成的主要工作</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57" w:type="dxa"/>
          <w:bottom w:w="57" w:type="dxa"/>
          <w:right w:w="57" w:type="dxa"/>
        </w:tblCellMar>
      </w:tblPr>
      <w:tblGrid>
        <w:gridCol w:w="5451"/>
        <w:gridCol w:w="4301"/>
      </w:tblGrid>
      <w:tr w14:paraId="557A3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340" w:hRule="atLeast"/>
          <w:jc w:val="center"/>
        </w:trPr>
        <w:tc>
          <w:tcPr>
            <w:tcW w:w="5000" w:type="pct"/>
            <w:gridSpan w:val="2"/>
            <w:vAlign w:val="center"/>
          </w:tcPr>
          <w:p w14:paraId="689FCCA1">
            <w:pPr>
              <w:rPr>
                <w:rFonts w:hint="eastAsia" w:ascii="宋体" w:hAnsi="宋体"/>
                <w:b/>
                <w:sz w:val="24"/>
              </w:rPr>
            </w:pPr>
            <w:r>
              <w:rPr>
                <w:rFonts w:hint="eastAsia" w:ascii="宋体" w:hAnsi="宋体"/>
                <w:b/>
                <w:sz w:val="24"/>
              </w:rPr>
              <w:t>1</w:t>
            </w:r>
            <w:r>
              <w:rPr>
                <w:rFonts w:ascii="宋体" w:hAnsi="宋体"/>
                <w:b/>
                <w:sz w:val="24"/>
              </w:rPr>
              <w:t>.</w:t>
            </w:r>
            <w:r>
              <w:rPr>
                <w:rFonts w:hint="eastAsia" w:ascii="宋体" w:hAnsi="宋体"/>
                <w:b/>
                <w:sz w:val="24"/>
              </w:rPr>
              <w:t>开题报告通过时间：</w:t>
            </w:r>
            <w:r>
              <w:rPr>
                <w:rFonts w:hint="eastAsia" w:ascii="宋体" w:hAnsi="宋体"/>
                <w:sz w:val="24"/>
                <w:u w:val="single"/>
              </w:rPr>
              <w:t xml:space="preserve"> </w:t>
            </w:r>
            <w:r>
              <w:rPr>
                <w:rFonts w:ascii="宋体" w:hAnsi="宋体"/>
                <w:sz w:val="24"/>
                <w:u w:val="single"/>
              </w:rPr>
              <w:t xml:space="preserve">   </w:t>
            </w:r>
            <w:r>
              <w:rPr>
                <w:rFonts w:hint="default" w:ascii="宋体" w:hAnsi="宋体"/>
                <w:sz w:val="24"/>
                <w:u w:val="single"/>
                <w:lang w:val="en-US"/>
              </w:rPr>
              <w:t>2025</w:t>
            </w:r>
            <w:r>
              <w:rPr>
                <w:rFonts w:ascii="宋体" w:hAnsi="宋体"/>
                <w:sz w:val="24"/>
                <w:u w:val="single"/>
              </w:rPr>
              <w:t xml:space="preserve">   </w:t>
            </w:r>
            <w:r>
              <w:rPr>
                <w:rFonts w:hint="eastAsia" w:ascii="宋体" w:hAnsi="宋体"/>
                <w:sz w:val="24"/>
              </w:rPr>
              <w:t>年</w:t>
            </w:r>
            <w:r>
              <w:rPr>
                <w:rFonts w:hint="eastAsia" w:ascii="宋体" w:hAnsi="宋体"/>
                <w:sz w:val="24"/>
                <w:u w:val="single"/>
              </w:rPr>
              <w:t xml:space="preserve"> </w:t>
            </w:r>
            <w:r>
              <w:rPr>
                <w:rFonts w:ascii="宋体" w:hAnsi="宋体"/>
                <w:sz w:val="24"/>
                <w:u w:val="single"/>
              </w:rPr>
              <w:t xml:space="preserve">  </w:t>
            </w:r>
            <w:r>
              <w:rPr>
                <w:rFonts w:hint="default" w:ascii="宋体" w:hAnsi="宋体"/>
                <w:sz w:val="24"/>
                <w:u w:val="single"/>
                <w:lang w:val="en-US"/>
              </w:rPr>
              <w:t>10</w:t>
            </w:r>
            <w:r>
              <w:rPr>
                <w:rFonts w:ascii="宋体" w:hAnsi="宋体"/>
                <w:sz w:val="24"/>
                <w:u w:val="single"/>
              </w:rPr>
              <w:t xml:space="preserve">  </w:t>
            </w:r>
            <w:r>
              <w:rPr>
                <w:rFonts w:hint="eastAsia" w:ascii="宋体" w:hAnsi="宋体"/>
                <w:sz w:val="24"/>
              </w:rPr>
              <w:t>月</w:t>
            </w:r>
            <w:r>
              <w:rPr>
                <w:rFonts w:hint="eastAsia" w:ascii="宋体" w:hAnsi="宋体"/>
                <w:sz w:val="24"/>
                <w:u w:val="single"/>
              </w:rPr>
              <w:t xml:space="preserve"> </w:t>
            </w:r>
            <w:r>
              <w:rPr>
                <w:rFonts w:ascii="宋体" w:hAnsi="宋体"/>
                <w:sz w:val="24"/>
                <w:u w:val="single"/>
              </w:rPr>
              <w:t xml:space="preserve">  </w:t>
            </w:r>
            <w:r>
              <w:rPr>
                <w:rFonts w:hint="default" w:ascii="宋体" w:hAnsi="宋体"/>
                <w:sz w:val="24"/>
                <w:u w:val="single"/>
                <w:lang w:val="en-US"/>
              </w:rPr>
              <w:t>20</w:t>
            </w:r>
            <w:r>
              <w:rPr>
                <w:rFonts w:ascii="宋体" w:hAnsi="宋体"/>
                <w:sz w:val="24"/>
                <w:u w:val="single"/>
              </w:rPr>
              <w:t xml:space="preserve">  </w:t>
            </w:r>
            <w:r>
              <w:rPr>
                <w:rFonts w:hint="eastAsia" w:ascii="宋体" w:hAnsi="宋体"/>
                <w:sz w:val="24"/>
              </w:rPr>
              <w:t>日</w:t>
            </w:r>
          </w:p>
        </w:tc>
      </w:tr>
      <w:tr w14:paraId="439D2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340" w:hRule="atLeast"/>
          <w:jc w:val="center"/>
        </w:trPr>
        <w:tc>
          <w:tcPr>
            <w:tcW w:w="5000" w:type="pct"/>
            <w:gridSpan w:val="2"/>
            <w:vAlign w:val="center"/>
          </w:tcPr>
          <w:p w14:paraId="4BDEF656">
            <w:pPr>
              <w:rPr>
                <w:rFonts w:hint="eastAsia" w:ascii="宋体" w:hAnsi="宋体"/>
                <w:b/>
                <w:sz w:val="24"/>
              </w:rPr>
            </w:pPr>
            <w:r>
              <w:rPr>
                <w:rFonts w:ascii="宋体" w:hAnsi="宋体"/>
                <w:b/>
                <w:sz w:val="24"/>
              </w:rPr>
              <w:t xml:space="preserve">2. </w:t>
            </w:r>
            <w:r>
              <w:rPr>
                <w:rFonts w:hint="eastAsia" w:ascii="宋体" w:hAnsi="宋体"/>
                <w:b/>
                <w:sz w:val="24"/>
              </w:rPr>
              <w:t>课程学习情况</w:t>
            </w:r>
          </w:p>
        </w:tc>
      </w:tr>
      <w:tr w14:paraId="4CAD0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340" w:hRule="atLeast"/>
          <w:jc w:val="center"/>
        </w:trPr>
        <w:tc>
          <w:tcPr>
            <w:tcW w:w="2795" w:type="pct"/>
            <w:vAlign w:val="center"/>
          </w:tcPr>
          <w:p w14:paraId="7E893643">
            <w:pPr>
              <w:rPr>
                <w:rFonts w:hint="eastAsia" w:ascii="宋体" w:hAnsi="宋体"/>
                <w:sz w:val="24"/>
              </w:rPr>
            </w:pPr>
            <w:r>
              <w:rPr>
                <w:rFonts w:hint="eastAsia" w:ascii="宋体" w:hAnsi="宋体"/>
                <w:sz w:val="24"/>
              </w:rPr>
              <w:t>是否已达到培养方案规定的学分要求</w:t>
            </w:r>
          </w:p>
        </w:tc>
        <w:tc>
          <w:tcPr>
            <w:tcW w:w="2205" w:type="pct"/>
            <w:vAlign w:val="center"/>
          </w:tcPr>
          <w:p w14:paraId="70F39BCD">
            <w:pPr>
              <w:rPr>
                <w:rFonts w:hint="eastAsia" w:ascii="宋体" w:hAnsi="宋体"/>
                <w:sz w:val="24"/>
              </w:rPr>
            </w:pPr>
            <w:r>
              <w:rPr>
                <w:rFonts w:hint="default" w:ascii="宋体" w:hAnsi="宋体"/>
                <w:sz w:val="24"/>
                <w:lang w:val="en-US"/>
              </w:rPr>
              <w:t>□</w:t>
            </w:r>
            <w:r>
              <w:rPr>
                <w:rFonts w:hint="eastAsia" w:ascii="宋体" w:hAnsi="宋体"/>
                <w:sz w:val="24"/>
              </w:rPr>
              <w:t xml:space="preserve">是 </w:t>
            </w:r>
            <w:r>
              <w:rPr>
                <w:rFonts w:ascii="宋体" w:hAnsi="宋体"/>
                <w:sz w:val="24"/>
              </w:rPr>
              <w:t xml:space="preserve">  </w:t>
            </w:r>
            <w:r>
              <w:rPr>
                <w:rFonts w:hint="default" w:ascii="宋体" w:hAnsi="宋体"/>
                <w:sz w:val="24"/>
                <w:lang w:val="en-US"/>
              </w:rPr>
              <w:t>☑</w:t>
            </w:r>
            <w:r>
              <w:rPr>
                <w:rFonts w:hint="eastAsia" w:ascii="宋体" w:hAnsi="宋体"/>
                <w:sz w:val="24"/>
              </w:rPr>
              <w:t>否</w:t>
            </w:r>
          </w:p>
        </w:tc>
      </w:tr>
      <w:tr w14:paraId="12C92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90" w:hRule="atLeast"/>
          <w:jc w:val="center"/>
        </w:trPr>
        <w:tc>
          <w:tcPr>
            <w:tcW w:w="5000" w:type="pct"/>
            <w:gridSpan w:val="2"/>
            <w:vAlign w:val="center"/>
          </w:tcPr>
          <w:p w14:paraId="2E33CB2B">
            <w:pPr>
              <w:tabs>
                <w:tab w:val="left" w:pos="6182"/>
              </w:tabs>
              <w:spacing w:after="102" w:afterLines="32" w:afterAutospacing="0"/>
              <w:rPr>
                <w:rFonts w:hint="default"/>
                <w:lang w:val="en-US"/>
              </w:rPr>
            </w:pPr>
            <w:r>
              <w:rPr>
                <w:rFonts w:ascii="宋体" w:hAnsi="宋体"/>
                <w:b/>
                <w:sz w:val="24"/>
              </w:rPr>
              <w:t>3</w:t>
            </w:r>
            <w:r>
              <w:rPr>
                <w:rFonts w:hint="eastAsia" w:ascii="宋体" w:hAnsi="宋体"/>
                <w:b/>
                <w:sz w:val="24"/>
              </w:rPr>
              <w:t>.</w:t>
            </w:r>
            <w:r>
              <w:rPr>
                <w:rFonts w:ascii="宋体" w:hAnsi="宋体"/>
                <w:b/>
                <w:sz w:val="24"/>
              </w:rPr>
              <w:t xml:space="preserve"> </w:t>
            </w:r>
            <w:r>
              <w:rPr>
                <w:rFonts w:hint="eastAsia" w:ascii="宋体" w:hAnsi="宋体"/>
                <w:b/>
                <w:sz w:val="24"/>
              </w:rPr>
              <w:t>论文研究进展</w:t>
            </w:r>
            <w:r>
              <w:rPr>
                <w:rFonts w:hint="default" w:ascii="宋体" w:hAnsi="宋体"/>
                <w:b/>
                <w:sz w:val="24"/>
                <w:lang w:val="en-US"/>
              </w:rPr>
              <w:tab/>
            </w:r>
          </w:p>
        </w:tc>
      </w:tr>
      <w:tr w14:paraId="2D62F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988" w:hRule="atLeast"/>
          <w:jc w:val="center"/>
        </w:trPr>
        <w:tc>
          <w:tcPr>
            <w:tcW w:w="5000" w:type="pct"/>
            <w:gridSpan w:val="2"/>
          </w:tcPr>
          <w:p w14:paraId="51BE5A6E">
            <w:pPr>
              <w:keepNext/>
              <w:numPr>
                <w:ilvl w:val="0"/>
                <w:numId w:val="2"/>
              </w:numPr>
              <w:spacing w:before="120"/>
              <w:rPr>
                <w:rFonts w:hint="default"/>
                <w:b/>
                <w:color w:val="000000"/>
                <w:sz w:val="24"/>
                <w:lang w:val="en-US"/>
              </w:rPr>
            </w:pPr>
            <w:r>
              <w:rPr>
                <w:b/>
                <w:color w:val="000000"/>
                <w:sz w:val="24"/>
              </w:rPr>
              <w:t>高阶调制概率整形极化码仿真框架</w:t>
            </w:r>
          </w:p>
          <w:p w14:paraId="5D8EFE40">
            <w:pPr>
              <w:ind w:firstLine="480"/>
              <w:rPr>
                <w:color w:val="000000"/>
                <w:sz w:val="24"/>
              </w:rPr>
            </w:pPr>
            <w:r>
              <w:rPr>
                <w:rFonts w:hint="default"/>
                <w:color w:val="000000"/>
                <w:sz w:val="24"/>
                <w:lang w:val="en-US"/>
              </w:rPr>
              <w:t>本阶段在16QAM概率整形极化码方案初步完成的基础上，将编码前通过预编码达到概率整形效果的整形方案推广到了8QAM、32QAM、64QAM。链路均经过概率整形、编码、Gray QAM映射、AWGN信道、LLR计算、译码。</w:t>
            </w:r>
          </w:p>
          <w:p w14:paraId="1405EDD7">
            <w:pPr>
              <w:keepNext/>
              <w:spacing w:before="60"/>
            </w:pPr>
            <w:r>
              <w:rPr>
                <w:b/>
                <w:color w:val="000000"/>
                <w:sz w:val="24"/>
              </w:rPr>
              <w:t>1、</w:t>
            </w:r>
            <w:r>
              <w:rPr>
                <w:rFonts w:hint="default"/>
                <w:b/>
                <w:color w:val="000000"/>
                <w:sz w:val="24"/>
                <w:lang w:val="en-US"/>
              </w:rPr>
              <w:t>通用框架</w:t>
            </w:r>
            <w:r>
              <w:rPr>
                <w:b/>
                <w:color w:val="000000"/>
                <w:sz w:val="24"/>
              </w:rPr>
              <w:t>验证</w:t>
            </w:r>
          </w:p>
          <w:p w14:paraId="0107F172">
            <w:pPr>
              <w:ind w:firstLine="480"/>
              <w:rPr>
                <w:rFonts w:hint="default"/>
                <w:color w:val="000000"/>
                <w:sz w:val="24"/>
                <w:lang w:val="en-US"/>
              </w:rPr>
            </w:pPr>
            <w:r>
              <w:rPr>
                <w:rFonts w:hint="default"/>
                <w:color w:val="000000"/>
                <w:sz w:val="24"/>
                <w:lang w:val="en-US"/>
              </w:rPr>
              <w:t>通用框架通过以下门禁验证：</w:t>
            </w:r>
          </w:p>
          <w:p w14:paraId="7DAC25B4">
            <w:pPr>
              <w:numPr>
                <w:ilvl w:val="0"/>
                <w:numId w:val="3"/>
              </w:numPr>
              <w:ind w:firstLine="480"/>
              <w:rPr>
                <w:rFonts w:hint="default"/>
                <w:color w:val="000000"/>
                <w:sz w:val="24"/>
                <w:lang w:val="en-US"/>
              </w:rPr>
            </w:pPr>
            <w:r>
              <w:rPr>
                <w:rFonts w:hint="default"/>
                <w:color w:val="000000"/>
                <w:sz w:val="24"/>
                <w:lang w:val="en-US"/>
              </w:rPr>
              <w:t>概率分布：整形后，整体星座图是否符合目标（调整内外圈层分布）。</w:t>
            </w:r>
          </w:p>
          <w:p w14:paraId="69D43A47">
            <w:pPr>
              <w:numPr>
                <w:ilvl w:val="0"/>
                <w:numId w:val="3"/>
              </w:numPr>
              <w:ind w:firstLine="480"/>
              <w:rPr>
                <w:rFonts w:hint="default"/>
                <w:color w:val="000000"/>
                <w:sz w:val="24"/>
                <w:lang w:val="en-US"/>
              </w:rPr>
            </w:pPr>
            <w:r>
              <w:rPr>
                <w:rFonts w:hint="default"/>
                <w:color w:val="000000"/>
                <w:sz w:val="24"/>
                <w:lang w:val="en-US"/>
              </w:rPr>
              <w:t>BER性能：能否形成瀑布流现象。</w:t>
            </w:r>
          </w:p>
          <w:p w14:paraId="1F3C7F43">
            <w:pPr>
              <w:numPr>
                <w:ilvl w:val="0"/>
                <w:numId w:val="3"/>
              </w:numPr>
              <w:ind w:firstLine="480"/>
              <w:rPr>
                <w:rFonts w:hint="default"/>
                <w:color w:val="000000"/>
                <w:sz w:val="24"/>
                <w:lang w:val="en-US"/>
              </w:rPr>
            </w:pPr>
            <w:r>
              <w:rPr>
                <w:rFonts w:hint="default"/>
                <w:color w:val="000000"/>
                <w:sz w:val="24"/>
                <w:lang w:val="en-US"/>
              </w:rPr>
              <w:t>发送能量：能量随整形强度增加。</w:t>
            </w:r>
          </w:p>
          <w:p w14:paraId="1343DF4B">
            <w:pPr>
              <w:keepNext/>
              <w:jc w:val="center"/>
            </w:pPr>
            <w:r>
              <w:rPr>
                <w:color w:val="000000"/>
              </w:rPr>
              <w:t>表1 通用</w:t>
            </w:r>
            <w:r>
              <w:rPr>
                <w:rFonts w:hint="default"/>
                <w:color w:val="000000"/>
                <w:lang w:val="en-US"/>
              </w:rPr>
              <w:t>框架</w:t>
            </w:r>
            <w:r>
              <w:rPr>
                <w:color w:val="000000"/>
              </w:rPr>
              <w:t>验证</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4464"/>
            </w:tblGrid>
            <w:tr w14:paraId="7B456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vAlign w:val="center"/>
                </w:tcPr>
                <w:p w14:paraId="1D36F414">
                  <w:pPr>
                    <w:jc w:val="center"/>
                  </w:pPr>
                  <w:r>
                    <w:rPr>
                      <w:b/>
                      <w:color w:val="000000"/>
                    </w:rPr>
                    <w:t>验证对象</w:t>
                  </w:r>
                </w:p>
              </w:tc>
              <w:tc>
                <w:tcPr>
                  <w:tcW w:w="4464" w:type="dxa"/>
                  <w:shd w:val="clear" w:color="auto" w:fill="D9EAF7"/>
                  <w:vAlign w:val="center"/>
                </w:tcPr>
                <w:p w14:paraId="603E75FC">
                  <w:pPr>
                    <w:jc w:val="center"/>
                  </w:pPr>
                  <w:r>
                    <w:rPr>
                      <w:b/>
                      <w:color w:val="000000"/>
                    </w:rPr>
                    <w:t>通过标准</w:t>
                  </w:r>
                </w:p>
              </w:tc>
            </w:tr>
            <w:tr w14:paraId="35DF8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70" w:type="dxa"/>
                    <w:bottom w:w="70" w:type="dxa"/>
                    <w:right w:w="70" w:type="dxa"/>
                  </w:tcMar>
                  <w:vAlign w:val="center"/>
                </w:tcPr>
                <w:p w14:paraId="7827D499">
                  <w:pPr>
                    <w:jc w:val="center"/>
                  </w:pPr>
                  <w:r>
                    <w:rPr>
                      <w:color w:val="000000"/>
                    </w:rPr>
                    <w:t>概率分布</w:t>
                  </w:r>
                </w:p>
              </w:tc>
              <w:tc>
                <w:tcPr>
                  <w:tcW w:w="4464" w:type="dxa"/>
                  <w:tcMar>
                    <w:top w:w="70" w:type="dxa"/>
                    <w:left w:w="70" w:type="dxa"/>
                    <w:bottom w:w="70" w:type="dxa"/>
                    <w:right w:w="70" w:type="dxa"/>
                  </w:tcMar>
                  <w:vAlign w:val="center"/>
                </w:tcPr>
                <w:p w14:paraId="2B13F47C">
                  <w:pPr>
                    <w:jc w:val="left"/>
                  </w:pPr>
                  <w:r>
                    <w:rPr>
                      <w:color w:val="000000"/>
                    </w:rPr>
                    <w:t>目标、模型和经验PMF满足阈值</w:t>
                  </w:r>
                </w:p>
              </w:tc>
            </w:tr>
            <w:tr w14:paraId="0B9E2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1800" w:type="dxa"/>
                  <w:tcMar>
                    <w:top w:w="70" w:type="dxa"/>
                    <w:left w:w="70" w:type="dxa"/>
                    <w:bottom w:w="70" w:type="dxa"/>
                    <w:right w:w="70" w:type="dxa"/>
                  </w:tcMar>
                  <w:vAlign w:val="center"/>
                </w:tcPr>
                <w:p w14:paraId="09A31663">
                  <w:pPr>
                    <w:jc w:val="center"/>
                  </w:pPr>
                  <w:r>
                    <w:rPr>
                      <w:color w:val="000000"/>
                    </w:rPr>
                    <w:t>有限SNR BER</w:t>
                  </w:r>
                </w:p>
              </w:tc>
              <w:tc>
                <w:tcPr>
                  <w:tcW w:w="4464" w:type="dxa"/>
                  <w:tcMar>
                    <w:top w:w="70" w:type="dxa"/>
                    <w:left w:w="70" w:type="dxa"/>
                    <w:bottom w:w="70" w:type="dxa"/>
                    <w:right w:w="70" w:type="dxa"/>
                  </w:tcMar>
                  <w:vAlign w:val="center"/>
                </w:tcPr>
                <w:p w14:paraId="509E9C6B">
                  <w:pPr>
                    <w:jc w:val="left"/>
                  </w:pPr>
                  <w:r>
                    <w:rPr>
                      <w:color w:val="000000"/>
                    </w:rPr>
                    <w:t>每条曲线至少2个有效点且每点不少于100个错误</w:t>
                  </w:r>
                </w:p>
              </w:tc>
            </w:tr>
            <w:tr w14:paraId="54032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70" w:type="dxa"/>
                    <w:bottom w:w="70" w:type="dxa"/>
                    <w:right w:w="70" w:type="dxa"/>
                  </w:tcMar>
                  <w:vAlign w:val="center"/>
                </w:tcPr>
                <w:p w14:paraId="38CDC824">
                  <w:pPr>
                    <w:jc w:val="center"/>
                  </w:pPr>
                  <w:r>
                    <w:rPr>
                      <w:color w:val="000000"/>
                    </w:rPr>
                    <w:t>发送能量</w:t>
                  </w:r>
                </w:p>
              </w:tc>
              <w:tc>
                <w:tcPr>
                  <w:tcW w:w="4464" w:type="dxa"/>
                  <w:tcMar>
                    <w:top w:w="70" w:type="dxa"/>
                    <w:left w:w="70" w:type="dxa"/>
                    <w:bottom w:w="70" w:type="dxa"/>
                    <w:right w:w="70" w:type="dxa"/>
                  </w:tcMar>
                  <w:vAlign w:val="center"/>
                </w:tcPr>
                <w:p w14:paraId="4983EC50">
                  <w:pPr>
                    <w:jc w:val="center"/>
                  </w:pPr>
                  <w:r>
                    <w:rPr>
                      <w:color w:val="000000"/>
                    </w:rPr>
                    <w:t>模型与经验能量随整形强度增加</w:t>
                  </w:r>
                </w:p>
              </w:tc>
            </w:tr>
          </w:tbl>
          <w:p w14:paraId="6F08F41E"/>
          <w:p w14:paraId="458A21D4">
            <w:pPr>
              <w:keepNext/>
              <w:spacing w:before="60"/>
            </w:pPr>
            <w:r>
              <w:rPr>
                <w:b/>
                <w:color w:val="000000"/>
                <w:sz w:val="24"/>
              </w:rPr>
              <w:t>2、概率整形与能量验证</w:t>
            </w:r>
          </w:p>
          <w:p w14:paraId="5F409077">
            <w:pPr>
              <w:ind w:firstLine="480"/>
            </w:pPr>
            <w:r>
              <w:rPr>
                <w:color w:val="000000"/>
                <w:sz w:val="24"/>
              </w:rPr>
              <w:t>概率整形参数lambda用于提高外层高能量星座点的出现概率。</w:t>
            </w:r>
            <w:r>
              <w:rPr>
                <w:rFonts w:hint="default"/>
                <w:color w:val="000000"/>
                <w:sz w:val="24"/>
                <w:lang w:val="en-US"/>
              </w:rPr>
              <w:t>相同星座图映射点全集下，</w:t>
            </w:r>
            <w:r>
              <w:rPr>
                <w:color w:val="000000"/>
                <w:sz w:val="24"/>
              </w:rPr>
              <w:t>平均发送符号能量由符号概率与星座点能量共同决定，可写为</w:t>
            </w:r>
          </w:p>
          <w:p w14:paraId="4AF305E3">
            <w:pPr>
              <w:spacing w:before="40" w:after="40"/>
              <w:jc w:val="center"/>
            </w:pPr>
            <m:oMathPara>
              <m:oMath>
                <m:r>
                  <m:rPr/>
                  <w:rPr>
                    <w:rFonts w:ascii="Cambria Math" w:hAnsi="Cambria Math"/>
                  </w:rPr>
                  <m:t>E=</m:t>
                </m:r>
                <m:nary>
                  <m:naryPr>
                    <m:chr m:val="∑"/>
                    <m:limLoc m:val="undOvr"/>
                    <m:supHide m:val="1"/>
                    <m:ctrlPr>
                      <w:rPr>
                        <w:rFonts w:ascii="Cambria Math" w:hAnsi="Cambria Math"/>
                        <w:i/>
                      </w:rPr>
                    </m:ctrlPr>
                  </m:naryPr>
                  <m:sub>
                    <m:r>
                      <m:rPr/>
                      <w:rPr>
                        <w:rFonts w:ascii="Cambria Math" w:hAnsi="Cambria Math"/>
                      </w:rPr>
                      <m:t>x∈</m:t>
                    </m:r>
                    <m:r>
                      <m:rPr>
                        <m:scr m:val="script"/>
                      </m:rPr>
                      <w:rPr>
                        <w:rFonts w:ascii="Cambria Math" w:hAnsi="Cambria Math"/>
                      </w:rPr>
                      <m:t>X</m:t>
                    </m:r>
                    <m:ctrlPr>
                      <w:rPr>
                        <w:rFonts w:ascii="Cambria Math" w:hAnsi="Cambria Math"/>
                        <w:i/>
                      </w:rPr>
                    </m:ctrlPr>
                  </m:sub>
                  <m:sup>
                    <m:ctrlPr>
                      <w:rPr>
                        <w:rFonts w:ascii="Cambria Math" w:hAnsi="Cambria Math"/>
                        <w:i/>
                      </w:rPr>
                    </m:ctrlPr>
                  </m:sup>
                  <m:e>
                    <m:r>
                      <m:rPr/>
                      <w:rPr>
                        <w:rFonts w:ascii="Cambria Math" w:hAnsi="Cambria Math"/>
                      </w:rPr>
                      <m:t>P(x)</m:t>
                    </m:r>
                    <m:ctrlPr>
                      <w:rPr>
                        <w:rFonts w:ascii="Cambria Math" w:hAnsi="Cambria Math"/>
                        <w:i/>
                      </w:rPr>
                    </m:ctrlPr>
                  </m:e>
                </m:nary>
                <m:sSup>
                  <m:sSupPr>
                    <m:ctrlPr>
                      <w:rPr>
                        <w:rFonts w:ascii="Cambria Math" w:hAnsi="Cambria Math"/>
                      </w:rPr>
                    </m:ctrlPr>
                  </m:sSupPr>
                  <m:e>
                    <m:d>
                      <m:dPr>
                        <m:begChr m:val="|"/>
                        <m:endChr m:val="|"/>
                        <m:ctrlPr>
                          <w:rPr>
                            <w:rFonts w:ascii="Cambria Math" w:hAnsi="Cambria Math"/>
                          </w:rPr>
                        </m:ctrlPr>
                      </m:dPr>
                      <m:e>
                        <m:r>
                          <m:rPr/>
                          <w:rPr>
                            <w:rFonts w:ascii="Cambria Math" w:hAnsi="Cambria Math"/>
                          </w:rPr>
                          <m:t>x</m:t>
                        </m:r>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oMath>
            </m:oMathPara>
          </w:p>
          <w:p w14:paraId="6835BB71">
            <w:pPr>
              <w:ind w:firstLine="480"/>
              <w:rPr>
                <w:rFonts w:hint="default"/>
                <w:lang w:val="en-US"/>
              </w:rPr>
            </w:pPr>
            <w:r>
              <w:rPr>
                <w:rFonts w:hint="default"/>
                <w:color w:val="000000"/>
                <w:sz w:val="24"/>
                <w:lang w:val="en-US"/>
              </w:rPr>
              <w:t>下图主要衡量不同调制方式下的能量性能，</w:t>
            </w:r>
            <w:r>
              <w:rPr>
                <w:color w:val="000000"/>
                <w:sz w:val="24"/>
              </w:rPr>
              <w:t>采用N=256、每个点40帧。随着lambda增大，</w:t>
            </w:r>
            <w:r>
              <w:rPr>
                <w:rFonts w:hint="default"/>
                <w:color w:val="000000"/>
                <w:sz w:val="24"/>
                <w:lang w:val="en-US"/>
              </w:rPr>
              <w:t>所有调制方式</w:t>
            </w:r>
            <w:r>
              <w:rPr>
                <w:color w:val="000000"/>
                <w:sz w:val="24"/>
              </w:rPr>
              <w:t>的能量</w:t>
            </w:r>
            <w:r>
              <w:rPr>
                <w:rFonts w:hint="default"/>
                <w:color w:val="000000"/>
                <w:sz w:val="24"/>
                <w:lang w:val="en-US"/>
              </w:rPr>
              <w:t>性能</w:t>
            </w:r>
            <w:r>
              <w:rPr>
                <w:color w:val="000000"/>
                <w:sz w:val="24"/>
              </w:rPr>
              <w:t>均上升。model</w:t>
            </w:r>
            <w:r>
              <w:rPr>
                <w:rFonts w:hint="default"/>
                <w:color w:val="000000"/>
                <w:sz w:val="24"/>
                <w:lang w:val="en-US"/>
              </w:rPr>
              <w:t>表示理想</w:t>
            </w:r>
            <w:r>
              <w:rPr>
                <w:color w:val="000000"/>
                <w:sz w:val="24"/>
              </w:rPr>
              <w:t>概率，empirical</w:t>
            </w:r>
            <w:r>
              <w:rPr>
                <w:rFonts w:hint="default"/>
                <w:color w:val="000000"/>
                <w:sz w:val="24"/>
                <w:lang w:val="en-US"/>
              </w:rPr>
              <w:t>统计实际码字能量</w:t>
            </w:r>
            <w:r>
              <w:rPr>
                <w:color w:val="000000"/>
                <w:sz w:val="24"/>
              </w:rPr>
              <w:t>；</w:t>
            </w:r>
            <w:r>
              <w:rPr>
                <w:rFonts w:hint="default"/>
                <w:color w:val="000000"/>
                <w:sz w:val="24"/>
                <w:lang w:val="en-US"/>
              </w:rPr>
              <w:t>图中所有</w:t>
            </w:r>
            <w:r>
              <w:rPr>
                <w:color w:val="000000"/>
                <w:sz w:val="24"/>
              </w:rPr>
              <w:t>组合中，以</w:t>
            </w:r>
            <w:r>
              <w:rPr>
                <w:rFonts w:hint="default"/>
                <w:color w:val="000000"/>
                <w:sz w:val="24"/>
                <w:lang w:val="en-US"/>
              </w:rPr>
              <w:t>理想能量为参照的</w:t>
            </w:r>
            <w:r>
              <w:rPr>
                <w:color w:val="000000"/>
                <w:sz w:val="24"/>
              </w:rPr>
              <w:t>最大相对偏差为4.9%，</w:t>
            </w:r>
            <w:r>
              <w:rPr>
                <w:rFonts w:hint="default"/>
                <w:color w:val="000000"/>
                <w:sz w:val="24"/>
                <w:lang w:val="en-US"/>
              </w:rPr>
              <w:t>偏差的主要原因是极化码整形本身是通过无限长码字进行推导的，随着码长度N的提升才能趋向理论值</w:t>
            </w:r>
            <w:r>
              <w:rPr>
                <w:color w:val="000000"/>
                <w:sz w:val="24"/>
              </w:rPr>
              <w:t>。后文</w:t>
            </w:r>
            <w:r>
              <w:rPr>
                <w:rFonts w:hint="default"/>
                <w:color w:val="000000"/>
                <w:sz w:val="24"/>
                <w:lang w:val="en-US"/>
              </w:rPr>
              <w:t>针对</w:t>
            </w:r>
            <w:r>
              <w:rPr>
                <w:color w:val="000000"/>
                <w:sz w:val="24"/>
              </w:rPr>
              <w:t>64QAM</w:t>
            </w:r>
            <w:r>
              <w:rPr>
                <w:rFonts w:hint="default"/>
                <w:color w:val="000000"/>
                <w:sz w:val="24"/>
                <w:lang w:val="en-US"/>
              </w:rPr>
              <w:t>在</w:t>
            </w:r>
            <w:r>
              <w:rPr>
                <w:color w:val="000000"/>
                <w:sz w:val="24"/>
              </w:rPr>
              <w:t>N=1024独立复核</w:t>
            </w:r>
            <w:r>
              <w:rPr>
                <w:color w:val="000000"/>
                <w:sz w:val="24"/>
                <w:lang w:val="en-US"/>
              </w:rPr>
              <w:t>（</w:t>
            </w:r>
            <w:r>
              <w:rPr>
                <w:rFonts w:hint="default"/>
                <w:color w:val="000000"/>
                <w:sz w:val="24"/>
                <w:lang w:val="en-US"/>
              </w:rPr>
              <w:t>每个点80帧重复</w:t>
            </w:r>
            <w:r>
              <w:rPr>
                <w:color w:val="000000"/>
                <w:sz w:val="24"/>
                <w:lang w:val="en-US"/>
              </w:rPr>
              <w:t>）</w:t>
            </w:r>
            <w:r>
              <w:rPr>
                <w:rFonts w:hint="default"/>
                <w:color w:val="000000"/>
                <w:sz w:val="24"/>
                <w:lang w:val="en-US"/>
              </w:rPr>
              <w:t>和理想能量的误差明显减小</w:t>
            </w:r>
            <w:r>
              <w:rPr>
                <w:color w:val="000000"/>
                <w:sz w:val="24"/>
              </w:rPr>
              <w:t>。</w:t>
            </w:r>
          </w:p>
          <w:p w14:paraId="7064C00E">
            <w:pPr>
              <w:keepNext/>
              <w:spacing w:before="60"/>
              <w:jc w:val="center"/>
            </w:pPr>
            <w:r>
              <w:drawing>
                <wp:inline distT="0" distB="0" distL="0" distR="0">
                  <wp:extent cx="5166360" cy="41948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166360" cy="4195051"/>
                          </a:xfrm>
                          <a:prstGeom prst="rect">
                            <a:avLst/>
                          </a:prstGeom>
                        </pic:spPr>
                      </pic:pic>
                    </a:graphicData>
                  </a:graphic>
                </wp:inline>
              </w:drawing>
            </w:r>
          </w:p>
          <w:p w14:paraId="6428C967">
            <w:pPr>
              <w:spacing w:after="60"/>
              <w:jc w:val="center"/>
            </w:pPr>
            <w:r>
              <w:rPr>
                <w:color w:val="000000"/>
              </w:rPr>
              <w:t>图1 高阶调制经验发送能量与模型能量对照</w:t>
            </w:r>
          </w:p>
          <w:p w14:paraId="77CD48F2">
            <w:pPr>
              <w:keepNext/>
              <w:spacing w:before="60"/>
            </w:pPr>
            <w:r>
              <w:rPr>
                <w:b/>
                <w:color w:val="000000"/>
                <w:sz w:val="24"/>
              </w:rPr>
              <w:t>3、有限SNR通信链路门禁</w:t>
            </w:r>
          </w:p>
          <w:p w14:paraId="7D7162EE">
            <w:pPr>
              <w:ind w:firstLine="480"/>
            </w:pPr>
            <w:r>
              <w:rPr>
                <w:color w:val="000000"/>
                <w:sz w:val="24"/>
              </w:rPr>
              <w:t>在8/16/32/64QAM和lambda=0、0.25、0.5的12组条件下，BER曲线均进入有效瀑布区；累计错误数不少于100</w:t>
            </w:r>
            <w:r>
              <w:rPr>
                <w:rFonts w:hint="default"/>
                <w:color w:val="000000"/>
                <w:sz w:val="24"/>
                <w:lang w:val="en-US"/>
              </w:rPr>
              <w:t>的点才视为有</w:t>
            </w:r>
            <w:r>
              <w:rPr>
                <w:color w:val="000000"/>
                <w:sz w:val="24"/>
              </w:rPr>
              <w:t>效点。结果说明</w:t>
            </w:r>
            <w:r>
              <w:rPr>
                <w:rFonts w:hint="default"/>
                <w:color w:val="000000"/>
                <w:sz w:val="24"/>
                <w:lang w:val="en-US"/>
              </w:rPr>
              <w:t>编码</w:t>
            </w:r>
            <w:r>
              <w:rPr>
                <w:color w:val="000000"/>
                <w:sz w:val="24"/>
                <w:lang w:val="en-US"/>
              </w:rPr>
              <w:t>、</w:t>
            </w:r>
            <w:r>
              <w:rPr>
                <w:color w:val="000000"/>
                <w:sz w:val="24"/>
              </w:rPr>
              <w:t>调制、AWGN、解调和译码链路能够闭合运行。</w:t>
            </w:r>
          </w:p>
          <w:p w14:paraId="01ED3BC0">
            <w:pPr>
              <w:keepNext/>
              <w:spacing w:before="60"/>
            </w:pPr>
            <w:r>
              <w:rPr>
                <w:b/>
                <w:color w:val="000000"/>
                <w:sz w:val="24"/>
              </w:rPr>
              <w:t>4、64QAM经验分布正式门禁</w:t>
            </w:r>
          </w:p>
          <w:p w14:paraId="0B598357">
            <w:pPr>
              <w:ind w:firstLine="480"/>
              <w:rPr>
                <w:rFonts w:hint="default"/>
                <w:color w:val="000000"/>
                <w:sz w:val="24"/>
                <w:lang w:val="en-US"/>
              </w:rPr>
            </w:pPr>
            <w:r>
              <w:rPr>
                <w:rFonts w:hint="default"/>
                <w:color w:val="000000"/>
                <w:sz w:val="24"/>
                <w:lang w:val="en-US"/>
              </w:rPr>
              <w:t>图2对64QAM场景下的三个不同lambda取值做分布误差的对比。横轴表示不同的lambda选值，分别为0、0.25、0.5。纵轴表示经验PMF（概率质量函数，这里表示各个星座图点的发送概率）和目标PMT的TV(总变差距离，衡量分布的整体差异），上方的红色虚线表示置信度5%门限。在三种lambda情况下，置信度均在门限之内。</w:t>
            </w:r>
          </w:p>
          <w:p w14:paraId="4EEBBF5D">
            <w:pPr>
              <w:keepNext/>
              <w:spacing w:before="60"/>
              <w:jc w:val="center"/>
            </w:pPr>
            <w:r>
              <w:drawing>
                <wp:inline distT="0" distB="0" distL="0" distR="0">
                  <wp:extent cx="4754880" cy="35642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4754880" cy="3564801"/>
                          </a:xfrm>
                          <a:prstGeom prst="rect">
                            <a:avLst/>
                          </a:prstGeom>
                        </pic:spPr>
                      </pic:pic>
                    </a:graphicData>
                  </a:graphic>
                </wp:inline>
              </w:drawing>
            </w:r>
          </w:p>
          <w:p w14:paraId="451931C9">
            <w:pPr>
              <w:spacing w:after="60"/>
              <w:jc w:val="center"/>
            </w:pPr>
            <w:r>
              <w:rPr>
                <w:color w:val="000000"/>
              </w:rPr>
              <w:t>图2 64QAM经验PMF的TV距离95%上界</w:t>
            </w:r>
          </w:p>
          <w:p w14:paraId="431B5FC4">
            <w:pPr>
              <w:keepNext/>
              <w:spacing w:before="120"/>
            </w:pPr>
            <w:r>
              <w:rPr>
                <w:rFonts w:hint="default"/>
                <w:b/>
                <w:bCs w:val="0"/>
                <w:color w:val="000000"/>
                <w:sz w:val="24"/>
                <w:lang w:val="en-US"/>
              </w:rPr>
              <w:t>二、</w:t>
            </w:r>
            <w:r>
              <w:rPr>
                <w:b/>
                <w:color w:val="000000"/>
                <w:sz w:val="24"/>
              </w:rPr>
              <w:t>16QAM通信与发送能量权衡</w:t>
            </w:r>
          </w:p>
          <w:p w14:paraId="0C35C723">
            <w:pPr>
              <w:ind w:firstLine="480"/>
            </w:pPr>
            <w:r>
              <w:rPr>
                <w:rFonts w:hint="default"/>
                <w:color w:val="000000"/>
                <w:sz w:val="24"/>
                <w:lang w:val="en-US"/>
              </w:rPr>
              <w:t>在通用的多QAM下的极化码整形系统搭建后，进一步对16QAM开展了信息和能量性能的仿真实验。针对16QAM的lambda对概率分布的影响特性，采用p=0.5、0.4、0.3、0.2、0.1，SNR为8~20dB，使用不同的3个随机种子（每个种子每个不同的p和SNR对应的点运行300帧）。然后针对这些数据的BER，发送符号军方能量，有效吞吐等性能进行衡量。</w:t>
            </w:r>
          </w:p>
          <w:p w14:paraId="06253088">
            <w:pPr>
              <w:keepNext/>
              <w:spacing w:before="60"/>
            </w:pPr>
            <w:r>
              <w:rPr>
                <w:b/>
                <w:color w:val="000000"/>
                <w:sz w:val="24"/>
              </w:rPr>
              <w:t>1、指标定义与正式实验口径</w:t>
            </w:r>
          </w:p>
          <w:p w14:paraId="5BC38854">
            <w:pPr>
              <w:ind w:firstLine="480"/>
            </w:pPr>
            <w:r>
              <w:rPr>
                <w:rFonts w:hint="default"/>
                <w:color w:val="000000"/>
                <w:sz w:val="24"/>
                <w:lang w:val="en-US"/>
              </w:rPr>
              <w:t>在星座图分布和放缩保持不变的情况下，整形参数p偏离0.5越多，对星座图点的分布比例影响越大。p越小，分布会越接近外侧点，反之亦然。发送能量定义为编码调制后的符号的均方值。在其他条件相同的情况下，再根据p=0.5的能量为1的设定对其他分布的能量均方做归一化处理。系统的BER和Goodput计算公式如下：</w:t>
            </w:r>
          </w:p>
          <w:p w14:paraId="7751DDD2">
            <w:pPr>
              <w:spacing w:before="40" w:after="40"/>
              <w:jc w:val="center"/>
            </w:pPr>
            <m:oMathPara>
              <m:oMath>
                <m:sSub>
                  <m:sSubPr>
                    <m:ctrlPr>
                      <w:rPr>
                        <w:rFonts w:ascii="Cambria Math" w:hAnsi="Cambria Math"/>
                      </w:rPr>
                    </m:ctrlPr>
                  </m:sSubPr>
                  <m:e>
                    <m:r>
                      <m:rPr>
                        <m:sty m:val="p"/>
                      </m:rPr>
                      <w:rPr>
                        <w:rFonts w:ascii="Cambria Math" w:hAnsi="Cambria Math"/>
                      </w:rPr>
                      <m:t>BER</m:t>
                    </m:r>
                    <m:ctrlPr>
                      <w:rPr>
                        <w:rFonts w:ascii="Cambria Math" w:hAnsi="Cambria Math"/>
                      </w:rPr>
                    </m:ctrlPr>
                  </m:e>
                  <m:sub>
                    <m:r>
                      <m:rPr>
                        <m:sty m:val="p"/>
                      </m:rPr>
                      <w:rPr>
                        <w:rFonts w:ascii="Cambria Math" w:hAnsi="Cambria Math"/>
                      </w:rPr>
                      <m:t>sys</m:t>
                    </m:r>
                    <m:ctrlPr>
                      <w:rPr>
                        <w:rFonts w:ascii="Cambria Math" w:hAnsi="Cambria Math"/>
                      </w:rPr>
                    </m:ctrlPr>
                  </m:sub>
                </m:sSub>
                <m:r>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m:rPr>
                            <m:sty m:val="p"/>
                          </m:rPr>
                          <w:rPr>
                            <w:rFonts w:hint="default" w:ascii="Cambria Math" w:hAnsi="Cambria Math"/>
                            <w:lang w:val="en-US"/>
                          </w:rPr>
                          <m:t>b</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e>
                    </m:nary>
                    <m:sSub>
                      <m:sSubPr>
                        <m:ctrlPr>
                          <w:rPr>
                            <w:rFonts w:ascii="Cambria Math" w:hAnsi="Cambria Math"/>
                          </w:rPr>
                        </m:ctrlPr>
                      </m:sSubPr>
                      <m:e>
                        <m:r>
                          <m:rPr>
                            <m:sty m:val="p"/>
                          </m:rPr>
                          <w:rPr>
                            <w:rFonts w:ascii="Cambria Math" w:hAnsi="Cambria Math"/>
                          </w:rPr>
                          <m:t>BER</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num>
                  <m:den>
                    <m:nary>
                      <m:naryPr>
                        <m:chr m:val="∑"/>
                        <m:limLoc m:val="undOvr"/>
                        <m:supHide m:val="1"/>
                        <m:ctrlPr>
                          <w:rPr>
                            <w:rFonts w:ascii="Cambria Math" w:hAnsi="Cambria Math"/>
                          </w:rPr>
                        </m:ctrlPr>
                      </m:naryPr>
                      <m:sub>
                        <m:r>
                          <m:rPr>
                            <m:sty m:val="p"/>
                          </m:rPr>
                          <w:rPr>
                            <w:rFonts w:hint="default" w:ascii="Cambria Math" w:hAnsi="Cambria Math"/>
                            <w:lang w:val="en-US"/>
                          </w:rPr>
                          <m:t>b</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e>
                    </m:nary>
                    <m:ctrlPr>
                      <w:rPr>
                        <w:rFonts w:ascii="Cambria Math" w:hAnsi="Cambria Math"/>
                      </w:rPr>
                    </m:ctrlPr>
                  </m:den>
                </m:f>
                <m:r>
                  <m:rPr/>
                  <w:rPr>
                    <w:rFonts w:ascii="Cambria Math" w:hAnsi="Cambria Math"/>
                  </w:rPr>
                  <m:t>,G</m:t>
                </m:r>
                <m:r>
                  <m:rPr/>
                  <w:rPr>
                    <w:rFonts w:hint="default" w:ascii="Cambria Math" w:hAnsi="Cambria Math"/>
                    <w:lang w:val="en-US"/>
                  </w:rPr>
                  <m:t>oodput</m:t>
                </m:r>
                <m:r>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total</m:t>
                    </m:r>
                    <m:ctrlPr>
                      <w:rPr>
                        <w:rFonts w:ascii="Cambria Math" w:hAnsi="Cambria Math"/>
                      </w:rPr>
                    </m:ctrlPr>
                  </m:sub>
                </m:sSub>
                <m:r>
                  <m:rPr/>
                  <w:rPr>
                    <w:rFonts w:ascii="Cambria Math" w:hAnsi="Cambria Math"/>
                  </w:rPr>
                  <m:t>(1−</m:t>
                </m:r>
                <m:r>
                  <m:rPr>
                    <m:sty m:val="p"/>
                  </m:rPr>
                  <w:rPr>
                    <w:rFonts w:ascii="Cambria Math" w:hAnsi="Cambria Math"/>
                  </w:rPr>
                  <m:t>BER</m:t>
                </m:r>
                <m:r>
                  <m:rPr/>
                  <w:rPr>
                    <w:rFonts w:ascii="Cambria Math" w:hAnsi="Cambria Math"/>
                  </w:rPr>
                  <m:t>)</m:t>
                </m:r>
              </m:oMath>
            </m:oMathPara>
          </w:p>
          <w:p w14:paraId="1AB7C34B">
            <w:pPr>
              <w:ind w:firstLine="480"/>
            </w:pPr>
            <w:r>
              <w:rPr>
                <w:rFonts w:hint="default"/>
                <w:color w:val="000000"/>
                <w:sz w:val="24"/>
                <w:lang w:val="en-US"/>
              </w:rPr>
              <w:t>由于采用的SNR作为噪声衡量，所以随着p的改变，发射功率改变的情况下，噪声的幅度也会改变，所以更高的发送能量不会自动导致更高效的SNR，能量整形导致的BER优势更多来源于对星座图分布特征的改变。</w:t>
            </w:r>
          </w:p>
          <w:p w14:paraId="16CBCD6B">
            <w:pPr>
              <w:keepNext/>
              <w:spacing w:before="60"/>
            </w:pPr>
            <w:r>
              <w:rPr>
                <w:b/>
                <w:color w:val="000000"/>
                <w:sz w:val="24"/>
              </w:rPr>
              <w:t>2、BER随SNR和整形参数变化</w:t>
            </w:r>
          </w:p>
          <w:p w14:paraId="23944C0D">
            <w:pPr>
              <w:ind w:firstLine="480"/>
            </w:pPr>
            <w:r>
              <w:rPr>
                <w:rFonts w:hint="default"/>
                <w:color w:val="000000"/>
                <w:sz w:val="24"/>
                <w:lang w:val="en-US"/>
              </w:rPr>
              <w:t>不同p条件下的BER曲线均出现瀑布效应，但是相对顺序发生变化。在8~15dB内，强整形的BER更低，20dB时，p=0.5的BER性能最低。其中在</w:t>
            </w:r>
            <w:r>
              <w:rPr>
                <w:color w:val="000000"/>
                <w:sz w:val="24"/>
              </w:rPr>
              <w:t>20 dB处，p=0.5、0.4、0.3、0.2和0.1的平均BER分别为0.01335、0.01830、0.03512、0.04971和0.04325。</w:t>
            </w:r>
          </w:p>
          <w:p w14:paraId="0B3661D2">
            <w:pPr>
              <w:keepNext/>
              <w:spacing w:before="60"/>
              <w:jc w:val="center"/>
            </w:pPr>
            <w:r>
              <w:drawing>
                <wp:inline distT="0" distB="0" distL="0" distR="0">
                  <wp:extent cx="5166360" cy="36029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166360" cy="3603503"/>
                          </a:xfrm>
                          <a:prstGeom prst="rect">
                            <a:avLst/>
                          </a:prstGeom>
                        </pic:spPr>
                      </pic:pic>
                    </a:graphicData>
                  </a:graphic>
                </wp:inline>
              </w:drawing>
            </w:r>
          </w:p>
          <w:p w14:paraId="405379A0">
            <w:pPr>
              <w:spacing w:after="60"/>
              <w:jc w:val="center"/>
            </w:pPr>
            <w:r>
              <w:rPr>
                <w:color w:val="000000"/>
              </w:rPr>
              <w:t>图3 16QAM不同整形参数的BER随SNR变化</w:t>
            </w:r>
          </w:p>
          <w:p w14:paraId="5D6DBBC6">
            <w:pPr>
              <w:ind w:firstLine="480"/>
            </w:pPr>
            <w:r>
              <w:rPr>
                <w:rFonts w:hint="default"/>
                <w:color w:val="000000"/>
                <w:sz w:val="24"/>
                <w:lang w:val="en-US"/>
              </w:rPr>
              <w:t>曲线在中途交叉是由于不同SNR条件下的主要矛盾发生的改变，在中低SNR下，整形带来的星座图位置变化会将外侧点的概率变大，从而使BER更低；而在高SNR下，由于整形本身带来的整形位会侵占可靠性更高的虚拟信道，所以整形带来的BER性能劣势占据主导，强整形的BER更高。</w:t>
            </w:r>
          </w:p>
          <w:p w14:paraId="55C9942A">
            <w:pPr>
              <w:keepNext/>
              <w:spacing w:before="60"/>
            </w:pPr>
            <w:r>
              <w:rPr>
                <w:b/>
                <w:color w:val="000000"/>
                <w:sz w:val="24"/>
              </w:rPr>
              <w:t>3、发送能量随整形增强而上升</w:t>
            </w:r>
          </w:p>
          <w:p w14:paraId="3145E50D">
            <w:pPr>
              <w:ind w:firstLine="480"/>
            </w:pPr>
            <w:r>
              <w:rPr>
                <w:rFonts w:hint="default"/>
                <w:color w:val="000000"/>
                <w:sz w:val="24"/>
                <w:lang w:val="en-US"/>
              </w:rPr>
              <w:t>图4为14dB的SNR条件下，不同的整形参数p对应的归一化能量展示。这个排序再任意SNR条件下保持相同。主要原理是较小的p使得星座图的中外层点占比更高，从而增加了平均发送功率。</w:t>
            </w:r>
          </w:p>
          <w:p w14:paraId="6170FCBC">
            <w:pPr>
              <w:keepNext/>
              <w:spacing w:before="60"/>
              <w:jc w:val="center"/>
            </w:pPr>
            <w:r>
              <w:drawing>
                <wp:inline distT="0" distB="0" distL="0" distR="0">
                  <wp:extent cx="4572000" cy="285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4572000" cy="2857500"/>
                          </a:xfrm>
                          <a:prstGeom prst="rect">
                            <a:avLst/>
                          </a:prstGeom>
                        </pic:spPr>
                      </pic:pic>
                    </a:graphicData>
                  </a:graphic>
                </wp:inline>
              </w:drawing>
            </w:r>
          </w:p>
          <w:p w14:paraId="469CB068">
            <w:pPr>
              <w:spacing w:after="60"/>
              <w:jc w:val="center"/>
            </w:pPr>
            <w:r>
              <w:rPr>
                <w:color w:val="000000"/>
              </w:rPr>
              <w:t>图4 14 dB下16QAM归一化发送能量随p变化</w:t>
            </w:r>
          </w:p>
          <w:p w14:paraId="04286625">
            <w:pPr>
              <w:ind w:firstLine="480"/>
            </w:pPr>
            <w:r>
              <w:rPr>
                <w:rFonts w:hint="default"/>
                <w:color w:val="000000"/>
                <w:sz w:val="24"/>
                <w:lang w:val="en-US"/>
              </w:rPr>
              <w:t>注意：这里的能量提升是指发送端，但是具体二极管整形获得的直流能量需实际物理链路才能确定其比例，但其相对大小排序再物理链路中不会改变。</w:t>
            </w:r>
          </w:p>
          <w:p w14:paraId="1CE33D2F">
            <w:pPr>
              <w:keepNext/>
              <w:spacing w:before="60"/>
            </w:pPr>
            <w:r>
              <w:rPr>
                <w:b/>
                <w:color w:val="000000"/>
                <w:sz w:val="24"/>
              </w:rPr>
              <w:t>4、BER与发送能量联合关系</w:t>
            </w:r>
          </w:p>
          <w:p w14:paraId="54AF0033">
            <w:pPr>
              <w:ind w:firstLine="480"/>
            </w:pPr>
            <w:r>
              <w:rPr>
                <w:rFonts w:hint="default"/>
                <w:color w:val="000000"/>
                <w:sz w:val="24"/>
                <w:lang w:val="en-US"/>
              </w:rPr>
              <w:t>整形参数通过影响符号分布、信息位I和整形位S的数量、位置等影响BER的性能，因此是多因素联合影响的结果，无法单独归为某个原因。</w:t>
            </w:r>
          </w:p>
          <w:p w14:paraId="54C7FC10">
            <w:pPr>
              <w:keepNext/>
              <w:spacing w:before="60"/>
            </w:pPr>
            <w:r>
              <w:rPr>
                <w:b/>
                <w:color w:val="000000"/>
                <w:sz w:val="24"/>
              </w:rPr>
              <w:t>5、Goodput与发送能量的工作点选择</w:t>
            </w:r>
          </w:p>
          <w:p w14:paraId="171DDC37">
            <w:pPr>
              <w:ind w:firstLine="480"/>
            </w:pPr>
            <w:r>
              <w:rPr>
                <w:rFonts w:hint="default"/>
                <w:color w:val="000000"/>
                <w:sz w:val="24"/>
                <w:lang w:val="en-US"/>
              </w:rPr>
              <w:t>由于不同的整形方案会影响编码当中信息位的数量，导致同样的码长度N下的有效bit数量变化，所以BER无法作为统一的信息性能评估参数。针对这个问题构建了Goodput这个参数来衡量正确比特吞吐量，同时反映了码率和误码率两个因素的联合影响。</w:t>
            </w:r>
          </w:p>
          <w:p w14:paraId="1862EAD3">
            <w:pPr>
              <w:keepNext/>
              <w:jc w:val="center"/>
            </w:pPr>
            <w:r>
              <w:rPr>
                <w:color w:val="000000"/>
              </w:rPr>
              <w:t>表2 代表性SNR下的通信、能量与折中工作点</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2160"/>
              <w:gridCol w:w="648"/>
              <w:gridCol w:w="1152"/>
              <w:gridCol w:w="1224"/>
              <w:gridCol w:w="1224"/>
            </w:tblGrid>
            <w:tr w14:paraId="59C68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36" w:type="dxa"/>
                  <w:shd w:val="clear" w:color="auto" w:fill="D9EAF7"/>
                  <w:vAlign w:val="center"/>
                </w:tcPr>
                <w:p w14:paraId="25D76F54">
                  <w:pPr>
                    <w:jc w:val="center"/>
                  </w:pPr>
                  <w:r>
                    <w:rPr>
                      <w:b/>
                      <w:color w:val="000000"/>
                      <w:sz w:val="19"/>
                    </w:rPr>
                    <w:t>SNR</w:t>
                  </w:r>
                </w:p>
              </w:tc>
              <w:tc>
                <w:tcPr>
                  <w:tcW w:w="2160" w:type="dxa"/>
                  <w:shd w:val="clear" w:color="auto" w:fill="D9EAF7"/>
                  <w:vAlign w:val="center"/>
                </w:tcPr>
                <w:p w14:paraId="54D6B8B7">
                  <w:pPr>
                    <w:jc w:val="center"/>
                  </w:pPr>
                  <w:r>
                    <w:rPr>
                      <w:b/>
                      <w:color w:val="000000"/>
                      <w:sz w:val="19"/>
                    </w:rPr>
                    <w:t>角色</w:t>
                  </w:r>
                </w:p>
              </w:tc>
              <w:tc>
                <w:tcPr>
                  <w:tcW w:w="648" w:type="dxa"/>
                  <w:shd w:val="clear" w:color="auto" w:fill="D9EAF7"/>
                  <w:vAlign w:val="center"/>
                </w:tcPr>
                <w:p w14:paraId="4C791E18">
                  <w:pPr>
                    <w:jc w:val="center"/>
                  </w:pPr>
                  <w:r>
                    <w:rPr>
                      <w:b/>
                      <w:color w:val="000000"/>
                      <w:sz w:val="19"/>
                    </w:rPr>
                    <w:t>p</w:t>
                  </w:r>
                </w:p>
              </w:tc>
              <w:tc>
                <w:tcPr>
                  <w:tcW w:w="1152" w:type="dxa"/>
                  <w:shd w:val="clear" w:color="auto" w:fill="D9EAF7"/>
                  <w:vAlign w:val="center"/>
                </w:tcPr>
                <w:p w14:paraId="5D8461D9">
                  <w:pPr>
                    <w:jc w:val="center"/>
                  </w:pPr>
                  <w:r>
                    <w:rPr>
                      <w:b/>
                      <w:color w:val="000000"/>
                      <w:sz w:val="19"/>
                    </w:rPr>
                    <w:t>BER</w:t>
                  </w:r>
                </w:p>
              </w:tc>
              <w:tc>
                <w:tcPr>
                  <w:tcW w:w="1224" w:type="dxa"/>
                  <w:shd w:val="clear" w:color="auto" w:fill="D9EAF7"/>
                  <w:vAlign w:val="center"/>
                </w:tcPr>
                <w:p w14:paraId="3AAAA796">
                  <w:pPr>
                    <w:jc w:val="center"/>
                  </w:pPr>
                  <w:r>
                    <w:rPr>
                      <w:b/>
                      <w:color w:val="000000"/>
                      <w:sz w:val="19"/>
                    </w:rPr>
                    <w:t>Goodput</w:t>
                  </w:r>
                </w:p>
              </w:tc>
              <w:tc>
                <w:tcPr>
                  <w:tcW w:w="1224" w:type="dxa"/>
                  <w:shd w:val="clear" w:color="auto" w:fill="D9EAF7"/>
                  <w:vAlign w:val="center"/>
                </w:tcPr>
                <w:p w14:paraId="3FEBF298">
                  <w:pPr>
                    <w:jc w:val="center"/>
                  </w:pPr>
                  <w:r>
                    <w:rPr>
                      <w:b/>
                      <w:color w:val="000000"/>
                      <w:sz w:val="19"/>
                    </w:rPr>
                    <w:t>单位能量</w:t>
                  </w:r>
                </w:p>
              </w:tc>
            </w:tr>
            <w:tr w14:paraId="22C27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36" w:type="dxa"/>
                  <w:tcMar>
                    <w:top w:w="70" w:type="dxa"/>
                    <w:left w:w="70" w:type="dxa"/>
                    <w:bottom w:w="70" w:type="dxa"/>
                    <w:right w:w="70" w:type="dxa"/>
                  </w:tcMar>
                  <w:vAlign w:val="center"/>
                </w:tcPr>
                <w:p w14:paraId="304A7633">
                  <w:pPr>
                    <w:jc w:val="center"/>
                  </w:pPr>
                  <w:r>
                    <w:rPr>
                      <w:color w:val="000000"/>
                      <w:sz w:val="19"/>
                    </w:rPr>
                    <w:t>8 dB</w:t>
                  </w:r>
                </w:p>
              </w:tc>
              <w:tc>
                <w:tcPr>
                  <w:tcW w:w="2160" w:type="dxa"/>
                  <w:tcMar>
                    <w:top w:w="70" w:type="dxa"/>
                    <w:left w:w="70" w:type="dxa"/>
                    <w:bottom w:w="70" w:type="dxa"/>
                    <w:right w:w="70" w:type="dxa"/>
                  </w:tcMar>
                  <w:vAlign w:val="center"/>
                </w:tcPr>
                <w:p w14:paraId="33A55DCB">
                  <w:pPr>
                    <w:jc w:val="center"/>
                  </w:pPr>
                  <w:r>
                    <w:rPr>
                      <w:color w:val="000000"/>
                      <w:sz w:val="19"/>
                    </w:rPr>
                    <w:t>通信、能量、折中</w:t>
                  </w:r>
                </w:p>
              </w:tc>
              <w:tc>
                <w:tcPr>
                  <w:tcW w:w="648" w:type="dxa"/>
                  <w:tcMar>
                    <w:top w:w="70" w:type="dxa"/>
                    <w:left w:w="70" w:type="dxa"/>
                    <w:bottom w:w="70" w:type="dxa"/>
                    <w:right w:w="70" w:type="dxa"/>
                  </w:tcMar>
                  <w:vAlign w:val="center"/>
                </w:tcPr>
                <w:p w14:paraId="6A0BF15C">
                  <w:pPr>
                    <w:jc w:val="center"/>
                  </w:pPr>
                  <w:r>
                    <w:rPr>
                      <w:color w:val="000000"/>
                      <w:sz w:val="19"/>
                    </w:rPr>
                    <w:t>0.1</w:t>
                  </w:r>
                </w:p>
              </w:tc>
              <w:tc>
                <w:tcPr>
                  <w:tcW w:w="1152" w:type="dxa"/>
                  <w:tcMar>
                    <w:top w:w="70" w:type="dxa"/>
                    <w:left w:w="70" w:type="dxa"/>
                    <w:bottom w:w="70" w:type="dxa"/>
                    <w:right w:w="70" w:type="dxa"/>
                  </w:tcMar>
                  <w:vAlign w:val="center"/>
                </w:tcPr>
                <w:p w14:paraId="67375499">
                  <w:pPr>
                    <w:jc w:val="center"/>
                  </w:pPr>
                  <w:r>
                    <w:rPr>
                      <w:color w:val="000000"/>
                      <w:sz w:val="19"/>
                    </w:rPr>
                    <w:t>0.2767</w:t>
                  </w:r>
                </w:p>
              </w:tc>
              <w:tc>
                <w:tcPr>
                  <w:tcW w:w="1224" w:type="dxa"/>
                  <w:tcMar>
                    <w:top w:w="70" w:type="dxa"/>
                    <w:left w:w="70" w:type="dxa"/>
                    <w:bottom w:w="70" w:type="dxa"/>
                    <w:right w:w="70" w:type="dxa"/>
                  </w:tcMar>
                  <w:vAlign w:val="center"/>
                </w:tcPr>
                <w:p w14:paraId="50B56D4A">
                  <w:pPr>
                    <w:jc w:val="center"/>
                  </w:pPr>
                  <w:r>
                    <w:rPr>
                      <w:color w:val="000000"/>
                      <w:sz w:val="19"/>
                    </w:rPr>
                    <w:t>0.2656</w:t>
                  </w:r>
                </w:p>
              </w:tc>
              <w:tc>
                <w:tcPr>
                  <w:tcW w:w="1224" w:type="dxa"/>
                  <w:tcMar>
                    <w:top w:w="70" w:type="dxa"/>
                    <w:left w:w="70" w:type="dxa"/>
                    <w:bottom w:w="70" w:type="dxa"/>
                    <w:right w:w="70" w:type="dxa"/>
                  </w:tcMar>
                  <w:vAlign w:val="center"/>
                </w:tcPr>
                <w:p w14:paraId="5B2E8573">
                  <w:pPr>
                    <w:jc w:val="center"/>
                  </w:pPr>
                  <w:r>
                    <w:rPr>
                      <w:color w:val="000000"/>
                      <w:sz w:val="19"/>
                    </w:rPr>
                    <w:t>1.3526</w:t>
                  </w:r>
                </w:p>
              </w:tc>
            </w:tr>
            <w:tr w14:paraId="6CBDE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70" w:type="dxa"/>
                    <w:bottom w:w="70" w:type="dxa"/>
                    <w:right w:w="70" w:type="dxa"/>
                  </w:tcMar>
                  <w:vAlign w:val="center"/>
                </w:tcPr>
                <w:p w14:paraId="1965B05D">
                  <w:pPr>
                    <w:jc w:val="center"/>
                  </w:pPr>
                  <w:r>
                    <w:rPr>
                      <w:color w:val="000000"/>
                      <w:sz w:val="19"/>
                    </w:rPr>
                    <w:t>14 dB</w:t>
                  </w:r>
                </w:p>
              </w:tc>
              <w:tc>
                <w:tcPr>
                  <w:tcW w:w="2160" w:type="dxa"/>
                  <w:tcMar>
                    <w:top w:w="70" w:type="dxa"/>
                    <w:left w:w="70" w:type="dxa"/>
                    <w:bottom w:w="70" w:type="dxa"/>
                    <w:right w:w="70" w:type="dxa"/>
                  </w:tcMar>
                  <w:vAlign w:val="center"/>
                </w:tcPr>
                <w:p w14:paraId="6D2B98A7">
                  <w:pPr>
                    <w:jc w:val="center"/>
                  </w:pPr>
                  <w:r>
                    <w:rPr>
                      <w:color w:val="000000"/>
                      <w:sz w:val="19"/>
                    </w:rPr>
                    <w:t>通信优先</w:t>
                  </w:r>
                </w:p>
              </w:tc>
              <w:tc>
                <w:tcPr>
                  <w:tcW w:w="648" w:type="dxa"/>
                  <w:tcMar>
                    <w:top w:w="70" w:type="dxa"/>
                    <w:left w:w="70" w:type="dxa"/>
                    <w:bottom w:w="70" w:type="dxa"/>
                    <w:right w:w="70" w:type="dxa"/>
                  </w:tcMar>
                  <w:vAlign w:val="center"/>
                </w:tcPr>
                <w:p w14:paraId="3C8C39B3">
                  <w:pPr>
                    <w:jc w:val="center"/>
                  </w:pPr>
                  <w:r>
                    <w:rPr>
                      <w:color w:val="000000"/>
                      <w:sz w:val="19"/>
                    </w:rPr>
                    <w:t>0.4</w:t>
                  </w:r>
                </w:p>
              </w:tc>
              <w:tc>
                <w:tcPr>
                  <w:tcW w:w="1152" w:type="dxa"/>
                  <w:tcMar>
                    <w:top w:w="70" w:type="dxa"/>
                    <w:left w:w="70" w:type="dxa"/>
                    <w:bottom w:w="70" w:type="dxa"/>
                    <w:right w:w="70" w:type="dxa"/>
                  </w:tcMar>
                  <w:vAlign w:val="center"/>
                </w:tcPr>
                <w:p w14:paraId="6A8E6BC1">
                  <w:pPr>
                    <w:jc w:val="center"/>
                  </w:pPr>
                  <w:r>
                    <w:rPr>
                      <w:color w:val="000000"/>
                      <w:sz w:val="19"/>
                    </w:rPr>
                    <w:t>0.3664</w:t>
                  </w:r>
                </w:p>
              </w:tc>
              <w:tc>
                <w:tcPr>
                  <w:tcW w:w="1224" w:type="dxa"/>
                  <w:tcMar>
                    <w:top w:w="70" w:type="dxa"/>
                    <w:left w:w="70" w:type="dxa"/>
                    <w:bottom w:w="70" w:type="dxa"/>
                    <w:right w:w="70" w:type="dxa"/>
                  </w:tcMar>
                  <w:vAlign w:val="center"/>
                </w:tcPr>
                <w:p w14:paraId="74C8C23F">
                  <w:pPr>
                    <w:jc w:val="center"/>
                  </w:pPr>
                  <w:r>
                    <w:rPr>
                      <w:color w:val="000000"/>
                      <w:sz w:val="19"/>
                    </w:rPr>
                    <w:t>0.3122</w:t>
                  </w:r>
                </w:p>
              </w:tc>
              <w:tc>
                <w:tcPr>
                  <w:tcW w:w="1224" w:type="dxa"/>
                  <w:tcMar>
                    <w:top w:w="70" w:type="dxa"/>
                    <w:left w:w="70" w:type="dxa"/>
                    <w:bottom w:w="70" w:type="dxa"/>
                    <w:right w:w="70" w:type="dxa"/>
                  </w:tcMar>
                  <w:vAlign w:val="center"/>
                </w:tcPr>
                <w:p w14:paraId="54D0E3BF">
                  <w:pPr>
                    <w:jc w:val="center"/>
                  </w:pPr>
                  <w:r>
                    <w:rPr>
                      <w:color w:val="000000"/>
                      <w:sz w:val="19"/>
                    </w:rPr>
                    <w:t>1.0456</w:t>
                  </w:r>
                </w:p>
              </w:tc>
            </w:tr>
            <w:tr w14:paraId="758F2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70" w:type="dxa"/>
                    <w:bottom w:w="70" w:type="dxa"/>
                    <w:right w:w="70" w:type="dxa"/>
                  </w:tcMar>
                  <w:vAlign w:val="center"/>
                </w:tcPr>
                <w:p w14:paraId="4DA47385">
                  <w:pPr>
                    <w:jc w:val="center"/>
                  </w:pPr>
                  <w:r>
                    <w:rPr>
                      <w:color w:val="000000"/>
                      <w:sz w:val="19"/>
                    </w:rPr>
                    <w:t>14 dB</w:t>
                  </w:r>
                </w:p>
              </w:tc>
              <w:tc>
                <w:tcPr>
                  <w:tcW w:w="2160" w:type="dxa"/>
                  <w:tcMar>
                    <w:top w:w="70" w:type="dxa"/>
                    <w:left w:w="70" w:type="dxa"/>
                    <w:bottom w:w="70" w:type="dxa"/>
                    <w:right w:w="70" w:type="dxa"/>
                  </w:tcMar>
                  <w:vAlign w:val="center"/>
                </w:tcPr>
                <w:p w14:paraId="38F08112">
                  <w:pPr>
                    <w:jc w:val="center"/>
                  </w:pPr>
                  <w:r>
                    <w:rPr>
                      <w:color w:val="000000"/>
                      <w:sz w:val="19"/>
                    </w:rPr>
                    <w:t>能量、折中</w:t>
                  </w:r>
                </w:p>
              </w:tc>
              <w:tc>
                <w:tcPr>
                  <w:tcW w:w="648" w:type="dxa"/>
                  <w:tcMar>
                    <w:top w:w="70" w:type="dxa"/>
                    <w:left w:w="70" w:type="dxa"/>
                    <w:bottom w:w="70" w:type="dxa"/>
                    <w:right w:w="70" w:type="dxa"/>
                  </w:tcMar>
                  <w:vAlign w:val="center"/>
                </w:tcPr>
                <w:p w14:paraId="7D945B83">
                  <w:pPr>
                    <w:jc w:val="center"/>
                  </w:pPr>
                  <w:r>
                    <w:rPr>
                      <w:color w:val="000000"/>
                      <w:sz w:val="19"/>
                    </w:rPr>
                    <w:t>0.1</w:t>
                  </w:r>
                </w:p>
              </w:tc>
              <w:tc>
                <w:tcPr>
                  <w:tcW w:w="1152" w:type="dxa"/>
                  <w:tcMar>
                    <w:top w:w="70" w:type="dxa"/>
                    <w:left w:w="70" w:type="dxa"/>
                    <w:bottom w:w="70" w:type="dxa"/>
                    <w:right w:w="70" w:type="dxa"/>
                  </w:tcMar>
                  <w:vAlign w:val="center"/>
                </w:tcPr>
                <w:p w14:paraId="3F87B7D6">
                  <w:pPr>
                    <w:jc w:val="center"/>
                  </w:pPr>
                  <w:r>
                    <w:rPr>
                      <w:color w:val="000000"/>
                      <w:sz w:val="19"/>
                    </w:rPr>
                    <w:t>0.1516</w:t>
                  </w:r>
                </w:p>
              </w:tc>
              <w:tc>
                <w:tcPr>
                  <w:tcW w:w="1224" w:type="dxa"/>
                  <w:tcMar>
                    <w:top w:w="70" w:type="dxa"/>
                    <w:left w:w="70" w:type="dxa"/>
                    <w:bottom w:w="70" w:type="dxa"/>
                    <w:right w:w="70" w:type="dxa"/>
                  </w:tcMar>
                  <w:vAlign w:val="center"/>
                </w:tcPr>
                <w:p w14:paraId="54A46156">
                  <w:pPr>
                    <w:jc w:val="center"/>
                  </w:pPr>
                  <w:r>
                    <w:rPr>
                      <w:color w:val="000000"/>
                      <w:sz w:val="19"/>
                    </w:rPr>
                    <w:t>0.3115</w:t>
                  </w:r>
                </w:p>
              </w:tc>
              <w:tc>
                <w:tcPr>
                  <w:tcW w:w="1224" w:type="dxa"/>
                  <w:tcMar>
                    <w:top w:w="70" w:type="dxa"/>
                    <w:left w:w="70" w:type="dxa"/>
                    <w:bottom w:w="70" w:type="dxa"/>
                    <w:right w:w="70" w:type="dxa"/>
                  </w:tcMar>
                  <w:vAlign w:val="center"/>
                </w:tcPr>
                <w:p w14:paraId="4136FCDB">
                  <w:pPr>
                    <w:jc w:val="center"/>
                  </w:pPr>
                  <w:r>
                    <w:rPr>
                      <w:color w:val="000000"/>
                      <w:sz w:val="19"/>
                    </w:rPr>
                    <w:t>1.3995</w:t>
                  </w:r>
                </w:p>
              </w:tc>
            </w:tr>
            <w:tr w14:paraId="67267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70" w:type="dxa"/>
                    <w:bottom w:w="70" w:type="dxa"/>
                    <w:right w:w="70" w:type="dxa"/>
                  </w:tcMar>
                  <w:vAlign w:val="center"/>
                </w:tcPr>
                <w:p w14:paraId="0F78B652">
                  <w:pPr>
                    <w:jc w:val="center"/>
                  </w:pPr>
                  <w:r>
                    <w:rPr>
                      <w:color w:val="000000"/>
                      <w:sz w:val="19"/>
                    </w:rPr>
                    <w:t>20 dB</w:t>
                  </w:r>
                </w:p>
              </w:tc>
              <w:tc>
                <w:tcPr>
                  <w:tcW w:w="2160" w:type="dxa"/>
                  <w:tcMar>
                    <w:top w:w="70" w:type="dxa"/>
                    <w:left w:w="70" w:type="dxa"/>
                    <w:bottom w:w="70" w:type="dxa"/>
                    <w:right w:w="70" w:type="dxa"/>
                  </w:tcMar>
                  <w:vAlign w:val="center"/>
                </w:tcPr>
                <w:p w14:paraId="24F71DAA">
                  <w:pPr>
                    <w:jc w:val="center"/>
                  </w:pPr>
                  <w:r>
                    <w:rPr>
                      <w:color w:val="000000"/>
                      <w:sz w:val="19"/>
                    </w:rPr>
                    <w:t>通信优先</w:t>
                  </w:r>
                </w:p>
              </w:tc>
              <w:tc>
                <w:tcPr>
                  <w:tcW w:w="648" w:type="dxa"/>
                  <w:tcMar>
                    <w:top w:w="70" w:type="dxa"/>
                    <w:left w:w="70" w:type="dxa"/>
                    <w:bottom w:w="70" w:type="dxa"/>
                    <w:right w:w="70" w:type="dxa"/>
                  </w:tcMar>
                  <w:vAlign w:val="center"/>
                </w:tcPr>
                <w:p w14:paraId="3739CD3D">
                  <w:pPr>
                    <w:jc w:val="center"/>
                  </w:pPr>
                  <w:r>
                    <w:rPr>
                      <w:color w:val="000000"/>
                      <w:sz w:val="19"/>
                    </w:rPr>
                    <w:t>0.5</w:t>
                  </w:r>
                </w:p>
              </w:tc>
              <w:tc>
                <w:tcPr>
                  <w:tcW w:w="1152" w:type="dxa"/>
                  <w:tcMar>
                    <w:top w:w="70" w:type="dxa"/>
                    <w:left w:w="70" w:type="dxa"/>
                    <w:bottom w:w="70" w:type="dxa"/>
                    <w:right w:w="70" w:type="dxa"/>
                  </w:tcMar>
                  <w:vAlign w:val="center"/>
                </w:tcPr>
                <w:p w14:paraId="3F8365C4">
                  <w:pPr>
                    <w:jc w:val="center"/>
                  </w:pPr>
                  <w:r>
                    <w:rPr>
                      <w:color w:val="000000"/>
                      <w:sz w:val="19"/>
                    </w:rPr>
                    <w:t>0.01335</w:t>
                  </w:r>
                </w:p>
              </w:tc>
              <w:tc>
                <w:tcPr>
                  <w:tcW w:w="1224" w:type="dxa"/>
                  <w:tcMar>
                    <w:top w:w="70" w:type="dxa"/>
                    <w:left w:w="70" w:type="dxa"/>
                    <w:bottom w:w="70" w:type="dxa"/>
                    <w:right w:w="70" w:type="dxa"/>
                  </w:tcMar>
                  <w:vAlign w:val="center"/>
                </w:tcPr>
                <w:p w14:paraId="2EE3EA6B">
                  <w:pPr>
                    <w:jc w:val="center"/>
                  </w:pPr>
                  <w:r>
                    <w:rPr>
                      <w:color w:val="000000"/>
                      <w:sz w:val="19"/>
                    </w:rPr>
                    <w:t>0.4933</w:t>
                  </w:r>
                </w:p>
              </w:tc>
              <w:tc>
                <w:tcPr>
                  <w:tcW w:w="1224" w:type="dxa"/>
                  <w:tcMar>
                    <w:top w:w="70" w:type="dxa"/>
                    <w:left w:w="70" w:type="dxa"/>
                    <w:bottom w:w="70" w:type="dxa"/>
                    <w:right w:w="70" w:type="dxa"/>
                  </w:tcMar>
                  <w:vAlign w:val="center"/>
                </w:tcPr>
                <w:p w14:paraId="78A4D905">
                  <w:pPr>
                    <w:jc w:val="center"/>
                  </w:pPr>
                  <w:r>
                    <w:rPr>
                      <w:color w:val="000000"/>
                      <w:sz w:val="19"/>
                    </w:rPr>
                    <w:t>1.0000</w:t>
                  </w:r>
                </w:p>
              </w:tc>
            </w:tr>
            <w:tr w14:paraId="198BA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70" w:type="dxa"/>
                    <w:bottom w:w="70" w:type="dxa"/>
                    <w:right w:w="70" w:type="dxa"/>
                  </w:tcMar>
                  <w:vAlign w:val="center"/>
                </w:tcPr>
                <w:p w14:paraId="4B07F6FA">
                  <w:pPr>
                    <w:jc w:val="center"/>
                  </w:pPr>
                  <w:r>
                    <w:rPr>
                      <w:color w:val="000000"/>
                      <w:sz w:val="19"/>
                    </w:rPr>
                    <w:t>20 dB</w:t>
                  </w:r>
                </w:p>
              </w:tc>
              <w:tc>
                <w:tcPr>
                  <w:tcW w:w="2160" w:type="dxa"/>
                  <w:tcMar>
                    <w:top w:w="70" w:type="dxa"/>
                    <w:left w:w="70" w:type="dxa"/>
                    <w:bottom w:w="70" w:type="dxa"/>
                    <w:right w:w="70" w:type="dxa"/>
                  </w:tcMar>
                  <w:vAlign w:val="center"/>
                </w:tcPr>
                <w:p w14:paraId="0B9AC345">
                  <w:pPr>
                    <w:jc w:val="center"/>
                  </w:pPr>
                  <w:r>
                    <w:rPr>
                      <w:color w:val="000000"/>
                      <w:sz w:val="19"/>
                    </w:rPr>
                    <w:t>能量优先</w:t>
                  </w:r>
                </w:p>
              </w:tc>
              <w:tc>
                <w:tcPr>
                  <w:tcW w:w="648" w:type="dxa"/>
                  <w:tcMar>
                    <w:top w:w="70" w:type="dxa"/>
                    <w:left w:w="70" w:type="dxa"/>
                    <w:bottom w:w="70" w:type="dxa"/>
                    <w:right w:w="70" w:type="dxa"/>
                  </w:tcMar>
                  <w:vAlign w:val="center"/>
                </w:tcPr>
                <w:p w14:paraId="4B41D780">
                  <w:pPr>
                    <w:jc w:val="center"/>
                  </w:pPr>
                  <w:r>
                    <w:rPr>
                      <w:color w:val="000000"/>
                      <w:sz w:val="19"/>
                    </w:rPr>
                    <w:t>0.1</w:t>
                  </w:r>
                </w:p>
              </w:tc>
              <w:tc>
                <w:tcPr>
                  <w:tcW w:w="1152" w:type="dxa"/>
                  <w:tcMar>
                    <w:top w:w="70" w:type="dxa"/>
                    <w:left w:w="70" w:type="dxa"/>
                    <w:bottom w:w="70" w:type="dxa"/>
                    <w:right w:w="70" w:type="dxa"/>
                  </w:tcMar>
                  <w:vAlign w:val="center"/>
                </w:tcPr>
                <w:p w14:paraId="37F53480">
                  <w:pPr>
                    <w:jc w:val="center"/>
                  </w:pPr>
                  <w:r>
                    <w:rPr>
                      <w:color w:val="000000"/>
                      <w:sz w:val="19"/>
                    </w:rPr>
                    <w:t>0.04325</w:t>
                  </w:r>
                </w:p>
              </w:tc>
              <w:tc>
                <w:tcPr>
                  <w:tcW w:w="1224" w:type="dxa"/>
                  <w:tcMar>
                    <w:top w:w="70" w:type="dxa"/>
                    <w:left w:w="70" w:type="dxa"/>
                    <w:bottom w:w="70" w:type="dxa"/>
                    <w:right w:w="70" w:type="dxa"/>
                  </w:tcMar>
                  <w:vAlign w:val="center"/>
                </w:tcPr>
                <w:p w14:paraId="54EBD4A9">
                  <w:pPr>
                    <w:jc w:val="center"/>
                  </w:pPr>
                  <w:r>
                    <w:rPr>
                      <w:color w:val="000000"/>
                      <w:sz w:val="19"/>
                    </w:rPr>
                    <w:t>0.3513</w:t>
                  </w:r>
                </w:p>
              </w:tc>
              <w:tc>
                <w:tcPr>
                  <w:tcW w:w="1224" w:type="dxa"/>
                  <w:tcMar>
                    <w:top w:w="70" w:type="dxa"/>
                    <w:left w:w="70" w:type="dxa"/>
                    <w:bottom w:w="70" w:type="dxa"/>
                    <w:right w:w="70" w:type="dxa"/>
                  </w:tcMar>
                  <w:vAlign w:val="center"/>
                </w:tcPr>
                <w:p w14:paraId="764A4024">
                  <w:pPr>
                    <w:jc w:val="center"/>
                  </w:pPr>
                  <w:r>
                    <w:rPr>
                      <w:color w:val="000000"/>
                      <w:sz w:val="19"/>
                    </w:rPr>
                    <w:t>1.3975</w:t>
                  </w:r>
                </w:p>
              </w:tc>
            </w:tr>
            <w:tr w14:paraId="3965B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70" w:type="dxa"/>
                    <w:bottom w:w="70" w:type="dxa"/>
                    <w:right w:w="70" w:type="dxa"/>
                  </w:tcMar>
                  <w:vAlign w:val="center"/>
                </w:tcPr>
                <w:p w14:paraId="1CEED14D">
                  <w:pPr>
                    <w:jc w:val="center"/>
                  </w:pPr>
                  <w:r>
                    <w:rPr>
                      <w:color w:val="000000"/>
                      <w:sz w:val="19"/>
                    </w:rPr>
                    <w:t>20 dB</w:t>
                  </w:r>
                </w:p>
              </w:tc>
              <w:tc>
                <w:tcPr>
                  <w:tcW w:w="2160" w:type="dxa"/>
                  <w:tcMar>
                    <w:top w:w="70" w:type="dxa"/>
                    <w:left w:w="70" w:type="dxa"/>
                    <w:bottom w:w="70" w:type="dxa"/>
                    <w:right w:w="70" w:type="dxa"/>
                  </w:tcMar>
                  <w:vAlign w:val="center"/>
                </w:tcPr>
                <w:p w14:paraId="10E049FF">
                  <w:pPr>
                    <w:jc w:val="center"/>
                  </w:pPr>
                  <w:r>
                    <w:rPr>
                      <w:color w:val="000000"/>
                      <w:sz w:val="19"/>
                    </w:rPr>
                    <w:t>等权折中</w:t>
                  </w:r>
                </w:p>
              </w:tc>
              <w:tc>
                <w:tcPr>
                  <w:tcW w:w="648" w:type="dxa"/>
                  <w:tcMar>
                    <w:top w:w="70" w:type="dxa"/>
                    <w:left w:w="70" w:type="dxa"/>
                    <w:bottom w:w="70" w:type="dxa"/>
                    <w:right w:w="70" w:type="dxa"/>
                  </w:tcMar>
                  <w:vAlign w:val="center"/>
                </w:tcPr>
                <w:p w14:paraId="07837902">
                  <w:pPr>
                    <w:jc w:val="center"/>
                  </w:pPr>
                  <w:r>
                    <w:rPr>
                      <w:color w:val="000000"/>
                      <w:sz w:val="19"/>
                    </w:rPr>
                    <w:t>0.3</w:t>
                  </w:r>
                </w:p>
              </w:tc>
              <w:tc>
                <w:tcPr>
                  <w:tcW w:w="1152" w:type="dxa"/>
                  <w:tcMar>
                    <w:top w:w="70" w:type="dxa"/>
                    <w:left w:w="70" w:type="dxa"/>
                    <w:bottom w:w="70" w:type="dxa"/>
                    <w:right w:w="70" w:type="dxa"/>
                  </w:tcMar>
                  <w:vAlign w:val="center"/>
                </w:tcPr>
                <w:p w14:paraId="59C5EC22">
                  <w:pPr>
                    <w:jc w:val="center"/>
                  </w:pPr>
                  <w:r>
                    <w:rPr>
                      <w:color w:val="000000"/>
                      <w:sz w:val="19"/>
                    </w:rPr>
                    <w:t>0.03512</w:t>
                  </w:r>
                </w:p>
              </w:tc>
              <w:tc>
                <w:tcPr>
                  <w:tcW w:w="1224" w:type="dxa"/>
                  <w:tcMar>
                    <w:top w:w="70" w:type="dxa"/>
                    <w:left w:w="70" w:type="dxa"/>
                    <w:bottom w:w="70" w:type="dxa"/>
                    <w:right w:w="70" w:type="dxa"/>
                  </w:tcMar>
                  <w:vAlign w:val="center"/>
                </w:tcPr>
                <w:p w14:paraId="1900CD37">
                  <w:pPr>
                    <w:jc w:val="center"/>
                  </w:pPr>
                  <w:r>
                    <w:rPr>
                      <w:color w:val="000000"/>
                      <w:sz w:val="19"/>
                    </w:rPr>
                    <w:t>0.4537</w:t>
                  </w:r>
                </w:p>
              </w:tc>
              <w:tc>
                <w:tcPr>
                  <w:tcW w:w="1224" w:type="dxa"/>
                  <w:tcMar>
                    <w:top w:w="70" w:type="dxa"/>
                    <w:left w:w="70" w:type="dxa"/>
                    <w:bottom w:w="70" w:type="dxa"/>
                    <w:right w:w="70" w:type="dxa"/>
                  </w:tcMar>
                  <w:vAlign w:val="center"/>
                </w:tcPr>
                <w:p w14:paraId="4ECD69EE">
                  <w:pPr>
                    <w:jc w:val="center"/>
                  </w:pPr>
                  <w:r>
                    <w:rPr>
                      <w:color w:val="000000"/>
                      <w:sz w:val="19"/>
                    </w:rPr>
                    <w:t>1.1626</w:t>
                  </w:r>
                </w:p>
              </w:tc>
            </w:tr>
          </w:tbl>
          <w:p w14:paraId="7EB48676"/>
          <w:p w14:paraId="6E9767A2">
            <w:pPr>
              <w:ind w:firstLine="480"/>
            </w:pPr>
            <w:r>
              <w:rPr>
                <w:rFonts w:hint="default"/>
                <w:color w:val="000000"/>
                <w:sz w:val="24"/>
                <w:lang w:val="en-US"/>
              </w:rPr>
              <w:t>表2列举了几个典型的情况，20dB为典型情况，能量和信息的性能在不同点达到最优，另有一个这种权衡点，其他两个SNR条件下，例如8dB时能量和通信都是p=0.1时最优，而14dB的时候除去能量最优点和通信最优点外，没有任意一个点在通信性能优于p=0.1时同时使能量性能优于p=0.4的情况，故能量和折中点不区分。</w:t>
            </w:r>
          </w:p>
          <w:p w14:paraId="416F9AFA">
            <w:pPr>
              <w:keepNext/>
              <w:spacing w:before="120"/>
            </w:pPr>
            <w:r>
              <w:rPr>
                <w:rFonts w:hint="default"/>
                <w:b/>
                <w:color w:val="000000"/>
                <w:sz w:val="24"/>
                <w:lang w:val="en-US"/>
              </w:rPr>
              <w:t>三、</w:t>
            </w:r>
            <w:r>
              <w:rPr>
                <w:b/>
                <w:color w:val="000000"/>
                <w:sz w:val="24"/>
              </w:rPr>
              <w:t>OFDM Rayleigh多载波自适应信息能量策略</w:t>
            </w:r>
          </w:p>
          <w:p w14:paraId="71993CAA">
            <w:pPr>
              <w:ind w:firstLine="480"/>
            </w:pPr>
            <w:r>
              <w:rPr>
                <w:rFonts w:hint="default"/>
                <w:color w:val="000000"/>
                <w:sz w:val="24"/>
                <w:lang w:val="en-US"/>
              </w:rPr>
              <w:t>由于现有的通信系统多考虑多载波的OFDM以及Rayleigh信道下的性能表现，所以这部分采用64个子载波的16为长度的循环前缀，对于不同的子载波，按照增益将其划分为high、mid和low三组。每组都是一个N为1024的极化码块。</w:t>
            </w:r>
          </w:p>
          <w:p w14:paraId="1EB9296A">
            <w:pPr>
              <w:keepNext/>
              <w:spacing w:before="60"/>
            </w:pPr>
            <w:r>
              <w:rPr>
                <w:b/>
                <w:color w:val="000000"/>
                <w:sz w:val="24"/>
              </w:rPr>
              <w:t>1、严格OFDM Rayleigh链路与六类策略</w:t>
            </w:r>
          </w:p>
          <w:p w14:paraId="40769176">
            <w:pPr>
              <w:ind w:firstLine="480"/>
            </w:pPr>
            <w:r>
              <w:rPr>
                <w:rFonts w:hint="default"/>
                <w:color w:val="000000"/>
                <w:sz w:val="24"/>
                <w:lang w:val="en-US"/>
              </w:rPr>
              <w:t>策略分为：统一整形基线（所有的情况都按照相同的整形p参数调整）、可靠性分组（针对好信道有限传信息还是进行整形区分）、差子载波纯传能。3大类6小类策略分别对能量性能和信息性能（Goodput衡量）进行对比。</w:t>
            </w:r>
          </w:p>
          <w:p w14:paraId="1FB7406C">
            <w:pPr>
              <w:keepNext/>
              <w:jc w:val="center"/>
            </w:pPr>
            <w:r>
              <w:rPr>
                <w:color w:val="000000"/>
              </w:rPr>
              <w:t>表3 多载波正式实验的六类预定义策略</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2448"/>
              <w:gridCol w:w="2880"/>
            </w:tblGrid>
            <w:tr w14:paraId="787B4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24" w:type="dxa"/>
                  <w:shd w:val="clear" w:color="auto" w:fill="D9EAF7"/>
                  <w:vAlign w:val="center"/>
                </w:tcPr>
                <w:p w14:paraId="542F3FEE">
                  <w:pPr>
                    <w:jc w:val="center"/>
                  </w:pPr>
                  <w:r>
                    <w:rPr>
                      <w:b/>
                      <w:color w:val="000000"/>
                      <w:sz w:val="18"/>
                    </w:rPr>
                    <w:t>策略</w:t>
                  </w:r>
                </w:p>
              </w:tc>
              <w:tc>
                <w:tcPr>
                  <w:tcW w:w="2448" w:type="dxa"/>
                  <w:shd w:val="clear" w:color="auto" w:fill="D9EAF7"/>
                  <w:vAlign w:val="center"/>
                </w:tcPr>
                <w:p w14:paraId="33B47F5A">
                  <w:pPr>
                    <w:jc w:val="center"/>
                  </w:pPr>
                  <w:r>
                    <w:rPr>
                      <w:b/>
                      <w:color w:val="000000"/>
                      <w:sz w:val="18"/>
                    </w:rPr>
                    <w:t>high/mid/low规则</w:t>
                  </w:r>
                </w:p>
              </w:tc>
              <w:tc>
                <w:tcPr>
                  <w:tcW w:w="2880" w:type="dxa"/>
                  <w:shd w:val="clear" w:color="auto" w:fill="D9EAF7"/>
                  <w:vAlign w:val="center"/>
                </w:tcPr>
                <w:p w14:paraId="2E867D22">
                  <w:pPr>
                    <w:jc w:val="center"/>
                  </w:pPr>
                  <w:r>
                    <w:rPr>
                      <w:b/>
                      <w:color w:val="000000"/>
                      <w:sz w:val="18"/>
                    </w:rPr>
                    <w:t>研究作用</w:t>
                  </w:r>
                </w:p>
              </w:tc>
            </w:tr>
            <w:tr w14:paraId="16AC0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70" w:type="dxa"/>
                    <w:left w:w="70" w:type="dxa"/>
                    <w:bottom w:w="70" w:type="dxa"/>
                    <w:right w:w="70" w:type="dxa"/>
                  </w:tcMar>
                  <w:vAlign w:val="center"/>
                </w:tcPr>
                <w:p w14:paraId="2C8EF932">
                  <w:pPr>
                    <w:jc w:val="center"/>
                  </w:pPr>
                  <w:r>
                    <w:rPr>
                      <w:color w:val="000000"/>
                      <w:sz w:val="18"/>
                    </w:rPr>
                    <w:t>uniform p05</w:t>
                  </w:r>
                </w:p>
              </w:tc>
              <w:tc>
                <w:tcPr>
                  <w:tcW w:w="2448" w:type="dxa"/>
                  <w:tcMar>
                    <w:top w:w="70" w:type="dxa"/>
                    <w:left w:w="70" w:type="dxa"/>
                    <w:bottom w:w="70" w:type="dxa"/>
                    <w:right w:w="70" w:type="dxa"/>
                  </w:tcMar>
                  <w:vAlign w:val="center"/>
                </w:tcPr>
                <w:p w14:paraId="03FAAD16">
                  <w:pPr>
                    <w:jc w:val="center"/>
                  </w:pPr>
                  <w:r>
                    <w:rPr>
                      <w:color w:val="000000"/>
                      <w:sz w:val="18"/>
                    </w:rPr>
                    <w:t>0.5/0.5/0.5</w:t>
                  </w:r>
                </w:p>
              </w:tc>
              <w:tc>
                <w:tcPr>
                  <w:tcW w:w="2880" w:type="dxa"/>
                  <w:tcMar>
                    <w:top w:w="70" w:type="dxa"/>
                    <w:left w:w="70" w:type="dxa"/>
                    <w:bottom w:w="70" w:type="dxa"/>
                    <w:right w:w="70" w:type="dxa"/>
                  </w:tcMar>
                  <w:vAlign w:val="center"/>
                </w:tcPr>
                <w:p w14:paraId="42CEE821">
                  <w:pPr>
                    <w:jc w:val="center"/>
                  </w:pPr>
                  <w:r>
                    <w:rPr>
                      <w:color w:val="000000"/>
                      <w:sz w:val="18"/>
                    </w:rPr>
                    <w:t>高码率通信基线</w:t>
                  </w:r>
                </w:p>
              </w:tc>
            </w:tr>
            <w:tr w14:paraId="52DF1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70" w:type="dxa"/>
                    <w:left w:w="70" w:type="dxa"/>
                    <w:bottom w:w="70" w:type="dxa"/>
                    <w:right w:w="70" w:type="dxa"/>
                  </w:tcMar>
                  <w:vAlign w:val="center"/>
                </w:tcPr>
                <w:p w14:paraId="61118E3D">
                  <w:pPr>
                    <w:jc w:val="center"/>
                  </w:pPr>
                  <w:r>
                    <w:rPr>
                      <w:color w:val="000000"/>
                      <w:sz w:val="18"/>
                    </w:rPr>
                    <w:t>uniform p03</w:t>
                  </w:r>
                </w:p>
              </w:tc>
              <w:tc>
                <w:tcPr>
                  <w:tcW w:w="2448" w:type="dxa"/>
                  <w:tcMar>
                    <w:top w:w="70" w:type="dxa"/>
                    <w:left w:w="70" w:type="dxa"/>
                    <w:bottom w:w="70" w:type="dxa"/>
                    <w:right w:w="70" w:type="dxa"/>
                  </w:tcMar>
                  <w:vAlign w:val="center"/>
                </w:tcPr>
                <w:p w14:paraId="798AB052">
                  <w:pPr>
                    <w:jc w:val="center"/>
                  </w:pPr>
                  <w:r>
                    <w:rPr>
                      <w:color w:val="000000"/>
                      <w:sz w:val="18"/>
                    </w:rPr>
                    <w:t>0.3/0.3/0.3</w:t>
                  </w:r>
                </w:p>
              </w:tc>
              <w:tc>
                <w:tcPr>
                  <w:tcW w:w="2880" w:type="dxa"/>
                  <w:tcMar>
                    <w:top w:w="70" w:type="dxa"/>
                    <w:left w:w="70" w:type="dxa"/>
                    <w:bottom w:w="70" w:type="dxa"/>
                    <w:right w:w="70" w:type="dxa"/>
                  </w:tcMar>
                  <w:vAlign w:val="center"/>
                </w:tcPr>
                <w:p w14:paraId="589B24C9">
                  <w:pPr>
                    <w:jc w:val="center"/>
                  </w:pPr>
                  <w:r>
                    <w:rPr>
                      <w:color w:val="000000"/>
                      <w:sz w:val="18"/>
                    </w:rPr>
                    <w:t>中等整形基线</w:t>
                  </w:r>
                </w:p>
              </w:tc>
            </w:tr>
            <w:tr w14:paraId="433F3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70" w:type="dxa"/>
                    <w:left w:w="70" w:type="dxa"/>
                    <w:bottom w:w="70" w:type="dxa"/>
                    <w:right w:w="70" w:type="dxa"/>
                  </w:tcMar>
                  <w:vAlign w:val="center"/>
                </w:tcPr>
                <w:p w14:paraId="54308C3F">
                  <w:pPr>
                    <w:jc w:val="center"/>
                  </w:pPr>
                  <w:r>
                    <w:rPr>
                      <w:color w:val="000000"/>
                      <w:sz w:val="18"/>
                    </w:rPr>
                    <w:t>uniform p01</w:t>
                  </w:r>
                </w:p>
              </w:tc>
              <w:tc>
                <w:tcPr>
                  <w:tcW w:w="2448" w:type="dxa"/>
                  <w:tcMar>
                    <w:top w:w="70" w:type="dxa"/>
                    <w:left w:w="70" w:type="dxa"/>
                    <w:bottom w:w="70" w:type="dxa"/>
                    <w:right w:w="70" w:type="dxa"/>
                  </w:tcMar>
                  <w:vAlign w:val="center"/>
                </w:tcPr>
                <w:p w14:paraId="6581242D">
                  <w:pPr>
                    <w:jc w:val="center"/>
                  </w:pPr>
                  <w:r>
                    <w:rPr>
                      <w:color w:val="000000"/>
                      <w:sz w:val="18"/>
                    </w:rPr>
                    <w:t>0.1/0.1/0.1</w:t>
                  </w:r>
                </w:p>
              </w:tc>
              <w:tc>
                <w:tcPr>
                  <w:tcW w:w="2880" w:type="dxa"/>
                  <w:tcMar>
                    <w:top w:w="70" w:type="dxa"/>
                    <w:left w:w="70" w:type="dxa"/>
                    <w:bottom w:w="70" w:type="dxa"/>
                    <w:right w:w="70" w:type="dxa"/>
                  </w:tcMar>
                  <w:vAlign w:val="center"/>
                </w:tcPr>
                <w:p w14:paraId="2655C3A4">
                  <w:pPr>
                    <w:jc w:val="center"/>
                  </w:pPr>
                  <w:r>
                    <w:rPr>
                      <w:color w:val="000000"/>
                      <w:sz w:val="18"/>
                    </w:rPr>
                    <w:t>强整形能量基线</w:t>
                  </w:r>
                </w:p>
              </w:tc>
            </w:tr>
            <w:tr w14:paraId="02CA4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70" w:type="dxa"/>
                    <w:left w:w="70" w:type="dxa"/>
                    <w:bottom w:w="70" w:type="dxa"/>
                    <w:right w:w="70" w:type="dxa"/>
                  </w:tcMar>
                  <w:vAlign w:val="center"/>
                </w:tcPr>
                <w:p w14:paraId="6B1FA656">
                  <w:pPr>
                    <w:jc w:val="left"/>
                  </w:pPr>
                  <w:r>
                    <w:rPr>
                      <w:color w:val="000000"/>
                      <w:sz w:val="18"/>
                    </w:rPr>
                    <w:t>good channel information</w:t>
                  </w:r>
                </w:p>
              </w:tc>
              <w:tc>
                <w:tcPr>
                  <w:tcW w:w="2448" w:type="dxa"/>
                  <w:tcMar>
                    <w:top w:w="70" w:type="dxa"/>
                    <w:left w:w="70" w:type="dxa"/>
                    <w:bottom w:w="70" w:type="dxa"/>
                    <w:right w:w="70" w:type="dxa"/>
                  </w:tcMar>
                  <w:vAlign w:val="center"/>
                </w:tcPr>
                <w:p w14:paraId="383D2801">
                  <w:pPr>
                    <w:jc w:val="center"/>
                  </w:pPr>
                  <w:r>
                    <w:rPr>
                      <w:color w:val="000000"/>
                      <w:sz w:val="18"/>
                    </w:rPr>
                    <w:t>0.5/0.3/0.1</w:t>
                  </w:r>
                </w:p>
              </w:tc>
              <w:tc>
                <w:tcPr>
                  <w:tcW w:w="2880" w:type="dxa"/>
                  <w:tcMar>
                    <w:top w:w="70" w:type="dxa"/>
                    <w:left w:w="70" w:type="dxa"/>
                    <w:bottom w:w="70" w:type="dxa"/>
                    <w:right w:w="70" w:type="dxa"/>
                  </w:tcMar>
                  <w:vAlign w:val="center"/>
                </w:tcPr>
                <w:p w14:paraId="1D348475">
                  <w:pPr>
                    <w:jc w:val="center"/>
                  </w:pPr>
                  <w:r>
                    <w:rPr>
                      <w:color w:val="000000"/>
                      <w:sz w:val="18"/>
                    </w:rPr>
                    <w:t>好信道优先承载信息</w:t>
                  </w:r>
                </w:p>
              </w:tc>
            </w:tr>
            <w:tr w14:paraId="21D5A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70" w:type="dxa"/>
                    <w:left w:w="70" w:type="dxa"/>
                    <w:bottom w:w="70" w:type="dxa"/>
                    <w:right w:w="70" w:type="dxa"/>
                  </w:tcMar>
                  <w:vAlign w:val="center"/>
                </w:tcPr>
                <w:p w14:paraId="25AD332C">
                  <w:pPr>
                    <w:jc w:val="left"/>
                  </w:pPr>
                  <w:r>
                    <w:rPr>
                      <w:color w:val="000000"/>
                      <w:sz w:val="18"/>
                    </w:rPr>
                    <w:t>good channel energy shaping</w:t>
                  </w:r>
                </w:p>
              </w:tc>
              <w:tc>
                <w:tcPr>
                  <w:tcW w:w="2448" w:type="dxa"/>
                  <w:tcMar>
                    <w:top w:w="70" w:type="dxa"/>
                    <w:left w:w="70" w:type="dxa"/>
                    <w:bottom w:w="70" w:type="dxa"/>
                    <w:right w:w="70" w:type="dxa"/>
                  </w:tcMar>
                  <w:vAlign w:val="center"/>
                </w:tcPr>
                <w:p w14:paraId="0090DA7C">
                  <w:pPr>
                    <w:jc w:val="center"/>
                  </w:pPr>
                  <w:r>
                    <w:rPr>
                      <w:color w:val="000000"/>
                      <w:sz w:val="18"/>
                    </w:rPr>
                    <w:t>0.1/0.3/0.5</w:t>
                  </w:r>
                </w:p>
              </w:tc>
              <w:tc>
                <w:tcPr>
                  <w:tcW w:w="2880" w:type="dxa"/>
                  <w:tcMar>
                    <w:top w:w="70" w:type="dxa"/>
                    <w:left w:w="70" w:type="dxa"/>
                    <w:bottom w:w="70" w:type="dxa"/>
                    <w:right w:w="70" w:type="dxa"/>
                  </w:tcMar>
                  <w:vAlign w:val="center"/>
                </w:tcPr>
                <w:p w14:paraId="501A73B4">
                  <w:pPr>
                    <w:jc w:val="center"/>
                  </w:pPr>
                  <w:r>
                    <w:rPr>
                      <w:color w:val="000000"/>
                      <w:sz w:val="18"/>
                    </w:rPr>
                    <w:t>好信道承担更强整形</w:t>
                  </w:r>
                </w:p>
              </w:tc>
            </w:tr>
            <w:tr w14:paraId="012FF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70" w:type="dxa"/>
                    <w:left w:w="70" w:type="dxa"/>
                    <w:bottom w:w="70" w:type="dxa"/>
                    <w:right w:w="70" w:type="dxa"/>
                  </w:tcMar>
                  <w:vAlign w:val="center"/>
                </w:tcPr>
                <w:p w14:paraId="1C061580">
                  <w:pPr>
                    <w:jc w:val="left"/>
                  </w:pPr>
                  <w:r>
                    <w:rPr>
                      <w:color w:val="000000"/>
                      <w:sz w:val="18"/>
                    </w:rPr>
                    <w:t>bad channel energy only</w:t>
                  </w:r>
                </w:p>
              </w:tc>
              <w:tc>
                <w:tcPr>
                  <w:tcW w:w="2448" w:type="dxa"/>
                  <w:tcMar>
                    <w:top w:w="70" w:type="dxa"/>
                    <w:left w:w="70" w:type="dxa"/>
                    <w:bottom w:w="70" w:type="dxa"/>
                    <w:right w:w="70" w:type="dxa"/>
                  </w:tcMar>
                  <w:vAlign w:val="center"/>
                </w:tcPr>
                <w:p w14:paraId="307399FB">
                  <w:pPr>
                    <w:jc w:val="center"/>
                  </w:pPr>
                  <w:r>
                    <w:rPr>
                      <w:color w:val="000000"/>
                      <w:sz w:val="18"/>
                    </w:rPr>
                    <w:t>low组不承载payload</w:t>
                  </w:r>
                </w:p>
              </w:tc>
              <w:tc>
                <w:tcPr>
                  <w:tcW w:w="2880" w:type="dxa"/>
                  <w:tcMar>
                    <w:top w:w="70" w:type="dxa"/>
                    <w:left w:w="70" w:type="dxa"/>
                    <w:bottom w:w="70" w:type="dxa"/>
                    <w:right w:w="70" w:type="dxa"/>
                  </w:tcMar>
                  <w:vAlign w:val="center"/>
                </w:tcPr>
                <w:p w14:paraId="5DE6FACA">
                  <w:pPr>
                    <w:jc w:val="center"/>
                  </w:pPr>
                  <w:r>
                    <w:rPr>
                      <w:color w:val="000000"/>
                      <w:sz w:val="18"/>
                    </w:rPr>
                    <w:t>差子载波纯传能对照</w:t>
                  </w:r>
                </w:p>
              </w:tc>
            </w:tr>
          </w:tbl>
          <w:p w14:paraId="275448BC"/>
          <w:p w14:paraId="67771915"/>
          <w:p w14:paraId="5F0A163A">
            <w:pPr>
              <w:ind w:firstLine="480"/>
            </w:pPr>
            <w:r>
              <w:rPr>
                <w:rFonts w:hint="default"/>
                <w:color w:val="000000"/>
                <w:sz w:val="24"/>
                <w:lang w:val="en-US"/>
              </w:rPr>
              <w:t>网格从20dB到40dB的SNR，每2dB建立一个考量点，每个策略每点运行累计超过200个错误时记为有效。</w:t>
            </w:r>
          </w:p>
          <w:p w14:paraId="21039E44">
            <w:pPr>
              <w:keepNext/>
              <w:spacing w:before="60"/>
            </w:pPr>
            <w:r>
              <w:rPr>
                <w:b/>
                <w:color w:val="000000"/>
                <w:sz w:val="24"/>
              </w:rPr>
              <w:t>2、BER Goodput与接收能量正式统计</w:t>
            </w:r>
          </w:p>
          <w:p w14:paraId="22DB5F76">
            <w:pPr>
              <w:ind w:firstLine="480"/>
              <w:rPr>
                <w:rFonts w:hint="default"/>
                <w:lang w:val="en-US"/>
              </w:rPr>
            </w:pPr>
            <w:r>
              <w:rPr>
                <w:rFonts w:hint="default"/>
                <w:color w:val="000000"/>
                <w:sz w:val="24"/>
                <w:lang w:val="en-US"/>
              </w:rPr>
              <w:t>所有策略均进入瀑布区。好信道传能量的策略是BER最高的策略，而好信道传信息是BER最低的有效策略。虽然BER曲线上坏信道纯传能是最低的线，但是由于其有效码率非常低，所以不纳入考虑范围。考虑码率后得到Goodput的对比图，可以看到最优信息出现在所有载波都采取0.5为整形参数的时候。</w:t>
            </w:r>
          </w:p>
          <w:p w14:paraId="54E9F3A7">
            <w:pPr>
              <w:keepNext/>
              <w:spacing w:before="60"/>
              <w:jc w:val="center"/>
            </w:pPr>
            <w:r>
              <w:drawing>
                <wp:inline distT="0" distB="0" distL="0" distR="0">
                  <wp:extent cx="5257800" cy="35401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257800" cy="3540352"/>
                          </a:xfrm>
                          <a:prstGeom prst="rect">
                            <a:avLst/>
                          </a:prstGeom>
                        </pic:spPr>
                      </pic:pic>
                    </a:graphicData>
                  </a:graphic>
                </wp:inline>
              </w:drawing>
            </w:r>
          </w:p>
          <w:p w14:paraId="2E3539F1">
            <w:pPr>
              <w:spacing w:after="60"/>
              <w:jc w:val="center"/>
            </w:pPr>
            <w:r>
              <w:rPr>
                <w:color w:val="000000"/>
              </w:rPr>
              <w:t>图5 严格OFDM Rayleigh六策略BER随SNR变化</w:t>
            </w:r>
          </w:p>
          <w:p w14:paraId="4AFC9815">
            <w:pPr>
              <w:keepNext/>
              <w:spacing w:before="60"/>
              <w:jc w:val="center"/>
            </w:pPr>
            <w:r>
              <w:drawing>
                <wp:inline distT="0" distB="0" distL="0" distR="0">
                  <wp:extent cx="5257800" cy="35350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257800" cy="3535288"/>
                          </a:xfrm>
                          <a:prstGeom prst="rect">
                            <a:avLst/>
                          </a:prstGeom>
                        </pic:spPr>
                      </pic:pic>
                    </a:graphicData>
                  </a:graphic>
                </wp:inline>
              </w:drawing>
            </w:r>
          </w:p>
          <w:p w14:paraId="57634D0C">
            <w:pPr>
              <w:spacing w:after="60"/>
              <w:jc w:val="center"/>
            </w:pPr>
            <w:r>
              <w:rPr>
                <w:color w:val="000000"/>
              </w:rPr>
              <w:t>图6 严格OFDM Rayleigh六策略Goodput随SNR变化</w:t>
            </w:r>
          </w:p>
          <w:p w14:paraId="6EE1E353">
            <w:pPr>
              <w:ind w:firstLine="480"/>
              <w:rPr>
                <w:rFonts w:hint="default"/>
                <w:color w:val="000000"/>
                <w:sz w:val="24"/>
                <w:lang w:val="en-US"/>
              </w:rPr>
            </w:pPr>
            <w:r>
              <w:rPr>
                <w:rFonts w:hint="default"/>
                <w:color w:val="000000"/>
                <w:sz w:val="24"/>
                <w:lang w:val="en-US"/>
              </w:rPr>
              <w:t>在OFDM条件下，由于ifft会有一个1/64的乘项，所以包含循环前缀过后，p=0.5的uniform下的平均能量为0.0166。Uniform p01的平均能量约为0.023。Good channel energy shaping约为0.0215。</w:t>
            </w:r>
          </w:p>
          <w:p w14:paraId="7C6DD29A">
            <w:pPr>
              <w:keepNext/>
              <w:spacing w:before="60"/>
              <w:jc w:val="center"/>
            </w:pPr>
            <w:r>
              <w:drawing>
                <wp:inline distT="0" distB="0" distL="0" distR="0">
                  <wp:extent cx="5074920" cy="32867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074920" cy="3287022"/>
                          </a:xfrm>
                          <a:prstGeom prst="rect">
                            <a:avLst/>
                          </a:prstGeom>
                        </pic:spPr>
                      </pic:pic>
                    </a:graphicData>
                  </a:graphic>
                </wp:inline>
              </w:drawing>
            </w:r>
          </w:p>
          <w:p w14:paraId="1C354B58">
            <w:pPr>
              <w:spacing w:after="60"/>
              <w:jc w:val="center"/>
            </w:pPr>
            <w:r>
              <w:rPr>
                <w:color w:val="000000"/>
              </w:rPr>
              <w:t>图7 六类策略的接收能量及95%区间</w:t>
            </w:r>
          </w:p>
          <w:p w14:paraId="439829F0">
            <w:pPr>
              <w:ind w:firstLine="480"/>
            </w:pPr>
            <w:r>
              <w:rPr>
                <w:rFonts w:hint="default"/>
                <w:color w:val="000000"/>
                <w:sz w:val="24"/>
                <w:lang w:val="en-US"/>
              </w:rPr>
              <w:t>按照图7和图6信息，并没有同时支持BER、Goodput和能量同时支配的策略。故策略选择需要明确信息和能量的约束以及优化目标。</w:t>
            </w:r>
          </w:p>
          <w:p w14:paraId="3F8DB427">
            <w:pPr>
              <w:keepNext/>
              <w:spacing w:before="60"/>
            </w:pPr>
            <w:r>
              <w:rPr>
                <w:b/>
                <w:color w:val="000000"/>
                <w:sz w:val="24"/>
              </w:rPr>
              <w:t>3、配对统计与三目标非支配关系</w:t>
            </w:r>
          </w:p>
          <w:p w14:paraId="4DEDB330">
            <w:pPr>
              <w:ind w:firstLine="480"/>
            </w:pPr>
            <w:r>
              <w:rPr>
                <w:rFonts w:hint="default"/>
                <w:color w:val="000000"/>
                <w:sz w:val="24"/>
                <w:lang w:val="en-US"/>
              </w:rPr>
              <w:t>针对6个不同的等效SNR，对所有候选策略的接收能量和Goodput进行仿真，每一张子图对相同SNR条件下的各个策略进行信息性能和能量性能的比较。结果显示每一种策略都各有侧重，所以不存在一个三指标都占优的方案。具体使用时，应该针对不同的SNR画出pareto，再根据信息的最小门限下最优化接收能量或者其他优化方案来选择策略点。</w:t>
            </w:r>
          </w:p>
          <w:p w14:paraId="330014D3">
            <w:pPr>
              <w:keepNext/>
              <w:spacing w:before="60"/>
              <w:jc w:val="center"/>
            </w:pPr>
            <w:r>
              <w:drawing>
                <wp:inline distT="0" distB="0" distL="0" distR="0">
                  <wp:extent cx="5257800" cy="33502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257800" cy="3350499"/>
                          </a:xfrm>
                          <a:prstGeom prst="rect">
                            <a:avLst/>
                          </a:prstGeom>
                        </pic:spPr>
                      </pic:pic>
                    </a:graphicData>
                  </a:graphic>
                </wp:inline>
              </w:drawing>
            </w:r>
          </w:p>
          <w:p w14:paraId="252BBB12">
            <w:pPr>
              <w:spacing w:after="60"/>
              <w:jc w:val="center"/>
            </w:pPr>
            <w:r>
              <w:rPr>
                <w:color w:val="000000"/>
              </w:rPr>
              <w:t>图8 逐SNR Goodput 能量关系及三目标非支配点</w:t>
            </w:r>
          </w:p>
          <w:p w14:paraId="19B461E8">
            <w:pPr>
              <w:keepNext/>
              <w:spacing w:before="60"/>
            </w:pPr>
            <w:r>
              <w:rPr>
                <w:b/>
                <w:color w:val="000000"/>
                <w:sz w:val="24"/>
              </w:rPr>
              <w:t>4、低复杂度约束码本</w:t>
            </w:r>
          </w:p>
          <w:p w14:paraId="381CB5E2">
            <w:pPr>
              <w:ind w:firstLine="480"/>
            </w:pPr>
            <w:r>
              <w:rPr>
                <w:rFonts w:hint="default"/>
                <w:color w:val="000000"/>
                <w:sz w:val="24"/>
                <w:lang w:val="en-US"/>
              </w:rPr>
              <w:t>结合图8的信息和能量性能pareto，在给定SNR后，先筛选BER和Goodput的上界，例如，筛选BER的95%区间不超过0.1且Goodput上95%区间不低于0.25的策略：如果有多个策略满足要求，则选取能量性能最好的策略；如果没有可行项，则回退到Goodput最大的策略，即约束写为：</w:t>
            </w:r>
          </w:p>
          <w:p w14:paraId="407A6635">
            <w:pPr>
              <w:spacing w:before="40" w:after="40"/>
              <w:jc w:val="center"/>
            </w:pPr>
            <m:oMathPara>
              <m:oMath>
                <m:sSub>
                  <m:sSubPr>
                    <m:ctrlPr>
                      <w:rPr>
                        <w:rFonts w:ascii="Cambria Math" w:hAnsi="Cambria Math"/>
                      </w:rPr>
                    </m:ctrlPr>
                  </m:sSubPr>
                  <m:e>
                    <m:r>
                      <m:rPr>
                        <m:sty m:val="p"/>
                      </m:rPr>
                      <w:rPr>
                        <w:rFonts w:ascii="Cambria Math" w:hAnsi="Cambria Math"/>
                      </w:rPr>
                      <m:t>BER</m:t>
                    </m:r>
                    <m:ctrlPr>
                      <w:rPr>
                        <w:rFonts w:ascii="Cambria Math" w:hAnsi="Cambria Math"/>
                      </w:rPr>
                    </m:ctrlPr>
                  </m:e>
                  <m:sub>
                    <m:r>
                      <m:rPr>
                        <m:sty m:val="p"/>
                      </m:rPr>
                      <w:rPr>
                        <w:rFonts w:ascii="Cambria Math" w:hAnsi="Cambria Math"/>
                      </w:rPr>
                      <m:t>upper</m:t>
                    </m:r>
                    <m:r>
                      <m:rPr/>
                      <w:rPr>
                        <w:rFonts w:ascii="Cambria Math" w:hAnsi="Cambria Math"/>
                      </w:rPr>
                      <m:t>,95%</m:t>
                    </m:r>
                    <m:ctrlPr>
                      <w:rPr>
                        <w:rFonts w:ascii="Cambria Math" w:hAnsi="Cambria Math"/>
                      </w:rPr>
                    </m:ctrlPr>
                  </m:sub>
                </m:sSub>
                <m:r>
                  <m:rPr/>
                  <w:rPr>
                    <w:rFonts w:ascii="Cambria Math" w:hAnsi="Cambria Math"/>
                  </w:rPr>
                  <m:t>≤0.1,</m:t>
                </m:r>
                <m:sSub>
                  <m:sSubPr>
                    <m:ctrlPr>
                      <w:rPr>
                        <w:rFonts w:ascii="Cambria Math" w:hAnsi="Cambria Math"/>
                      </w:rPr>
                    </m:ctrlPr>
                  </m:sSubPr>
                  <m:e>
                    <m:r>
                      <m:rPr/>
                      <w:rPr>
                        <w:rFonts w:ascii="Cambria Math" w:hAnsi="Cambria Math"/>
                      </w:rPr>
                      <m:t>G</m:t>
                    </m:r>
                    <m:ctrlPr>
                      <w:rPr>
                        <w:rFonts w:ascii="Cambria Math" w:hAnsi="Cambria Math"/>
                      </w:rPr>
                    </m:ctrlPr>
                  </m:e>
                  <m:sub>
                    <m:r>
                      <m:rPr>
                        <m:sty m:val="p"/>
                      </m:rPr>
                      <w:rPr>
                        <w:rFonts w:ascii="Cambria Math" w:hAnsi="Cambria Math"/>
                      </w:rPr>
                      <m:t>lower</m:t>
                    </m:r>
                    <m:r>
                      <m:rPr/>
                      <w:rPr>
                        <w:rFonts w:ascii="Cambria Math" w:hAnsi="Cambria Math"/>
                      </w:rPr>
                      <m:t>,95%</m:t>
                    </m:r>
                    <m:ctrlPr>
                      <w:rPr>
                        <w:rFonts w:ascii="Cambria Math" w:hAnsi="Cambria Math"/>
                      </w:rPr>
                    </m:ctrlPr>
                  </m:sub>
                </m:sSub>
                <m:r>
                  <m:rPr/>
                  <w:rPr>
                    <w:rFonts w:ascii="Cambria Math" w:hAnsi="Cambria Math"/>
                  </w:rPr>
                  <m:t>≥0.25</m:t>
                </m:r>
              </m:oMath>
            </m:oMathPara>
          </w:p>
          <w:p w14:paraId="01A0AACC">
            <w:pPr>
              <w:keepNext/>
              <w:spacing w:before="60"/>
              <w:rPr>
                <w:b/>
                <w:color w:val="000000"/>
                <w:sz w:val="24"/>
              </w:rPr>
            </w:pPr>
            <w:r>
              <w:rPr>
                <w:rFonts w:hint="default"/>
                <w:b/>
                <w:color w:val="000000"/>
                <w:sz w:val="24"/>
                <w:lang w:val="en-US"/>
              </w:rPr>
              <w:t>5、</w:t>
            </w:r>
            <w:r>
              <w:rPr>
                <w:b/>
                <w:color w:val="000000"/>
                <w:sz w:val="24"/>
              </w:rPr>
              <w:t>固定28 dB下的约束敏感性分析。</w:t>
            </w:r>
          </w:p>
          <w:p w14:paraId="22697A73">
            <w:pPr>
              <w:numPr>
                <w:numId w:val="0"/>
              </w:numPr>
              <w:ind w:firstLine="480" w:firstLineChars="200"/>
              <w:rPr>
                <w:rFonts w:hint="default"/>
                <w:lang w:val="en-US"/>
              </w:rPr>
            </w:pPr>
            <w:r>
              <w:rPr>
                <w:rFonts w:hint="default"/>
                <w:color w:val="000000"/>
                <w:sz w:val="24"/>
                <w:lang w:val="en-US"/>
              </w:rPr>
              <w:t>不同的信息约束会对策略的选择造成影响，在固定28dB的SNR条件下，若采取之前的默认门限</w:t>
            </w:r>
            <w:r>
              <w:rPr>
                <w:color w:val="000000"/>
                <w:sz w:val="24"/>
              </w:rPr>
              <w:t>（BER上界≤0.10、Goodput下界≥0.25）</w:t>
            </w:r>
            <w:r>
              <w:rPr>
                <w:color w:val="000000"/>
                <w:sz w:val="24"/>
                <w:lang w:val="en-US"/>
              </w:rPr>
              <w:t>，</w:t>
            </w:r>
            <w:r>
              <w:rPr>
                <w:rFonts w:hint="default"/>
                <w:color w:val="000000"/>
                <w:sz w:val="24"/>
                <w:lang w:val="en-US"/>
              </w:rPr>
              <w:t>则会选择uniform p=0.1的策略；若将Goodput的下界提升至0.32和0.34，则会选择p=0.3和p=0.5的uniform策略；若将BER的上界下压到0.06（Goodput下界为0.3），会选择good channel information的策略。故具体选择策略将会收到信息约束的影响而不同。</w:t>
            </w:r>
          </w:p>
          <w:p w14:paraId="1440C3B7">
            <w:pPr>
              <w:keepNext/>
              <w:spacing w:before="60"/>
              <w:rPr>
                <w:rFonts w:hint="default"/>
                <w:color w:val="000000"/>
                <w:sz w:val="24"/>
                <w:lang w:val="en-US"/>
              </w:rPr>
            </w:pPr>
            <w:r>
              <w:rPr>
                <w:b/>
                <w:color w:val="000000"/>
                <w:sz w:val="24"/>
              </w:rPr>
              <w:t>6、独立验证与28 dB保护带</w:t>
            </w:r>
          </w:p>
          <w:p w14:paraId="41C9EFBF">
            <w:pPr>
              <w:numPr>
                <w:ilvl w:val="0"/>
                <w:numId w:val="0"/>
              </w:numPr>
              <w:ind w:firstLine="480" w:firstLineChars="200"/>
              <w:rPr>
                <w:rFonts w:hint="default"/>
                <w:color w:val="000000"/>
                <w:sz w:val="24"/>
                <w:lang w:val="en-US"/>
              </w:rPr>
            </w:pPr>
            <w:r>
              <w:rPr>
                <w:rFonts w:hint="default"/>
                <w:color w:val="000000"/>
                <w:sz w:val="24"/>
                <w:lang w:val="en-US"/>
              </w:rPr>
              <w:t>将选定的策略和通信性能门限固定后，用全新的信道样本独立验证，不再根据新样本重新挑选策略。结果显示，20 dB 时使用 uniform p05 能保持较高的Goodput；28—40 dB 时使用 uniform p01，既满足信息性能要求，又提高了接收能量。24 dB 是唯一未通过的点：其误码率略高于预设门限，说明原先在这一信噪比切换策略偏早。</w:t>
            </w:r>
          </w:p>
          <w:p w14:paraId="4473E69D">
            <w:pPr>
              <w:numPr>
                <w:ilvl w:val="0"/>
                <w:numId w:val="0"/>
              </w:numPr>
              <w:ind w:firstLine="480" w:firstLineChars="200"/>
            </w:pPr>
            <w:r>
              <w:rPr>
                <w:rFonts w:hint="default"/>
                <w:color w:val="000000"/>
                <w:sz w:val="24"/>
                <w:lang w:val="en-US"/>
              </w:rPr>
              <w:t>于是，将切换规则调整为：20 和 24 dB 使用 uniform p05，28—40 dB 使用 uniform p01。随后在另一批信道样本上验证，28—40 dB 各点均满足通信门限，接收能量也保持增益。简而言之，在较低 SNR 下优先保障通信表现，在较高 SNR 且通信要求得到满足后，再切换到更有利于接收能量的策略。这一规则是在已验证的六种离散策略中作选择，适用于当前的瑞利信道。不能直接等同于实际电路的射频至直流转换效率。</w:t>
            </w:r>
            <w:r>
              <w:rPr>
                <w:rFonts w:hint="default"/>
                <w:color w:val="000000"/>
                <w:sz w:val="24"/>
                <w:lang w:val="en-US"/>
              </w:rPr>
              <w:t xml:space="preserve"> </w:t>
            </w:r>
          </w:p>
        </w:tc>
      </w:tr>
      <w:tr w14:paraId="1BDE5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340" w:hRule="atLeast"/>
          <w:jc w:val="center"/>
        </w:trPr>
        <w:tc>
          <w:tcPr>
            <w:tcW w:w="5000" w:type="pct"/>
            <w:gridSpan w:val="2"/>
            <w:vAlign w:val="center"/>
          </w:tcPr>
          <w:p w14:paraId="482DB0A4">
            <w:pPr>
              <w:rPr>
                <w:b/>
                <w:sz w:val="24"/>
              </w:rPr>
            </w:pPr>
            <w:r>
              <w:rPr>
                <w:rFonts w:ascii="宋体" w:hAnsi="宋体"/>
                <w:b/>
                <w:sz w:val="24"/>
              </w:rPr>
              <w:t>4</w:t>
            </w:r>
            <w:r>
              <w:rPr>
                <w:rFonts w:hint="eastAsia" w:ascii="宋体" w:hAnsi="宋体"/>
                <w:b/>
                <w:sz w:val="24"/>
              </w:rPr>
              <w:t>.</w:t>
            </w:r>
            <w:r>
              <w:rPr>
                <w:rFonts w:ascii="宋体" w:hAnsi="宋体"/>
                <w:b/>
                <w:sz w:val="24"/>
              </w:rPr>
              <w:t xml:space="preserve"> </w:t>
            </w:r>
            <w:r>
              <w:rPr>
                <w:rFonts w:hint="eastAsia" w:ascii="宋体" w:hAnsi="宋体"/>
                <w:b/>
                <w:sz w:val="24"/>
              </w:rPr>
              <w:t>阶段性研究成果</w:t>
            </w:r>
          </w:p>
        </w:tc>
      </w:tr>
      <w:tr w14:paraId="770C2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2004" w:hRule="atLeast"/>
          <w:jc w:val="center"/>
        </w:trPr>
        <w:tc>
          <w:tcPr>
            <w:tcW w:w="5000" w:type="pct"/>
            <w:gridSpan w:val="2"/>
          </w:tcPr>
          <w:p w14:paraId="3CBB4328">
            <w:pPr>
              <w:ind w:firstLine="480"/>
            </w:pPr>
            <w:r>
              <w:rPr>
                <w:color w:val="000000"/>
                <w:sz w:val="24"/>
              </w:rPr>
              <w:t>暂无与本学位论文直接相关且符合本表填写条件的已发表、录用或投稿成果。</w:t>
            </w:r>
          </w:p>
        </w:tc>
      </w:tr>
    </w:tbl>
    <w:p w14:paraId="2796974D">
      <w:pPr>
        <w:numPr>
          <w:ilvl w:val="0"/>
          <w:numId w:val="1"/>
        </w:numPr>
        <w:rPr>
          <w:b/>
          <w:bCs/>
          <w:sz w:val="36"/>
        </w:rPr>
      </w:pPr>
      <w:r>
        <w:br w:type="page"/>
      </w:r>
      <w:r>
        <w:rPr>
          <w:rFonts w:hint="eastAsia" w:ascii="黑体" w:hAnsi="黑体" w:eastAsia="黑体"/>
          <w:bCs/>
          <w:sz w:val="28"/>
        </w:rPr>
        <w:t>存在的主要问题和解决办法</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57" w:type="dxa"/>
          <w:bottom w:w="57" w:type="dxa"/>
          <w:right w:w="57" w:type="dxa"/>
        </w:tblCellMar>
      </w:tblPr>
      <w:tblGrid>
        <w:gridCol w:w="9752"/>
      </w:tblGrid>
      <w:tr w14:paraId="5A428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6803" w:hRule="atLeast"/>
          <w:jc w:val="center"/>
        </w:trPr>
        <w:tc>
          <w:tcPr>
            <w:tcW w:w="5000" w:type="pct"/>
          </w:tcPr>
          <w:p w14:paraId="5737263C">
            <w:pPr>
              <w:spacing w:after="120"/>
            </w:pPr>
            <w:r>
              <w:rPr>
                <w:color w:val="000000"/>
                <w:sz w:val="24"/>
              </w:rPr>
              <w:t>1.未按开题计划完成的研究工作，研究工作存在的原理性、技术性难题以及在实验条件等方面的限制</w:t>
            </w:r>
          </w:p>
          <w:p w14:paraId="79C2ADA6">
            <w:pPr>
              <w:ind w:firstLine="480"/>
            </w:pPr>
            <w:r>
              <w:rPr>
                <w:color w:val="000000"/>
                <w:sz w:val="24"/>
              </w:rPr>
              <w:t>1）</w:t>
            </w:r>
            <w:r>
              <w:rPr>
                <w:rFonts w:hint="default"/>
                <w:color w:val="000000"/>
                <w:sz w:val="24"/>
                <w:lang w:val="en-US"/>
              </w:rPr>
              <w:t>理论分析和实际链路之间仍有差距。理论分析模型简化了高阶调制、有限码长、以及译码方式三者的影响。现有理论模型对极化码分析均采用无限长的二元擦除信道进行定量分析，上述影响没有可参考的定量分析体系。后续需要进一步确认偏差的来源。</w:t>
            </w:r>
          </w:p>
          <w:p w14:paraId="3C8CC20D">
            <w:pPr>
              <w:ind w:firstLine="480"/>
            </w:pPr>
            <w:r>
              <w:rPr>
                <w:color w:val="000000"/>
                <w:sz w:val="24"/>
              </w:rPr>
              <w:t>2）</w:t>
            </w:r>
            <w:r>
              <w:rPr>
                <w:rFonts w:hint="default"/>
                <w:color w:val="000000"/>
                <w:sz w:val="24"/>
                <w:lang w:val="en-US"/>
              </w:rPr>
              <w:t>通信和能量性能之间的权衡。现有结果没有找到再所有SNR下信息和能量均占优的方案，需要再信息和能量之间进行取舍。</w:t>
            </w:r>
          </w:p>
          <w:p w14:paraId="7EFD333A">
            <w:pPr>
              <w:ind w:firstLine="480"/>
            </w:pPr>
            <w:r>
              <w:rPr>
                <w:color w:val="000000"/>
                <w:sz w:val="24"/>
              </w:rPr>
              <w:t>3）</w:t>
            </w:r>
            <w:r>
              <w:rPr>
                <w:rFonts w:hint="default"/>
                <w:color w:val="000000"/>
                <w:sz w:val="24"/>
                <w:lang w:val="en-US"/>
              </w:rPr>
              <w:t>当前的策略只有六种预设的策略，选择结果随着通信门限的变化而变化。后续仍然需要再新的门限以及信道条件下验证稳定性，并且研究策略是否可以补充以及实际门限设计和策略切换逻辑。</w:t>
            </w:r>
          </w:p>
          <w:p w14:paraId="74F6CDA7">
            <w:pPr>
              <w:ind w:firstLine="480"/>
              <w:rPr>
                <w:color w:val="000000"/>
                <w:sz w:val="24"/>
              </w:rPr>
            </w:pPr>
            <w:r>
              <w:rPr>
                <w:color w:val="000000"/>
                <w:sz w:val="24"/>
              </w:rPr>
              <w:t>4）</w:t>
            </w:r>
            <w:r>
              <w:rPr>
                <w:rFonts w:hint="default"/>
                <w:color w:val="000000"/>
                <w:sz w:val="24"/>
                <w:lang w:val="en-US"/>
              </w:rPr>
              <w:t>目前的能量性能是按照发送能量进行衡量的，未经过二极管的整流模型，不能代表实际直流能量。后续应该引入实际链路的实验（如整流电路等），验证方针的能量增益能否转化为实际的接收端能量增益。</w:t>
            </w:r>
          </w:p>
        </w:tc>
      </w:tr>
      <w:tr w14:paraId="6950E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7030" w:hRule="atLeast"/>
          <w:jc w:val="center"/>
        </w:trPr>
        <w:tc>
          <w:tcPr>
            <w:tcW w:w="5000" w:type="pct"/>
          </w:tcPr>
          <w:p w14:paraId="46074819">
            <w:pPr>
              <w:spacing w:after="120"/>
            </w:pPr>
            <w:r>
              <w:rPr>
                <w:color w:val="000000"/>
                <w:sz w:val="24"/>
              </w:rPr>
              <w:t>2.针对上述问题采取何种解决办法，对学位论文的研究内容及所采取的理论方法、技术路线和实施方案的进一步调整，以及下一步的研究计划</w:t>
            </w:r>
          </w:p>
          <w:p w14:paraId="2065CD10">
            <w:pPr>
              <w:ind w:firstLine="480"/>
            </w:pPr>
            <w:r>
              <w:rPr>
                <w:color w:val="000000"/>
                <w:sz w:val="24"/>
              </w:rPr>
              <w:t>1）</w:t>
            </w:r>
            <w:r>
              <w:rPr>
                <w:rFonts w:hint="default"/>
                <w:color w:val="000000"/>
                <w:sz w:val="24"/>
                <w:lang w:val="en-US"/>
              </w:rPr>
              <w:t>从实际仿真的Gray映射的QAM调制触发，结合有限码长的仿真，分别衡量码构造、LLR解析、最终解码算法，三个因素对最终信息性能的影响。定位主要偏差的来源以及确定仿真和理论的适用范围。</w:t>
            </w:r>
          </w:p>
          <w:p w14:paraId="7C789A74">
            <w:pPr>
              <w:ind w:firstLine="480"/>
              <w:rPr>
                <w:rFonts w:hint="default"/>
                <w:lang w:val="en-US"/>
              </w:rPr>
            </w:pPr>
            <w:r>
              <w:rPr>
                <w:color w:val="000000"/>
                <w:sz w:val="24"/>
              </w:rPr>
              <w:t>2）</w:t>
            </w:r>
            <w:r>
              <w:rPr>
                <w:rFonts w:hint="default"/>
                <w:color w:val="000000"/>
                <w:sz w:val="24"/>
                <w:lang w:val="en-US"/>
              </w:rPr>
              <w:t>建立数能同传的数能二者权衡的更完善的方法。继续在不同的SNR比较BER、Goodput、能量性能，避免使用单一指标，计划引入“获得单位能量增益所需要的通信损失代价”作为衡量方法。</w:t>
            </w:r>
          </w:p>
          <w:p w14:paraId="39CA4475">
            <w:pPr>
              <w:ind w:firstLine="480"/>
              <w:rPr>
                <w:rFonts w:hint="default"/>
                <w:lang w:val="en-US"/>
              </w:rPr>
            </w:pPr>
            <w:r>
              <w:rPr>
                <w:color w:val="000000"/>
                <w:sz w:val="24"/>
              </w:rPr>
              <w:t>3）</w:t>
            </w:r>
            <w:r>
              <w:rPr>
                <w:rFonts w:hint="default"/>
                <w:color w:val="000000"/>
                <w:sz w:val="24"/>
                <w:lang w:val="en-US"/>
              </w:rPr>
              <w:t>验证不同门限下的更为丰富的策略选择结果，并且使用不同的丰富的信道样本去检验策略的稳定性。进一步评估是否需要补充更多的分组策略或者门限设计以及切换逻辑。</w:t>
            </w:r>
          </w:p>
          <w:p w14:paraId="1C1F0F60">
            <w:pPr>
              <w:ind w:firstLine="480"/>
              <w:rPr>
                <w:color w:val="000000"/>
                <w:sz w:val="24"/>
              </w:rPr>
            </w:pPr>
            <w:r>
              <w:rPr>
                <w:color w:val="000000"/>
                <w:sz w:val="24"/>
              </w:rPr>
              <w:t>4）</w:t>
            </w:r>
            <w:r>
              <w:rPr>
                <w:rFonts w:hint="default"/>
                <w:color w:val="000000"/>
                <w:sz w:val="24"/>
                <w:lang w:val="en-US"/>
              </w:rPr>
              <w:t>在现有理论分析的基础上，加入对于接收端二极管非线性模型的理论分析。并且在有条件的情况下再物理世界进行真实链路的仿真和搭建。检验仿真增益能否体现在实际物理世界。</w:t>
            </w:r>
          </w:p>
        </w:tc>
      </w:tr>
    </w:tbl>
    <w:p w14:paraId="60A1A039">
      <w:pPr>
        <w:numPr>
          <w:ilvl w:val="0"/>
          <w:numId w:val="1"/>
        </w:numPr>
        <w:rPr>
          <w:b/>
          <w:bCs/>
          <w:sz w:val="36"/>
        </w:rPr>
      </w:pPr>
      <w:r>
        <w:br w:type="page"/>
      </w:r>
      <w:r>
        <w:rPr>
          <w:rFonts w:hint="eastAsia" w:ascii="黑体" w:hAnsi="黑体" w:eastAsia="黑体"/>
          <w:bCs/>
          <w:sz w:val="28"/>
        </w:rPr>
        <w:t>中期考评审查意见</w:t>
      </w:r>
    </w:p>
    <w:tbl>
      <w:tblPr>
        <w:tblStyle w:val="5"/>
        <w:tblW w:w="5000"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57" w:type="dxa"/>
          <w:left w:w="57" w:type="dxa"/>
          <w:bottom w:w="57" w:type="dxa"/>
          <w:right w:w="57" w:type="dxa"/>
        </w:tblCellMar>
      </w:tblPr>
      <w:tblGrid>
        <w:gridCol w:w="1145"/>
        <w:gridCol w:w="2450"/>
        <w:gridCol w:w="2198"/>
        <w:gridCol w:w="3959"/>
      </w:tblGrid>
      <w:tr w14:paraId="020BE70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57" w:type="dxa"/>
            <w:bottom w:w="57" w:type="dxa"/>
            <w:right w:w="57" w:type="dxa"/>
          </w:tblCellMar>
        </w:tblPrEx>
        <w:trPr>
          <w:cantSplit/>
          <w:trHeight w:val="2268" w:hRule="atLeast"/>
          <w:jc w:val="center"/>
        </w:trPr>
        <w:tc>
          <w:tcPr>
            <w:tcW w:w="5000" w:type="pct"/>
            <w:gridSpan w:val="4"/>
            <w:tcBorders>
              <w:bottom w:val="nil"/>
            </w:tcBorders>
          </w:tcPr>
          <w:p w14:paraId="338C8885">
            <w:pPr>
              <w:spacing w:after="120" w:afterLines="50"/>
              <w:rPr>
                <w:rFonts w:eastAsia="楷体"/>
                <w:sz w:val="24"/>
              </w:rPr>
            </w:pPr>
            <w:r>
              <w:rPr>
                <w:rFonts w:hint="eastAsia" w:eastAsia="楷体"/>
                <w:sz w:val="24"/>
              </w:rPr>
              <w:t>1.导师对工作进展</w:t>
            </w:r>
            <w:r>
              <w:rPr>
                <w:rFonts w:hint="eastAsia" w:ascii="楷体" w:hAnsi="楷体" w:eastAsia="楷体"/>
                <w:sz w:val="24"/>
              </w:rPr>
              <w:t>及研究计划的</w:t>
            </w:r>
            <w:r>
              <w:rPr>
                <w:rFonts w:hint="eastAsia" w:eastAsia="楷体"/>
                <w:sz w:val="24"/>
              </w:rPr>
              <w:t>意见：</w:t>
            </w:r>
          </w:p>
          <w:p w14:paraId="315E19AE">
            <w:pPr>
              <w:ind w:firstLine="420" w:firstLineChars="200"/>
            </w:pPr>
          </w:p>
        </w:tc>
      </w:tr>
      <w:tr w14:paraId="162D6F8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57" w:type="dxa"/>
            <w:bottom w:w="57" w:type="dxa"/>
            <w:right w:w="57" w:type="dxa"/>
          </w:tblCellMar>
        </w:tblPrEx>
        <w:trPr>
          <w:cantSplit/>
          <w:jc w:val="center"/>
        </w:trPr>
        <w:tc>
          <w:tcPr>
            <w:tcW w:w="5000" w:type="pct"/>
            <w:gridSpan w:val="4"/>
            <w:tcBorders>
              <w:top w:val="nil"/>
            </w:tcBorders>
          </w:tcPr>
          <w:p w14:paraId="1DA9CD15">
            <w:pPr>
              <w:spacing w:line="720" w:lineRule="auto"/>
            </w:pPr>
            <w:r>
              <w:rPr>
                <w:rFonts w:hint="eastAsia"/>
              </w:rPr>
              <w:t xml:space="preserve">导师（组）签字： </w:t>
            </w:r>
            <w:r>
              <w:t xml:space="preserve">                                                       </w:t>
            </w:r>
            <w:r>
              <w:rPr>
                <w:rFonts w:hint="eastAsia"/>
              </w:rPr>
              <w:t xml:space="preserve">年 </w:t>
            </w:r>
            <w:r>
              <w:t xml:space="preserve">    </w:t>
            </w:r>
            <w:r>
              <w:rPr>
                <w:rFonts w:hint="eastAsia"/>
              </w:rPr>
              <w:t xml:space="preserve">月 </w:t>
            </w:r>
            <w:r>
              <w:t xml:space="preserve">    </w:t>
            </w:r>
            <w:r>
              <w:rPr>
                <w:rFonts w:hint="eastAsia"/>
              </w:rPr>
              <w:t>日</w:t>
            </w:r>
          </w:p>
        </w:tc>
      </w:tr>
      <w:tr w14:paraId="4BB7FA6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57" w:type="dxa"/>
            <w:bottom w:w="57" w:type="dxa"/>
            <w:right w:w="57" w:type="dxa"/>
          </w:tblCellMar>
        </w:tblPrEx>
        <w:trPr>
          <w:cantSplit/>
          <w:trHeight w:val="397" w:hRule="atLeast"/>
          <w:jc w:val="center"/>
        </w:trPr>
        <w:tc>
          <w:tcPr>
            <w:tcW w:w="5000" w:type="pct"/>
            <w:gridSpan w:val="4"/>
            <w:vAlign w:val="center"/>
          </w:tcPr>
          <w:p w14:paraId="681D6BA8">
            <w:pPr>
              <w:rPr>
                <w:b/>
                <w:sz w:val="24"/>
              </w:rPr>
            </w:pPr>
            <w:r>
              <w:rPr>
                <w:rFonts w:hint="eastAsia"/>
                <w:b/>
                <w:sz w:val="24"/>
              </w:rPr>
              <w:t>2</w:t>
            </w:r>
            <w:r>
              <w:rPr>
                <w:rFonts w:hint="eastAsia" w:ascii="宋体" w:hAnsi="宋体"/>
                <w:b/>
                <w:sz w:val="24"/>
              </w:rPr>
              <w:t>.中期考评专家组意见</w:t>
            </w:r>
          </w:p>
        </w:tc>
      </w:tr>
      <w:tr w14:paraId="4BBA6EA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57" w:type="dxa"/>
            <w:bottom w:w="57" w:type="dxa"/>
            <w:right w:w="57" w:type="dxa"/>
          </w:tblCellMar>
        </w:tblPrEx>
        <w:trPr>
          <w:cantSplit/>
          <w:trHeight w:val="397" w:hRule="atLeast"/>
          <w:jc w:val="center"/>
        </w:trPr>
        <w:tc>
          <w:tcPr>
            <w:tcW w:w="587" w:type="pct"/>
            <w:vAlign w:val="center"/>
          </w:tcPr>
          <w:p w14:paraId="6C0E0A3F">
            <w:pPr>
              <w:jc w:val="center"/>
              <w:rPr>
                <w:sz w:val="24"/>
              </w:rPr>
            </w:pPr>
            <w:r>
              <w:rPr>
                <w:rFonts w:hint="eastAsia"/>
                <w:sz w:val="24"/>
              </w:rPr>
              <w:t>考评日期</w:t>
            </w:r>
          </w:p>
        </w:tc>
        <w:tc>
          <w:tcPr>
            <w:tcW w:w="1256" w:type="pct"/>
            <w:vAlign w:val="center"/>
          </w:tcPr>
          <w:p w14:paraId="71AC0201">
            <w:pPr>
              <w:jc w:val="center"/>
              <w:rPr>
                <w:sz w:val="24"/>
              </w:rPr>
            </w:pPr>
          </w:p>
        </w:tc>
        <w:tc>
          <w:tcPr>
            <w:tcW w:w="1127" w:type="pct"/>
            <w:vAlign w:val="center"/>
          </w:tcPr>
          <w:p w14:paraId="6ED5C896">
            <w:pPr>
              <w:jc w:val="center"/>
              <w:rPr>
                <w:sz w:val="24"/>
              </w:rPr>
            </w:pPr>
            <w:r>
              <w:rPr>
                <w:rFonts w:hint="eastAsia"/>
                <w:sz w:val="24"/>
              </w:rPr>
              <w:t>考评地点</w:t>
            </w:r>
          </w:p>
        </w:tc>
        <w:tc>
          <w:tcPr>
            <w:tcW w:w="2030" w:type="pct"/>
            <w:vAlign w:val="center"/>
          </w:tcPr>
          <w:p w14:paraId="1A7D15CF">
            <w:pPr>
              <w:rPr>
                <w:sz w:val="24"/>
              </w:rPr>
            </w:pPr>
          </w:p>
        </w:tc>
      </w:tr>
      <w:tr w14:paraId="07EEDCC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57" w:type="dxa"/>
            <w:bottom w:w="57" w:type="dxa"/>
            <w:right w:w="57" w:type="dxa"/>
          </w:tblCellMar>
        </w:tblPrEx>
        <w:trPr>
          <w:cantSplit/>
          <w:trHeight w:val="397" w:hRule="atLeast"/>
          <w:jc w:val="center"/>
        </w:trPr>
        <w:tc>
          <w:tcPr>
            <w:tcW w:w="587" w:type="pct"/>
            <w:vAlign w:val="center"/>
          </w:tcPr>
          <w:p w14:paraId="4A33EF4F">
            <w:pPr>
              <w:jc w:val="center"/>
              <w:rPr>
                <w:sz w:val="24"/>
              </w:rPr>
            </w:pPr>
            <w:r>
              <w:rPr>
                <w:rFonts w:hint="eastAsia"/>
                <w:sz w:val="24"/>
              </w:rPr>
              <w:t>考评专家</w:t>
            </w:r>
          </w:p>
        </w:tc>
        <w:tc>
          <w:tcPr>
            <w:tcW w:w="4413" w:type="pct"/>
            <w:gridSpan w:val="3"/>
            <w:vAlign w:val="center"/>
          </w:tcPr>
          <w:p w14:paraId="45708017">
            <w:pPr>
              <w:rPr>
                <w:sz w:val="24"/>
              </w:rPr>
            </w:pPr>
          </w:p>
        </w:tc>
      </w:tr>
      <w:tr w14:paraId="0B75858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57" w:type="dxa"/>
            <w:bottom w:w="57" w:type="dxa"/>
            <w:right w:w="57" w:type="dxa"/>
          </w:tblCellMar>
        </w:tblPrEx>
        <w:trPr>
          <w:cantSplit/>
          <w:trHeight w:val="397" w:hRule="atLeast"/>
          <w:jc w:val="center"/>
        </w:trPr>
        <w:tc>
          <w:tcPr>
            <w:tcW w:w="587" w:type="pct"/>
            <w:vAlign w:val="center"/>
          </w:tcPr>
          <w:p w14:paraId="7197AF41">
            <w:pPr>
              <w:jc w:val="center"/>
              <w:rPr>
                <w:sz w:val="24"/>
              </w:rPr>
            </w:pPr>
            <w:r>
              <w:rPr>
                <w:rFonts w:hint="eastAsia"/>
                <w:sz w:val="24"/>
              </w:rPr>
              <w:t>考评成绩</w:t>
            </w:r>
          </w:p>
        </w:tc>
        <w:tc>
          <w:tcPr>
            <w:tcW w:w="4413" w:type="pct"/>
            <w:gridSpan w:val="3"/>
            <w:vAlign w:val="center"/>
          </w:tcPr>
          <w:p w14:paraId="632B33F7">
            <w:pPr>
              <w:ind w:firstLine="720" w:firstLineChars="300"/>
              <w:rPr>
                <w:sz w:val="24"/>
              </w:rPr>
            </w:pPr>
            <w:r>
              <w:rPr>
                <w:rFonts w:hint="eastAsia"/>
                <w:sz w:val="24"/>
              </w:rPr>
              <w:t>合格</w:t>
            </w:r>
            <w:r>
              <w:rPr>
                <w:rFonts w:hint="eastAsia"/>
                <w:sz w:val="24"/>
                <w:u w:val="single"/>
              </w:rPr>
              <w:t xml:space="preserve"> </w:t>
            </w:r>
            <w:r>
              <w:rPr>
                <w:sz w:val="24"/>
                <w:u w:val="single"/>
              </w:rPr>
              <w:t xml:space="preserve">   </w:t>
            </w:r>
            <w:r>
              <w:rPr>
                <w:rFonts w:hint="eastAsia"/>
                <w:sz w:val="24"/>
              </w:rPr>
              <w:t xml:space="preserve">票 </w:t>
            </w:r>
            <w:r>
              <w:rPr>
                <w:sz w:val="24"/>
              </w:rPr>
              <w:t xml:space="preserve">      </w:t>
            </w:r>
            <w:r>
              <w:rPr>
                <w:rFonts w:hint="eastAsia"/>
                <w:sz w:val="24"/>
              </w:rPr>
              <w:t>基本合格</w:t>
            </w:r>
            <w:r>
              <w:rPr>
                <w:rFonts w:hint="eastAsia"/>
                <w:sz w:val="24"/>
                <w:u w:val="single"/>
              </w:rPr>
              <w:t xml:space="preserve"> </w:t>
            </w:r>
            <w:r>
              <w:rPr>
                <w:sz w:val="24"/>
                <w:u w:val="single"/>
              </w:rPr>
              <w:t xml:space="preserve">   </w:t>
            </w:r>
            <w:r>
              <w:rPr>
                <w:rFonts w:hint="eastAsia"/>
                <w:sz w:val="24"/>
              </w:rPr>
              <w:t xml:space="preserve">票 </w:t>
            </w:r>
            <w:r>
              <w:rPr>
                <w:sz w:val="24"/>
              </w:rPr>
              <w:t xml:space="preserve">      </w:t>
            </w:r>
            <w:r>
              <w:rPr>
                <w:rFonts w:hint="eastAsia"/>
                <w:sz w:val="24"/>
              </w:rPr>
              <w:t>不合格</w:t>
            </w:r>
            <w:r>
              <w:rPr>
                <w:rFonts w:hint="eastAsia"/>
                <w:sz w:val="24"/>
                <w:u w:val="single"/>
              </w:rPr>
              <w:t xml:space="preserve">  </w:t>
            </w:r>
            <w:r>
              <w:rPr>
                <w:sz w:val="24"/>
                <w:u w:val="single"/>
              </w:rPr>
              <w:t xml:space="preserve">  </w:t>
            </w:r>
            <w:r>
              <w:rPr>
                <w:rFonts w:hint="eastAsia"/>
                <w:sz w:val="24"/>
              </w:rPr>
              <w:t>票</w:t>
            </w:r>
          </w:p>
        </w:tc>
      </w:tr>
      <w:tr w14:paraId="4F84BE7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57" w:type="dxa"/>
            <w:bottom w:w="57" w:type="dxa"/>
            <w:right w:w="57" w:type="dxa"/>
          </w:tblCellMar>
        </w:tblPrEx>
        <w:trPr>
          <w:cantSplit/>
          <w:trHeight w:val="397" w:hRule="atLeast"/>
          <w:jc w:val="center"/>
        </w:trPr>
        <w:tc>
          <w:tcPr>
            <w:tcW w:w="587" w:type="pct"/>
            <w:tcBorders>
              <w:bottom w:val="single" w:color="auto" w:sz="6" w:space="0"/>
            </w:tcBorders>
            <w:vAlign w:val="center"/>
          </w:tcPr>
          <w:p w14:paraId="3690CDCF">
            <w:pPr>
              <w:jc w:val="center"/>
              <w:rPr>
                <w:sz w:val="24"/>
              </w:rPr>
            </w:pPr>
            <w:r>
              <w:rPr>
                <w:rFonts w:hint="eastAsia"/>
                <w:sz w:val="24"/>
              </w:rPr>
              <w:t xml:space="preserve">结 </w:t>
            </w:r>
            <w:r>
              <w:rPr>
                <w:sz w:val="24"/>
              </w:rPr>
              <w:t xml:space="preserve">   </w:t>
            </w:r>
            <w:r>
              <w:rPr>
                <w:rFonts w:hint="eastAsia"/>
                <w:sz w:val="24"/>
              </w:rPr>
              <w:t>论</w:t>
            </w:r>
          </w:p>
        </w:tc>
        <w:tc>
          <w:tcPr>
            <w:tcW w:w="4413" w:type="pct"/>
            <w:gridSpan w:val="3"/>
            <w:tcBorders>
              <w:bottom w:val="single" w:color="auto" w:sz="6" w:space="0"/>
            </w:tcBorders>
            <w:vAlign w:val="center"/>
          </w:tcPr>
          <w:p w14:paraId="6C344D65">
            <w:pPr>
              <w:spacing w:before="240" w:beforeLines="100" w:after="240" w:afterLines="100"/>
              <w:ind w:firstLine="708" w:firstLineChars="300"/>
              <w:rPr>
                <w:spacing w:val="-2"/>
                <w:sz w:val="24"/>
              </w:rPr>
            </w:pPr>
            <w:r>
              <w:rPr>
                <w:rFonts w:hint="eastAsia" w:ascii="宋体" w:hAnsi="宋体"/>
                <w:spacing w:val="-2"/>
                <w:sz w:val="24"/>
              </w:rPr>
              <w:t>□</w:t>
            </w:r>
            <w:r>
              <w:rPr>
                <w:rFonts w:hint="eastAsia"/>
                <w:spacing w:val="-2"/>
                <w:sz w:val="24"/>
              </w:rPr>
              <w:t xml:space="preserve">通过 </w:t>
            </w:r>
            <w:r>
              <w:rPr>
                <w:spacing w:val="-2"/>
                <w:sz w:val="24"/>
              </w:rPr>
              <w:t xml:space="preserve">           </w:t>
            </w:r>
            <w:r>
              <w:rPr>
                <w:rFonts w:hint="eastAsia" w:ascii="宋体" w:hAnsi="宋体"/>
                <w:spacing w:val="-2"/>
                <w:sz w:val="24"/>
              </w:rPr>
              <w:t>□原</w:t>
            </w:r>
            <w:bookmarkStart w:id="0" w:name="_GoBack"/>
            <w:bookmarkEnd w:id="0"/>
            <w:r>
              <w:rPr>
                <w:rFonts w:hint="eastAsia" w:ascii="宋体" w:hAnsi="宋体"/>
                <w:spacing w:val="-2"/>
                <w:sz w:val="24"/>
              </w:rPr>
              <w:t>则</w:t>
            </w:r>
            <w:r>
              <w:rPr>
                <w:rFonts w:hint="eastAsia"/>
                <w:spacing w:val="-2"/>
                <w:sz w:val="24"/>
              </w:rPr>
              <w:t xml:space="preserve">通过 </w:t>
            </w:r>
            <w:r>
              <w:rPr>
                <w:spacing w:val="-2"/>
                <w:sz w:val="24"/>
              </w:rPr>
              <w:t xml:space="preserve">          </w:t>
            </w:r>
            <w:r>
              <w:rPr>
                <w:rFonts w:hint="eastAsia" w:ascii="宋体" w:hAnsi="宋体"/>
                <w:spacing w:val="-2"/>
                <w:sz w:val="24"/>
              </w:rPr>
              <w:t>□不</w:t>
            </w:r>
            <w:r>
              <w:rPr>
                <w:rFonts w:hint="eastAsia"/>
                <w:spacing w:val="-2"/>
                <w:sz w:val="24"/>
              </w:rPr>
              <w:t xml:space="preserve">通过 </w:t>
            </w:r>
          </w:p>
          <w:p w14:paraId="2D8A1BAC">
            <w:pPr>
              <w:rPr>
                <w:spacing w:val="-2"/>
                <w:sz w:val="18"/>
                <w:szCs w:val="18"/>
              </w:rPr>
            </w:pPr>
            <w:r>
              <w:rPr>
                <w:rFonts w:hint="eastAsia"/>
                <w:b/>
                <w:spacing w:val="182"/>
                <w:kern w:val="0"/>
                <w:sz w:val="18"/>
                <w:szCs w:val="18"/>
                <w:fitText w:val="724" w:id="1790685443"/>
              </w:rPr>
              <w:t>通</w:t>
            </w:r>
            <w:r>
              <w:rPr>
                <w:rFonts w:hint="eastAsia"/>
                <w:b/>
                <w:spacing w:val="0"/>
                <w:kern w:val="0"/>
                <w:sz w:val="18"/>
                <w:szCs w:val="18"/>
                <w:fitText w:val="724" w:id="1790685443"/>
              </w:rPr>
              <w:t>过</w:t>
            </w:r>
            <w:r>
              <w:rPr>
                <w:rFonts w:hint="eastAsia"/>
                <w:b/>
                <w:spacing w:val="-2"/>
                <w:sz w:val="18"/>
                <w:szCs w:val="18"/>
              </w:rPr>
              <w:t>：</w:t>
            </w:r>
            <w:r>
              <w:rPr>
                <w:rFonts w:hint="eastAsia"/>
                <w:spacing w:val="-2"/>
                <w:sz w:val="18"/>
                <w:szCs w:val="18"/>
              </w:rPr>
              <w:t>表决票均为合格</w:t>
            </w:r>
          </w:p>
          <w:p w14:paraId="26545241">
            <w:pPr>
              <w:rPr>
                <w:spacing w:val="-2"/>
                <w:sz w:val="18"/>
                <w:szCs w:val="18"/>
              </w:rPr>
            </w:pPr>
            <w:r>
              <w:rPr>
                <w:rFonts w:hint="eastAsia"/>
                <w:b/>
                <w:spacing w:val="0"/>
                <w:kern w:val="0"/>
                <w:sz w:val="18"/>
                <w:szCs w:val="18"/>
                <w:fitText w:val="724" w:id="1790685444"/>
              </w:rPr>
              <w:t>原则通过</w:t>
            </w:r>
            <w:r>
              <w:rPr>
                <w:rFonts w:hint="eastAsia"/>
                <w:b/>
                <w:spacing w:val="-2"/>
                <w:sz w:val="18"/>
                <w:szCs w:val="18"/>
              </w:rPr>
              <w:t>：</w:t>
            </w:r>
            <w:r>
              <w:rPr>
                <w:rFonts w:hint="eastAsia"/>
                <w:spacing w:val="-2"/>
                <w:sz w:val="18"/>
                <w:szCs w:val="18"/>
              </w:rPr>
              <w:t>表决票中有1票为基本合格或不合格，其余为合格和基本合格</w:t>
            </w:r>
          </w:p>
          <w:p w14:paraId="0BE44702">
            <w:pPr>
              <w:rPr>
                <w:b/>
                <w:spacing w:val="-2"/>
                <w:sz w:val="24"/>
              </w:rPr>
            </w:pPr>
            <w:r>
              <w:rPr>
                <w:rFonts w:hint="eastAsia"/>
                <w:b/>
                <w:spacing w:val="46"/>
                <w:kern w:val="0"/>
                <w:sz w:val="18"/>
                <w:szCs w:val="18"/>
                <w:fitText w:val="724" w:id="1790685445"/>
              </w:rPr>
              <w:t>不通</w:t>
            </w:r>
            <w:r>
              <w:rPr>
                <w:rFonts w:hint="eastAsia"/>
                <w:b/>
                <w:spacing w:val="0"/>
                <w:kern w:val="0"/>
                <w:sz w:val="18"/>
                <w:szCs w:val="18"/>
                <w:fitText w:val="724" w:id="1790685445"/>
              </w:rPr>
              <w:t>过</w:t>
            </w:r>
            <w:r>
              <w:rPr>
                <w:rFonts w:hint="eastAsia"/>
                <w:b/>
                <w:spacing w:val="-2"/>
                <w:sz w:val="18"/>
                <w:szCs w:val="18"/>
              </w:rPr>
              <w:t>：</w:t>
            </w:r>
            <w:r>
              <w:rPr>
                <w:rFonts w:hint="eastAsia"/>
                <w:spacing w:val="-2"/>
                <w:sz w:val="18"/>
                <w:szCs w:val="18"/>
              </w:rPr>
              <w:t>表决票中有2票及以上为不合格</w:t>
            </w:r>
          </w:p>
        </w:tc>
      </w:tr>
      <w:tr w14:paraId="79BCD01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57" w:type="dxa"/>
            <w:bottom w:w="57" w:type="dxa"/>
            <w:right w:w="57" w:type="dxa"/>
          </w:tblCellMar>
        </w:tblPrEx>
        <w:trPr>
          <w:cantSplit/>
          <w:jc w:val="center"/>
        </w:trPr>
        <w:tc>
          <w:tcPr>
            <w:tcW w:w="5000" w:type="pct"/>
            <w:gridSpan w:val="4"/>
            <w:tcBorders>
              <w:bottom w:val="nil"/>
            </w:tcBorders>
          </w:tcPr>
          <w:p w14:paraId="328BB18D">
            <w:pPr>
              <w:spacing w:after="120" w:afterLines="50"/>
              <w:rPr>
                <w:rFonts w:eastAsia="楷体"/>
                <w:sz w:val="24"/>
              </w:rPr>
            </w:pPr>
            <w:r>
              <w:rPr>
                <w:rFonts w:hint="eastAsia" w:eastAsia="楷体"/>
                <w:sz w:val="24"/>
              </w:rPr>
              <w:t>对学位论文工作进展，从事科学研究的能力和作风，以及下一步研究计划的建议，是否适合继续攻读学位：</w:t>
            </w:r>
          </w:p>
          <w:p w14:paraId="34272B4A"/>
          <w:p w14:paraId="5DB49125"/>
          <w:p w14:paraId="73311B6B"/>
          <w:p w14:paraId="3DF5D60D"/>
          <w:p w14:paraId="1B218612"/>
          <w:p w14:paraId="70210FBE"/>
          <w:p w14:paraId="3F65D67F"/>
          <w:p w14:paraId="40E2A452"/>
          <w:p w14:paraId="51C6C3FE"/>
          <w:p w14:paraId="5159B7D2"/>
          <w:p w14:paraId="79EDD73D"/>
          <w:p w14:paraId="34674B34"/>
        </w:tc>
      </w:tr>
      <w:tr w14:paraId="5FCEB12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57" w:type="dxa"/>
            <w:bottom w:w="57" w:type="dxa"/>
            <w:right w:w="57" w:type="dxa"/>
          </w:tblCellMar>
        </w:tblPrEx>
        <w:trPr>
          <w:cantSplit/>
          <w:trHeight w:val="851" w:hRule="atLeast"/>
          <w:jc w:val="center"/>
        </w:trPr>
        <w:tc>
          <w:tcPr>
            <w:tcW w:w="5000" w:type="pct"/>
            <w:gridSpan w:val="4"/>
            <w:tcBorders>
              <w:top w:val="nil"/>
              <w:bottom w:val="single" w:color="auto" w:sz="6" w:space="0"/>
            </w:tcBorders>
            <w:vAlign w:val="center"/>
          </w:tcPr>
          <w:p w14:paraId="5B88307D">
            <w:pPr>
              <w:tabs>
                <w:tab w:val="left" w:pos="3420"/>
                <w:tab w:val="left" w:pos="8010"/>
              </w:tabs>
              <w:spacing w:after="240" w:afterLines="100"/>
              <w:rPr>
                <w:sz w:val="24"/>
              </w:rPr>
            </w:pPr>
            <w:r>
              <w:tab/>
            </w:r>
            <w:r>
              <w:rPr>
                <w:rFonts w:hint="eastAsia"/>
                <w:sz w:val="24"/>
              </w:rPr>
              <w:t>考评组签名：</w:t>
            </w:r>
            <w:r>
              <w:rPr>
                <w:sz w:val="24"/>
              </w:rPr>
              <w:tab/>
            </w:r>
          </w:p>
          <w:p w14:paraId="12B90A59">
            <w:pPr>
              <w:tabs>
                <w:tab w:val="left" w:pos="4253"/>
                <w:tab w:val="left" w:pos="7730"/>
              </w:tabs>
              <w:jc w:val="right"/>
              <w:rPr>
                <w:rFonts w:eastAsia="楷体"/>
                <w:sz w:val="24"/>
              </w:rPr>
            </w:pPr>
            <w:r>
              <w:rPr>
                <w:rFonts w:hint="eastAsia"/>
                <w:sz w:val="24"/>
              </w:rPr>
              <w:t xml:space="preserve">年 </w:t>
            </w:r>
            <w:r>
              <w:rPr>
                <w:sz w:val="24"/>
              </w:rPr>
              <w:t xml:space="preserve"> </w:t>
            </w:r>
            <w:r>
              <w:rPr>
                <w:rFonts w:hint="eastAsia"/>
                <w:sz w:val="24"/>
              </w:rPr>
              <w:t xml:space="preserve"> </w:t>
            </w:r>
            <w:r>
              <w:rPr>
                <w:sz w:val="24"/>
              </w:rPr>
              <w:t xml:space="preserve"> </w:t>
            </w:r>
            <w:r>
              <w:rPr>
                <w:rFonts w:hint="eastAsia"/>
                <w:sz w:val="24"/>
              </w:rPr>
              <w:t xml:space="preserve">月  </w:t>
            </w:r>
            <w:r>
              <w:rPr>
                <w:sz w:val="24"/>
              </w:rPr>
              <w:t xml:space="preserve"> </w:t>
            </w:r>
            <w:r>
              <w:rPr>
                <w:rFonts w:hint="eastAsia"/>
                <w:sz w:val="24"/>
              </w:rPr>
              <w:t xml:space="preserve"> 日</w:t>
            </w:r>
          </w:p>
        </w:tc>
      </w:tr>
      <w:tr w14:paraId="600E6C2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57" w:type="dxa"/>
            <w:bottom w:w="57" w:type="dxa"/>
            <w:right w:w="57" w:type="dxa"/>
          </w:tblCellMar>
        </w:tblPrEx>
        <w:trPr>
          <w:cantSplit/>
          <w:jc w:val="center"/>
        </w:trPr>
        <w:tc>
          <w:tcPr>
            <w:tcW w:w="5000" w:type="pct"/>
            <w:gridSpan w:val="4"/>
            <w:tcBorders>
              <w:bottom w:val="nil"/>
            </w:tcBorders>
          </w:tcPr>
          <w:p w14:paraId="176E0CB1">
            <w:pPr>
              <w:rPr>
                <w:b/>
                <w:sz w:val="24"/>
              </w:rPr>
            </w:pPr>
            <w:r>
              <w:rPr>
                <w:rFonts w:hint="eastAsia"/>
                <w:b/>
                <w:sz w:val="24"/>
              </w:rPr>
              <w:t>3.学院意见：</w:t>
            </w:r>
          </w:p>
          <w:p w14:paraId="73E9A3A3">
            <w:pPr>
              <w:rPr>
                <w:sz w:val="24"/>
              </w:rPr>
            </w:pPr>
          </w:p>
          <w:p w14:paraId="65378D0A">
            <w:pPr>
              <w:rPr>
                <w:sz w:val="24"/>
              </w:rPr>
            </w:pPr>
          </w:p>
          <w:p w14:paraId="1F2A96F8">
            <w:pPr>
              <w:rPr>
                <w:sz w:val="24"/>
              </w:rPr>
            </w:pPr>
          </w:p>
          <w:p w14:paraId="3FEE75DF">
            <w:pPr>
              <w:rPr>
                <w:sz w:val="24"/>
              </w:rPr>
            </w:pPr>
          </w:p>
          <w:p w14:paraId="3A2CB451">
            <w:pPr>
              <w:rPr>
                <w:sz w:val="24"/>
              </w:rPr>
            </w:pPr>
          </w:p>
        </w:tc>
      </w:tr>
      <w:tr w14:paraId="3A8C196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57" w:type="dxa"/>
            <w:bottom w:w="57" w:type="dxa"/>
            <w:right w:w="57" w:type="dxa"/>
          </w:tblCellMar>
        </w:tblPrEx>
        <w:trPr>
          <w:cantSplit/>
          <w:trHeight w:val="30" w:hRule="atLeast"/>
          <w:jc w:val="center"/>
        </w:trPr>
        <w:tc>
          <w:tcPr>
            <w:tcW w:w="5000" w:type="pct"/>
            <w:gridSpan w:val="4"/>
            <w:tcBorders>
              <w:top w:val="nil"/>
            </w:tcBorders>
          </w:tcPr>
          <w:p w14:paraId="24570CA0">
            <w:pPr>
              <w:tabs>
                <w:tab w:val="left" w:pos="3052"/>
                <w:tab w:val="left" w:pos="7871"/>
              </w:tabs>
              <w:jc w:val="right"/>
              <w:rPr>
                <w:b/>
                <w:sz w:val="24"/>
              </w:rPr>
            </w:pPr>
            <w:r>
              <w:rPr>
                <w:rFonts w:hint="eastAsia"/>
                <w:sz w:val="24"/>
              </w:rPr>
              <w:t xml:space="preserve">负责人签名： </w:t>
            </w:r>
            <w:r>
              <w:rPr>
                <w:sz w:val="24"/>
              </w:rPr>
              <w:t xml:space="preserve">                        </w:t>
            </w:r>
            <w:r>
              <w:rPr>
                <w:rFonts w:hint="eastAsia"/>
                <w:sz w:val="24"/>
              </w:rPr>
              <w:t xml:space="preserve">年 </w:t>
            </w:r>
            <w:r>
              <w:rPr>
                <w:sz w:val="24"/>
              </w:rPr>
              <w:t xml:space="preserve"> </w:t>
            </w:r>
            <w:r>
              <w:rPr>
                <w:rFonts w:hint="eastAsia"/>
                <w:sz w:val="24"/>
              </w:rPr>
              <w:t xml:space="preserve"> </w:t>
            </w:r>
            <w:r>
              <w:rPr>
                <w:sz w:val="24"/>
              </w:rPr>
              <w:t xml:space="preserve"> </w:t>
            </w:r>
            <w:r>
              <w:rPr>
                <w:rFonts w:hint="eastAsia"/>
                <w:sz w:val="24"/>
              </w:rPr>
              <w:t xml:space="preserve">月  </w:t>
            </w:r>
            <w:r>
              <w:rPr>
                <w:sz w:val="24"/>
              </w:rPr>
              <w:t xml:space="preserve"> </w:t>
            </w:r>
            <w:r>
              <w:rPr>
                <w:rFonts w:hint="eastAsia"/>
                <w:sz w:val="24"/>
              </w:rPr>
              <w:t xml:space="preserve"> 日</w:t>
            </w:r>
          </w:p>
        </w:tc>
      </w:tr>
    </w:tbl>
    <w:p w14:paraId="2BB7AF55">
      <w:pPr>
        <w:spacing w:line="40" w:lineRule="exact"/>
        <w:jc w:val="center"/>
      </w:pPr>
    </w:p>
    <w:sectPr>
      <w:footerReference r:id="rId9" w:type="default"/>
      <w:pgSz w:w="11906" w:h="16838"/>
      <w:pgMar w:top="1134" w:right="1134" w:bottom="1134" w:left="1134"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229784">
    <w:pPr>
      <w:pStyle w:val="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1587E">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0B2B2">
    <w:pPr>
      <w:pStyle w:val="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736BE">
    <w:pPr>
      <w:pStyle w:val="2"/>
      <w:jc w:val="center"/>
    </w:pPr>
    <w:r>
      <w:fldChar w:fldCharType="begin"/>
    </w:r>
    <w:r>
      <w:instrText xml:space="preserve">PAGE   \* MERGEFORMAT</w:instrText>
    </w:r>
    <w:r>
      <w:fldChar w:fldCharType="separate"/>
    </w:r>
    <w:r>
      <w:rPr>
        <w:lang w:val="zh-CN"/>
      </w:rPr>
      <w:t>2</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1E04A">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BF40ED">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498C8">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320015"/>
    <w:multiLevelType w:val="singleLevel"/>
    <w:tmpl w:val="1F320015"/>
    <w:lvl w:ilvl="0" w:tentative="0">
      <w:start w:val="1"/>
      <w:numFmt w:val="decimal"/>
      <w:suff w:val="nothing"/>
      <w:lvlText w:val="%1）"/>
      <w:lvlJc w:val="left"/>
    </w:lvl>
  </w:abstractNum>
  <w:abstractNum w:abstractNumId="1">
    <w:nsid w:val="4DDDC3F0"/>
    <w:multiLevelType w:val="singleLevel"/>
    <w:tmpl w:val="4DDDC3F0"/>
    <w:lvl w:ilvl="0" w:tentative="0">
      <w:start w:val="1"/>
      <w:numFmt w:val="chineseCounting"/>
      <w:suff w:val="nothing"/>
      <w:lvlText w:val="%1、"/>
      <w:lvlJc w:val="left"/>
      <w:rPr>
        <w:rFonts w:hint="eastAsia"/>
      </w:rPr>
    </w:lvl>
  </w:abstractNum>
  <w:abstractNum w:abstractNumId="2">
    <w:nsid w:val="50ED5ACE"/>
    <w:multiLevelType w:val="multilevel"/>
    <w:tmpl w:val="50ED5ACE"/>
    <w:lvl w:ilvl="0" w:tentative="0">
      <w:start w:val="1"/>
      <w:numFmt w:val="chineseCountingThousand"/>
      <w:suff w:val="nothing"/>
      <w:lvlText w:val="%1、"/>
      <w:lvlJc w:val="left"/>
      <w:pPr>
        <w:ind w:left="750" w:hanging="750"/>
      </w:pPr>
      <w:rPr>
        <w:rFonts w:hint="default" w:ascii="黑体" w:hAnsi="黑体" w:eastAsia="黑体"/>
        <w:b w:val="0"/>
        <w:sz w:val="2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785C"/>
    <w:rsid w:val="000131C1"/>
    <w:rsid w:val="000267D9"/>
    <w:rsid w:val="000303B0"/>
    <w:rsid w:val="0003134E"/>
    <w:rsid w:val="00051BB3"/>
    <w:rsid w:val="00056DDE"/>
    <w:rsid w:val="000660E3"/>
    <w:rsid w:val="00072637"/>
    <w:rsid w:val="00074E6D"/>
    <w:rsid w:val="0007655E"/>
    <w:rsid w:val="000800A0"/>
    <w:rsid w:val="000A4F7E"/>
    <w:rsid w:val="000C2ECA"/>
    <w:rsid w:val="000D0530"/>
    <w:rsid w:val="000E50C0"/>
    <w:rsid w:val="000F24A4"/>
    <w:rsid w:val="000F2CF2"/>
    <w:rsid w:val="000F62BA"/>
    <w:rsid w:val="00125C2C"/>
    <w:rsid w:val="00134BFD"/>
    <w:rsid w:val="00140748"/>
    <w:rsid w:val="00160451"/>
    <w:rsid w:val="00164AB5"/>
    <w:rsid w:val="0016675F"/>
    <w:rsid w:val="00172077"/>
    <w:rsid w:val="0017473F"/>
    <w:rsid w:val="001952D2"/>
    <w:rsid w:val="001A5DA3"/>
    <w:rsid w:val="001C09F5"/>
    <w:rsid w:val="001C0EBF"/>
    <w:rsid w:val="001F2124"/>
    <w:rsid w:val="001F513B"/>
    <w:rsid w:val="001F77F1"/>
    <w:rsid w:val="00232B82"/>
    <w:rsid w:val="00243E5D"/>
    <w:rsid w:val="00245D8F"/>
    <w:rsid w:val="0024713D"/>
    <w:rsid w:val="00263ADD"/>
    <w:rsid w:val="00267595"/>
    <w:rsid w:val="002805A9"/>
    <w:rsid w:val="002B6B2A"/>
    <w:rsid w:val="002C6ADC"/>
    <w:rsid w:val="002F4C63"/>
    <w:rsid w:val="003012C0"/>
    <w:rsid w:val="00301859"/>
    <w:rsid w:val="00302A0E"/>
    <w:rsid w:val="00316553"/>
    <w:rsid w:val="00336490"/>
    <w:rsid w:val="003416B4"/>
    <w:rsid w:val="00343263"/>
    <w:rsid w:val="00351C2F"/>
    <w:rsid w:val="00363A94"/>
    <w:rsid w:val="00363BC2"/>
    <w:rsid w:val="00364223"/>
    <w:rsid w:val="003762EA"/>
    <w:rsid w:val="003A0553"/>
    <w:rsid w:val="003F1499"/>
    <w:rsid w:val="003F57C5"/>
    <w:rsid w:val="004130D9"/>
    <w:rsid w:val="004161E6"/>
    <w:rsid w:val="00417390"/>
    <w:rsid w:val="00421F54"/>
    <w:rsid w:val="00431612"/>
    <w:rsid w:val="00436096"/>
    <w:rsid w:val="00446549"/>
    <w:rsid w:val="00455D44"/>
    <w:rsid w:val="0047216F"/>
    <w:rsid w:val="0047487B"/>
    <w:rsid w:val="00481AAA"/>
    <w:rsid w:val="00490E65"/>
    <w:rsid w:val="004B2BFD"/>
    <w:rsid w:val="004B32C1"/>
    <w:rsid w:val="004C1483"/>
    <w:rsid w:val="004D02FC"/>
    <w:rsid w:val="004D0D73"/>
    <w:rsid w:val="004D487B"/>
    <w:rsid w:val="004E7C1C"/>
    <w:rsid w:val="004F2454"/>
    <w:rsid w:val="004F45D7"/>
    <w:rsid w:val="004F737F"/>
    <w:rsid w:val="004F7C42"/>
    <w:rsid w:val="005160DE"/>
    <w:rsid w:val="00520FFC"/>
    <w:rsid w:val="005354EE"/>
    <w:rsid w:val="00536AA8"/>
    <w:rsid w:val="00542ABD"/>
    <w:rsid w:val="0056095C"/>
    <w:rsid w:val="00562947"/>
    <w:rsid w:val="00562FAA"/>
    <w:rsid w:val="00573E33"/>
    <w:rsid w:val="00582AB2"/>
    <w:rsid w:val="00592585"/>
    <w:rsid w:val="005B71A4"/>
    <w:rsid w:val="005D4938"/>
    <w:rsid w:val="006056A8"/>
    <w:rsid w:val="00616B1B"/>
    <w:rsid w:val="0061785C"/>
    <w:rsid w:val="00626BBF"/>
    <w:rsid w:val="00631409"/>
    <w:rsid w:val="00631781"/>
    <w:rsid w:val="00636593"/>
    <w:rsid w:val="00650AF5"/>
    <w:rsid w:val="006537FF"/>
    <w:rsid w:val="00656EB9"/>
    <w:rsid w:val="00660F89"/>
    <w:rsid w:val="00662C6C"/>
    <w:rsid w:val="0067028B"/>
    <w:rsid w:val="00692058"/>
    <w:rsid w:val="006A1642"/>
    <w:rsid w:val="006A3E1B"/>
    <w:rsid w:val="006B1592"/>
    <w:rsid w:val="006B2BB3"/>
    <w:rsid w:val="006D21F3"/>
    <w:rsid w:val="006E7145"/>
    <w:rsid w:val="006F44F1"/>
    <w:rsid w:val="00703787"/>
    <w:rsid w:val="007200AB"/>
    <w:rsid w:val="0072239D"/>
    <w:rsid w:val="00731A94"/>
    <w:rsid w:val="007419F7"/>
    <w:rsid w:val="007438C4"/>
    <w:rsid w:val="00744EF1"/>
    <w:rsid w:val="00756604"/>
    <w:rsid w:val="00756F05"/>
    <w:rsid w:val="00757990"/>
    <w:rsid w:val="0078740E"/>
    <w:rsid w:val="00791A82"/>
    <w:rsid w:val="007A70B6"/>
    <w:rsid w:val="007C4021"/>
    <w:rsid w:val="007D4BE6"/>
    <w:rsid w:val="007D57B7"/>
    <w:rsid w:val="007D62FF"/>
    <w:rsid w:val="007D630B"/>
    <w:rsid w:val="007F16B3"/>
    <w:rsid w:val="0080192D"/>
    <w:rsid w:val="00806457"/>
    <w:rsid w:val="00852884"/>
    <w:rsid w:val="008922DC"/>
    <w:rsid w:val="008A35EB"/>
    <w:rsid w:val="008B01C0"/>
    <w:rsid w:val="008B3719"/>
    <w:rsid w:val="008B6756"/>
    <w:rsid w:val="008C4843"/>
    <w:rsid w:val="008C62AD"/>
    <w:rsid w:val="008D150D"/>
    <w:rsid w:val="008D5BB4"/>
    <w:rsid w:val="008E4F17"/>
    <w:rsid w:val="008E71D8"/>
    <w:rsid w:val="008E7216"/>
    <w:rsid w:val="0091733A"/>
    <w:rsid w:val="00922C9B"/>
    <w:rsid w:val="009273EA"/>
    <w:rsid w:val="00931508"/>
    <w:rsid w:val="009414B1"/>
    <w:rsid w:val="00943BF2"/>
    <w:rsid w:val="009470DE"/>
    <w:rsid w:val="0098039C"/>
    <w:rsid w:val="00990DDF"/>
    <w:rsid w:val="009A0BE8"/>
    <w:rsid w:val="009D3865"/>
    <w:rsid w:val="009E14DE"/>
    <w:rsid w:val="009E18E7"/>
    <w:rsid w:val="009F5D53"/>
    <w:rsid w:val="00A07A3A"/>
    <w:rsid w:val="00A12151"/>
    <w:rsid w:val="00A54EA6"/>
    <w:rsid w:val="00A61A12"/>
    <w:rsid w:val="00A638F9"/>
    <w:rsid w:val="00A71230"/>
    <w:rsid w:val="00A74692"/>
    <w:rsid w:val="00A8237B"/>
    <w:rsid w:val="00A9360F"/>
    <w:rsid w:val="00A97CCF"/>
    <w:rsid w:val="00AA22E5"/>
    <w:rsid w:val="00AA406A"/>
    <w:rsid w:val="00AE136E"/>
    <w:rsid w:val="00B0023B"/>
    <w:rsid w:val="00B0220D"/>
    <w:rsid w:val="00B03AF4"/>
    <w:rsid w:val="00B04BDF"/>
    <w:rsid w:val="00B1760C"/>
    <w:rsid w:val="00B208E8"/>
    <w:rsid w:val="00B3136A"/>
    <w:rsid w:val="00B33AC3"/>
    <w:rsid w:val="00B358B5"/>
    <w:rsid w:val="00B60A66"/>
    <w:rsid w:val="00B86241"/>
    <w:rsid w:val="00B95BF0"/>
    <w:rsid w:val="00BA0060"/>
    <w:rsid w:val="00BC5D2E"/>
    <w:rsid w:val="00BC63D4"/>
    <w:rsid w:val="00BD4943"/>
    <w:rsid w:val="00BD617A"/>
    <w:rsid w:val="00BE764B"/>
    <w:rsid w:val="00C1290A"/>
    <w:rsid w:val="00C225E8"/>
    <w:rsid w:val="00C34DB3"/>
    <w:rsid w:val="00C37F5D"/>
    <w:rsid w:val="00C4152A"/>
    <w:rsid w:val="00C41ED3"/>
    <w:rsid w:val="00C47D27"/>
    <w:rsid w:val="00C5583B"/>
    <w:rsid w:val="00C62224"/>
    <w:rsid w:val="00C66128"/>
    <w:rsid w:val="00C80BC9"/>
    <w:rsid w:val="00C80BE0"/>
    <w:rsid w:val="00C813C1"/>
    <w:rsid w:val="00C92241"/>
    <w:rsid w:val="00CA3210"/>
    <w:rsid w:val="00CB54D0"/>
    <w:rsid w:val="00CC5CCE"/>
    <w:rsid w:val="00CD176D"/>
    <w:rsid w:val="00CD355D"/>
    <w:rsid w:val="00CD50A1"/>
    <w:rsid w:val="00CF384F"/>
    <w:rsid w:val="00D00DC5"/>
    <w:rsid w:val="00D035FD"/>
    <w:rsid w:val="00D37238"/>
    <w:rsid w:val="00D53E35"/>
    <w:rsid w:val="00D557DF"/>
    <w:rsid w:val="00D60E08"/>
    <w:rsid w:val="00D6211F"/>
    <w:rsid w:val="00D75508"/>
    <w:rsid w:val="00D75AA9"/>
    <w:rsid w:val="00D77239"/>
    <w:rsid w:val="00D864E5"/>
    <w:rsid w:val="00D86CA6"/>
    <w:rsid w:val="00DA0CAA"/>
    <w:rsid w:val="00DA22C9"/>
    <w:rsid w:val="00DC14C7"/>
    <w:rsid w:val="00DC6140"/>
    <w:rsid w:val="00DC6C66"/>
    <w:rsid w:val="00DD3549"/>
    <w:rsid w:val="00DD7D24"/>
    <w:rsid w:val="00DE4644"/>
    <w:rsid w:val="00DF615F"/>
    <w:rsid w:val="00DF735E"/>
    <w:rsid w:val="00E577A8"/>
    <w:rsid w:val="00E636ED"/>
    <w:rsid w:val="00E84DAA"/>
    <w:rsid w:val="00E94F0F"/>
    <w:rsid w:val="00EC2943"/>
    <w:rsid w:val="00EC48EC"/>
    <w:rsid w:val="00EC7B34"/>
    <w:rsid w:val="00F15C3B"/>
    <w:rsid w:val="00F420C7"/>
    <w:rsid w:val="00F511E7"/>
    <w:rsid w:val="00F55C7A"/>
    <w:rsid w:val="00F70EF3"/>
    <w:rsid w:val="00F76EBE"/>
    <w:rsid w:val="00F816FC"/>
    <w:rsid w:val="00F9202F"/>
    <w:rsid w:val="00FD2272"/>
    <w:rsid w:val="00FD7060"/>
    <w:rsid w:val="00FD7C2F"/>
    <w:rsid w:val="00FE3128"/>
    <w:rsid w:val="05E2311A"/>
    <w:rsid w:val="14E629C1"/>
    <w:rsid w:val="174678A5"/>
    <w:rsid w:val="179901BE"/>
    <w:rsid w:val="1A657CB6"/>
    <w:rsid w:val="1D991525"/>
    <w:rsid w:val="232A56E5"/>
    <w:rsid w:val="25DC305D"/>
    <w:rsid w:val="29387837"/>
    <w:rsid w:val="326571C3"/>
    <w:rsid w:val="392274DB"/>
    <w:rsid w:val="3B4756B8"/>
    <w:rsid w:val="412D2FF7"/>
    <w:rsid w:val="42572DBB"/>
    <w:rsid w:val="445C33AB"/>
    <w:rsid w:val="48FF5824"/>
    <w:rsid w:val="55125282"/>
    <w:rsid w:val="558E50AB"/>
    <w:rsid w:val="59F51151"/>
    <w:rsid w:val="5C341139"/>
    <w:rsid w:val="60C3760E"/>
    <w:rsid w:val="6A100E89"/>
    <w:rsid w:val="6DCB39C9"/>
    <w:rsid w:val="71021BB3"/>
    <w:rsid w:val="722E5FC7"/>
    <w:rsid w:val="755D59D1"/>
    <w:rsid w:val="797E5AFE"/>
    <w:rsid w:val="7A06001D"/>
    <w:rsid w:val="7D0511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qFormat/>
    <w:uiPriority w:val="99"/>
    <w:pPr>
      <w:tabs>
        <w:tab w:val="center" w:pos="4153"/>
        <w:tab w:val="right" w:pos="8306"/>
      </w:tabs>
      <w:snapToGrid w:val="0"/>
      <w:jc w:val="left"/>
    </w:pPr>
    <w:rPr>
      <w:sz w:val="18"/>
      <w:szCs w:val="18"/>
    </w:rPr>
  </w:style>
  <w:style w:type="paragraph" w:styleId="3">
    <w:name w:val="header"/>
    <w:basedOn w:val="1"/>
    <w:link w:val="9"/>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customStyle="1" w:styleId="9">
    <w:name w:val="页眉 字符"/>
    <w:link w:val="3"/>
    <w:qFormat/>
    <w:uiPriority w:val="0"/>
    <w:rPr>
      <w:kern w:val="2"/>
      <w:sz w:val="18"/>
      <w:szCs w:val="18"/>
    </w:rPr>
  </w:style>
  <w:style w:type="character" w:customStyle="1" w:styleId="10">
    <w:name w:val="页脚 字符"/>
    <w:link w:val="2"/>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2EAA99-437C-4FC6-842F-189ABD9D476D}">
  <ds:schemaRefs/>
</ds:datastoreItem>
</file>

<file path=docProps/app.xml><?xml version="1.0" encoding="utf-8"?>
<Properties xmlns="http://schemas.openxmlformats.org/officeDocument/2006/extended-properties" xmlns:vt="http://schemas.openxmlformats.org/officeDocument/2006/docPropsVTypes">
  <Template>Normal</Template>
  <Company>uestc</Company>
  <Pages>12</Pages>
  <Words>361</Words>
  <Characters>411</Characters>
  <Lines>60</Lines>
  <Paragraphs>17</Paragraphs>
  <TotalTime>206</TotalTime>
  <ScaleCrop>false</ScaleCrop>
  <LinksUpToDate>false</LinksUpToDate>
  <CharactersWithSpaces>620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2018-07-16T03:02:00Z</dcterms:created>
  <dc:creator>pmx</dc:creator>
  <dc:description>开题报告仅作为内容、语言和版式参考；全部24条参考文献沿用其编号。</dc:description>
  <cp:lastModifiedBy>NeoChen-_-#</cp:lastModifiedBy>
  <cp:lastPrinted>2023-09-25T06:27:00Z</cp:lastPrinted>
  <dcterms:modified xsi:type="dcterms:W3CDTF">2026-09-29T15:04:30Z</dcterms:modified>
  <dc:subject>依据开题报告与阶段周报完善，含参考文献索引</dc:subject>
  <dc:title>学术学位研究生学位论文中期考评表（陈俊峰，完善稿）</dc:title>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eyJoZGlkIjoiMzYzMWZmYmM3Y2I0ZWMwYWMzNDg5NWZiYjc4NjkwNmUiLCJ1c2VySWQiOiI0NTk3ODU0NzYifQ==</vt:lpwstr>
  </property>
  <property fmtid="{D5CDD505-2E9C-101B-9397-08002B2CF9AE}" pid="3" name="KSOProductBuildVer">
    <vt:lpwstr>2052-12.1.0.25225</vt:lpwstr>
  </property>
  <property fmtid="{D5CDD505-2E9C-101B-9397-08002B2CF9AE}" pid="4" name="ICV">
    <vt:lpwstr>D82D776B09054E078D7A5D2394D4235A_12</vt:lpwstr>
  </property>
</Properties>
</file>