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3AED" w:rsidRDefault="009E6251">
      <w:pPr>
        <w:spacing w:after="160"/>
        <w:jc w:val="center"/>
      </w:pPr>
      <w:r>
        <w:rPr>
          <w:rFonts w:eastAsia="Calibri"/>
          <w:b/>
          <w:bCs/>
          <w:color w:val="1A2C4E"/>
          <w:sz w:val="36"/>
          <w:szCs w:val="36"/>
        </w:rPr>
        <w:t>Longitudinal Urinary Metabolomics in Preterm Infants Associated with Gestational Age and BPD Severity from 6 Months to 2 Years of Age</w:t>
      </w:r>
    </w:p>
    <w:p w:rsidR="00EA3AED" w:rsidRDefault="009E6251">
      <w:pPr>
        <w:spacing w:after="80"/>
        <w:jc w:val="center"/>
      </w:pPr>
      <w:proofErr w:type="spellStart"/>
      <w:r>
        <w:rPr>
          <w:rFonts w:eastAsia="Calibri"/>
        </w:rPr>
        <w:t>Meng</w:t>
      </w:r>
      <w:proofErr w:type="spellEnd"/>
      <w:r>
        <w:rPr>
          <w:rFonts w:eastAsia="Calibri"/>
        </w:rPr>
        <w:t>-Han Chiang</w:t>
      </w:r>
      <w:proofErr w:type="gramStart"/>
      <w:r>
        <w:rPr>
          <w:rFonts w:eastAsia="Calibri"/>
          <w:vertAlign w:val="superscript"/>
        </w:rPr>
        <w:t>¹</w:t>
      </w:r>
      <w:r>
        <w:rPr>
          <w:rFonts w:eastAsia="Calibri"/>
        </w:rPr>
        <w:t xml:space="preserve">  |</w:t>
      </w:r>
      <w:proofErr w:type="gramEnd"/>
      <w:r>
        <w:rPr>
          <w:rFonts w:eastAsia="Calibri"/>
        </w:rPr>
        <w:t xml:space="preserve">  </w:t>
      </w:r>
      <w:proofErr w:type="spellStart"/>
      <w:r>
        <w:rPr>
          <w:rFonts w:eastAsia="Calibri"/>
        </w:rPr>
        <w:t>Chih</w:t>
      </w:r>
      <w:proofErr w:type="spellEnd"/>
      <w:r>
        <w:rPr>
          <w:rFonts w:eastAsia="Calibri"/>
        </w:rPr>
        <w:t>-Yung Chiu</w:t>
      </w:r>
      <w:r>
        <w:rPr>
          <w:rFonts w:eastAsia="Calibri"/>
          <w:vertAlign w:val="superscript"/>
        </w:rPr>
        <w:t>¹²*</w:t>
      </w:r>
    </w:p>
    <w:p w:rsidR="00EA3AED" w:rsidRDefault="009E6251">
      <w:pPr>
        <w:spacing w:after="80"/>
        <w:jc w:val="center"/>
      </w:pPr>
      <w:r>
        <w:rPr>
          <w:rFonts w:eastAsia="Calibri"/>
          <w:i/>
          <w:iCs/>
        </w:rPr>
        <w:t>¹</w:t>
      </w:r>
      <w:r w:rsidR="00585FA5">
        <w:rPr>
          <w:rFonts w:asciiTheme="minorEastAsia" w:hAnsiTheme="minorEastAsia"/>
          <w:i/>
          <w:iCs/>
        </w:rPr>
        <w:t>Multi-</w:t>
      </w:r>
      <w:proofErr w:type="gramStart"/>
      <w:r w:rsidR="00585FA5">
        <w:rPr>
          <w:rFonts w:asciiTheme="minorEastAsia" w:hAnsiTheme="minorEastAsia"/>
          <w:i/>
          <w:iCs/>
        </w:rPr>
        <w:t>omics</w:t>
      </w:r>
      <w:proofErr w:type="gramEnd"/>
      <w:r>
        <w:rPr>
          <w:rFonts w:eastAsia="Calibri"/>
          <w:i/>
          <w:iCs/>
        </w:rPr>
        <w:t xml:space="preserve"> Core Laboratory, Chang Gung Memorial Hospital at </w:t>
      </w:r>
      <w:proofErr w:type="spellStart"/>
      <w:r>
        <w:rPr>
          <w:rFonts w:eastAsia="Calibri"/>
          <w:i/>
          <w:iCs/>
        </w:rPr>
        <w:t>Linkou</w:t>
      </w:r>
      <w:proofErr w:type="spellEnd"/>
      <w:r>
        <w:rPr>
          <w:rFonts w:eastAsia="Calibri"/>
          <w:i/>
          <w:iCs/>
        </w:rPr>
        <w:t>, Taoyuan, Taiwan</w:t>
      </w:r>
    </w:p>
    <w:p w:rsidR="00EA3AED" w:rsidRDefault="009E6251">
      <w:pPr>
        <w:spacing w:after="240"/>
        <w:jc w:val="center"/>
      </w:pPr>
      <w:r>
        <w:rPr>
          <w:rFonts w:eastAsia="Calibri"/>
          <w:i/>
          <w:iCs/>
        </w:rPr>
        <w:t xml:space="preserve">²Division of Pediatric Pulmonology, Department of Pediatrics, Chang Gung Memorial Hospital at </w:t>
      </w:r>
      <w:proofErr w:type="spellStart"/>
      <w:r>
        <w:rPr>
          <w:rFonts w:eastAsia="Calibri"/>
          <w:i/>
          <w:iCs/>
        </w:rPr>
        <w:t>Linkou</w:t>
      </w:r>
      <w:proofErr w:type="spellEnd"/>
      <w:r>
        <w:rPr>
          <w:rFonts w:eastAsia="Calibri"/>
          <w:i/>
          <w:iCs/>
        </w:rPr>
        <w:t>, and Chang Gung University, Taoyuan, Taiwan</w:t>
      </w:r>
    </w:p>
    <w:p w:rsidR="00EA3AED" w:rsidRDefault="009E6251">
      <w:pPr>
        <w:pBdr>
          <w:bottom w:val="single" w:sz="6" w:space="0" w:color="2A7F7F"/>
        </w:pBdr>
        <w:spacing w:after="360"/>
        <w:jc w:val="center"/>
      </w:pPr>
      <w:r>
        <w:rPr>
          <w:rFonts w:eastAsia="Calibri"/>
          <w:i/>
          <w:iCs/>
          <w:color w:val="555555"/>
        </w:rPr>
        <w:t xml:space="preserve">*Corresponding </w:t>
      </w:r>
      <w:r>
        <w:rPr>
          <w:rFonts w:eastAsia="Calibri"/>
          <w:i/>
          <w:iCs/>
          <w:color w:val="555555"/>
        </w:rPr>
        <w:t>author: pedchestIC@gmail.com</w:t>
      </w:r>
    </w:p>
    <w:p w:rsidR="00EA3AED" w:rsidRDefault="009E6251">
      <w:pPr>
        <w:pStyle w:val="1"/>
      </w:pPr>
      <w:r>
        <w:rPr>
          <w:color w:val="1A2C4E"/>
        </w:rPr>
        <w:t>1. Introduction</w:t>
      </w:r>
    </w:p>
    <w:p w:rsidR="001A4652" w:rsidRDefault="001A4652">
      <w:pPr>
        <w:pStyle w:val="1"/>
        <w:rPr>
          <w:rFonts w:ascii="Segoe UI" w:eastAsiaTheme="minorEastAsia" w:hAnsi="Segoe UI" w:cs="Segoe UI"/>
          <w:b w:val="0"/>
          <w:bCs w:val="0"/>
          <w:color w:val="141413"/>
          <w:sz w:val="23"/>
          <w:szCs w:val="23"/>
          <w:shd w:val="clear" w:color="auto" w:fill="F5F4ED"/>
        </w:rPr>
      </w:pPr>
      <w:r w:rsidRPr="001A4652">
        <w:rPr>
          <w:rFonts w:ascii="Segoe UI" w:eastAsiaTheme="minorEastAsia" w:hAnsi="Segoe UI" w:cs="Segoe UI"/>
          <w:b w:val="0"/>
          <w:bCs w:val="0"/>
          <w:color w:val="141413"/>
          <w:sz w:val="23"/>
          <w:szCs w:val="23"/>
          <w:shd w:val="clear" w:color="auto" w:fill="F5F4ED"/>
        </w:rPr>
        <w:t xml:space="preserve">Bronchopulmonary dysplasia (BPD) is a chronic lung disease predominantly affecting preterm infants who require mechanical ventilation or supplemental oxygen therapy. Despite clinical improvement in pulmonary function within the first two years of corrected age, the longitudinal trajectory of urinary metabolic alterations — and their associations with gestational age (GA) and BPD severity — remains insufficiently characterized. The aim of this study was to identify urinary </w:t>
      </w:r>
      <w:proofErr w:type="spellStart"/>
      <w:r w:rsidRPr="001A4652">
        <w:rPr>
          <w:rFonts w:ascii="Segoe UI" w:eastAsiaTheme="minorEastAsia" w:hAnsi="Segoe UI" w:cs="Segoe UI"/>
          <w:b w:val="0"/>
          <w:bCs w:val="0"/>
          <w:color w:val="141413"/>
          <w:sz w:val="23"/>
          <w:szCs w:val="23"/>
          <w:shd w:val="clear" w:color="auto" w:fill="F5F4ED"/>
        </w:rPr>
        <w:t>metabolomic</w:t>
      </w:r>
      <w:proofErr w:type="spellEnd"/>
      <w:r w:rsidRPr="001A4652">
        <w:rPr>
          <w:rFonts w:ascii="Segoe UI" w:eastAsiaTheme="minorEastAsia" w:hAnsi="Segoe UI" w:cs="Segoe UI"/>
          <w:b w:val="0"/>
          <w:bCs w:val="0"/>
          <w:color w:val="141413"/>
          <w:sz w:val="23"/>
          <w:szCs w:val="23"/>
          <w:shd w:val="clear" w:color="auto" w:fill="F5F4ED"/>
        </w:rPr>
        <w:t xml:space="preserve"> profiles at 6 months and 2 years of corrected age across GA and BPD severity groups using ¹H-nuclear magnetic resonance (¹H-NMR) spectroscopy.</w:t>
      </w:r>
    </w:p>
    <w:p w:rsidR="00EA3AED" w:rsidRDefault="009E6251">
      <w:pPr>
        <w:pStyle w:val="1"/>
      </w:pPr>
      <w:r>
        <w:rPr>
          <w:color w:val="1A2C4E"/>
        </w:rPr>
        <w:t>2. Meth</w:t>
      </w:r>
      <w:r>
        <w:rPr>
          <w:color w:val="1A2C4E"/>
        </w:rPr>
        <w:t>ods</w:t>
      </w:r>
    </w:p>
    <w:p w:rsidR="00EA3AED" w:rsidRDefault="009E6251">
      <w:pPr>
        <w:pStyle w:val="2"/>
      </w:pPr>
      <w:r>
        <w:rPr>
          <w:color w:val="2A7F7F"/>
        </w:rPr>
        <w:t>2.1 Study Population</w:t>
      </w:r>
    </w:p>
    <w:p w:rsidR="00EA3AED" w:rsidRDefault="009E6251">
      <w:pPr>
        <w:spacing w:after="160" w:line="360" w:lineRule="auto"/>
      </w:pPr>
      <w:r>
        <w:rPr>
          <w:rFonts w:eastAsia="Calibri"/>
        </w:rPr>
        <w:t xml:space="preserve">Preterm infants less than 32 weeks of gestation and full-term infants greater than 37 weeks of gestation were prospectively enrolled. BPD was diagnosed based on the </w:t>
      </w:r>
      <w:r>
        <w:rPr>
          <w:rFonts w:eastAsia="Calibri"/>
          <w:b/>
          <w:bCs/>
        </w:rPr>
        <w:t xml:space="preserve">2019 revision of the National Institute of Child Health and Human </w:t>
      </w:r>
      <w:r>
        <w:rPr>
          <w:rFonts w:eastAsia="Calibri"/>
          <w:b/>
          <w:bCs/>
        </w:rPr>
        <w:t>Development (NICHD) criteria</w:t>
      </w:r>
      <w:r>
        <w:rPr>
          <w:rFonts w:eastAsia="Calibri"/>
        </w:rPr>
        <w:t>, defined as requirement of oxygen supplementation either at 28 days of postnatal age or 36 weeks of postmenstrual age (PMA).</w:t>
      </w:r>
    </w:p>
    <w:p w:rsidR="00EA3AED" w:rsidRDefault="009E6251">
      <w:pPr>
        <w:spacing w:after="160" w:line="360" w:lineRule="auto"/>
      </w:pPr>
      <w:r>
        <w:rPr>
          <w:rFonts w:eastAsia="Calibri"/>
        </w:rPr>
        <w:t xml:space="preserve">A total of 254 urine samples were analyzed at two </w:t>
      </w:r>
      <w:proofErr w:type="spellStart"/>
      <w:r>
        <w:rPr>
          <w:rFonts w:eastAsia="Calibri"/>
        </w:rPr>
        <w:t>timepoints</w:t>
      </w:r>
      <w:proofErr w:type="spellEnd"/>
      <w:r>
        <w:rPr>
          <w:rFonts w:eastAsia="Calibri"/>
        </w:rPr>
        <w:t>: corrected age 6 months (6M, n = 139) and</w:t>
      </w:r>
      <w:r>
        <w:rPr>
          <w:rFonts w:eastAsia="Calibri"/>
        </w:rPr>
        <w:t xml:space="preserve"> 2 years (2Y, n = 115). </w:t>
      </w:r>
    </w:p>
    <w:p w:rsidR="00EA3AED" w:rsidRDefault="009E6251">
      <w:pPr>
        <w:pStyle w:val="2"/>
      </w:pPr>
      <w:r>
        <w:rPr>
          <w:color w:val="2A7F7F"/>
        </w:rPr>
        <w:t>2.2 Stratification</w:t>
      </w:r>
    </w:p>
    <w:p w:rsidR="00EA3AED" w:rsidRDefault="009E6251">
      <w:pPr>
        <w:spacing w:after="160" w:line="360" w:lineRule="auto"/>
      </w:pPr>
      <w:r>
        <w:rPr>
          <w:rFonts w:eastAsia="Calibri"/>
        </w:rPr>
        <w:t>Infants were stratified by two independent grouping variables:</w:t>
      </w:r>
    </w:p>
    <w:p w:rsidR="00EA3AED" w:rsidRDefault="009E6251">
      <w:pPr>
        <w:pStyle w:val="a4"/>
        <w:numPr>
          <w:ilvl w:val="0"/>
          <w:numId w:val="2"/>
        </w:numPr>
        <w:spacing w:after="80" w:line="320" w:lineRule="auto"/>
      </w:pPr>
      <w:r>
        <w:rPr>
          <w:rFonts w:eastAsia="Calibri"/>
          <w:b/>
          <w:bCs/>
        </w:rPr>
        <w:t xml:space="preserve">Gestational Age (GA): </w:t>
      </w:r>
      <w:r>
        <w:rPr>
          <w:rFonts w:eastAsia="Calibri"/>
        </w:rPr>
        <w:t>≥37 wee</w:t>
      </w:r>
      <w:r>
        <w:rPr>
          <w:rFonts w:eastAsia="Calibri"/>
        </w:rPr>
        <w:t>ks (full-term controls), 28–32 weeks, and &lt;28 weeks</w:t>
      </w:r>
    </w:p>
    <w:p w:rsidR="00EA3AED" w:rsidRDefault="009E6251">
      <w:pPr>
        <w:pStyle w:val="a4"/>
        <w:numPr>
          <w:ilvl w:val="0"/>
          <w:numId w:val="2"/>
        </w:numPr>
        <w:spacing w:after="80" w:line="320" w:lineRule="auto"/>
      </w:pPr>
      <w:r>
        <w:rPr>
          <w:rFonts w:eastAsia="Calibri"/>
          <w:b/>
          <w:bCs/>
        </w:rPr>
        <w:lastRenderedPageBreak/>
        <w:t xml:space="preserve">BPD Severity: </w:t>
      </w:r>
      <w:r>
        <w:rPr>
          <w:rFonts w:eastAsia="Calibri"/>
        </w:rPr>
        <w:t>Healthy controls (HC, full-term without BPD), no or mild BPD (</w:t>
      </w:r>
      <w:proofErr w:type="spellStart"/>
      <w:r>
        <w:rPr>
          <w:rFonts w:eastAsia="Calibri"/>
        </w:rPr>
        <w:t>No+Mild</w:t>
      </w:r>
      <w:proofErr w:type="spellEnd"/>
      <w:r>
        <w:rPr>
          <w:rFonts w:eastAsia="Calibri"/>
        </w:rPr>
        <w:t xml:space="preserve"> BPD), and moderate or severe BPD (M+S BPD)</w:t>
      </w:r>
    </w:p>
    <w:p w:rsidR="00EA3AED" w:rsidRDefault="00EA3AED">
      <w:pPr>
        <w:spacing w:after="80"/>
      </w:pPr>
    </w:p>
    <w:p w:rsidR="00EA3AED" w:rsidRDefault="009E6251">
      <w:pPr>
        <w:pStyle w:val="2"/>
      </w:pPr>
      <w:r>
        <w:rPr>
          <w:color w:val="2A7F7F"/>
        </w:rPr>
        <w:t>2.3 Urine Collection and ¹H-NMR Spectroscopy</w:t>
      </w:r>
    </w:p>
    <w:p w:rsidR="00EA3AED" w:rsidRDefault="009E6251">
      <w:pPr>
        <w:spacing w:after="160" w:line="360" w:lineRule="auto"/>
      </w:pPr>
      <w:r>
        <w:rPr>
          <w:rFonts w:eastAsia="Calibri"/>
        </w:rPr>
        <w:t xml:space="preserve">Spot urine samples were collected at each </w:t>
      </w:r>
      <w:proofErr w:type="spellStart"/>
      <w:r>
        <w:rPr>
          <w:rFonts w:eastAsia="Calibri"/>
        </w:rPr>
        <w:t>timepoint</w:t>
      </w:r>
      <w:proofErr w:type="spellEnd"/>
      <w:r>
        <w:rPr>
          <w:rFonts w:eastAsia="Calibri"/>
        </w:rPr>
        <w:t xml:space="preserve">. Raw ¹H-NMR spectra were imported into </w:t>
      </w:r>
      <w:proofErr w:type="spellStart"/>
      <w:r>
        <w:rPr>
          <w:rFonts w:eastAsia="Calibri"/>
        </w:rPr>
        <w:t>NMRProcFlow</w:t>
      </w:r>
      <w:proofErr w:type="spellEnd"/>
      <w:r>
        <w:rPr>
          <w:rFonts w:eastAsia="Calibri"/>
        </w:rPr>
        <w:t xml:space="preserve"> for preprocessing. Parametric time warping and least-squares algorithms were applied for spectral alignment. Variable-size intelligent bucketing was perf</w:t>
      </w:r>
      <w:r>
        <w:rPr>
          <w:rFonts w:eastAsia="Calibri"/>
        </w:rPr>
        <w:t xml:space="preserve">ormed for spectral analysis. Metabolites were identified using </w:t>
      </w:r>
      <w:proofErr w:type="spellStart"/>
      <w:r>
        <w:rPr>
          <w:rFonts w:eastAsia="Calibri"/>
        </w:rPr>
        <w:t>Chenomx</w:t>
      </w:r>
      <w:proofErr w:type="spellEnd"/>
      <w:r>
        <w:rPr>
          <w:rFonts w:eastAsia="Calibri"/>
        </w:rPr>
        <w:t xml:space="preserve"> NMR Suite 8.1 software (</w:t>
      </w:r>
      <w:proofErr w:type="spellStart"/>
      <w:r>
        <w:rPr>
          <w:rFonts w:eastAsia="Calibri"/>
        </w:rPr>
        <w:t>Chenomx</w:t>
      </w:r>
      <w:proofErr w:type="spellEnd"/>
      <w:r>
        <w:rPr>
          <w:rFonts w:eastAsia="Calibri"/>
        </w:rPr>
        <w:t xml:space="preserve"> Inc., Edmonton AB, Canada). All metabolite intensities were normalized to urinary creatinine concentration.</w:t>
      </w:r>
    </w:p>
    <w:p w:rsidR="00EA3AED" w:rsidRDefault="00EA3AED">
      <w:pPr>
        <w:spacing w:after="80"/>
      </w:pPr>
    </w:p>
    <w:p w:rsidR="00EA3AED" w:rsidRDefault="009E6251">
      <w:pPr>
        <w:pStyle w:val="1"/>
      </w:pPr>
      <w:r>
        <w:rPr>
          <w:color w:val="1A2C4E"/>
        </w:rPr>
        <w:t>3. Results</w:t>
      </w:r>
    </w:p>
    <w:p w:rsidR="00EA3AED" w:rsidRDefault="009E6251">
      <w:pPr>
        <w:pStyle w:val="2"/>
      </w:pPr>
      <w:r>
        <w:rPr>
          <w:color w:val="2A7F7F"/>
        </w:rPr>
        <w:t>3.1 Population Characteristics</w:t>
      </w:r>
    </w:p>
    <w:p w:rsidR="00EA3AED" w:rsidRDefault="001A4652">
      <w:pPr>
        <w:spacing w:after="160" w:line="360" w:lineRule="auto"/>
      </w:pPr>
      <w:r>
        <w:rPr>
          <w:rFonts w:eastAsia="Calibri"/>
        </w:rPr>
        <w:t>The</w:t>
      </w:r>
      <w:r w:rsidR="009E6251">
        <w:rPr>
          <w:rFonts w:eastAsia="Calibri"/>
        </w:rPr>
        <w:t xml:space="preserve"> cohort consisted of </w:t>
      </w:r>
      <w:r w:rsidR="009E6251">
        <w:rPr>
          <w:rFonts w:eastAsia="Calibri"/>
          <w:b/>
          <w:bCs/>
        </w:rPr>
        <w:t>140 infants</w:t>
      </w:r>
      <w:r w:rsidR="009E6251">
        <w:rPr>
          <w:rFonts w:eastAsia="Calibri"/>
        </w:rPr>
        <w:t xml:space="preserve"> with </w:t>
      </w:r>
      <w:r w:rsidR="009E6251">
        <w:rPr>
          <w:rFonts w:eastAsia="Calibri"/>
        </w:rPr>
        <w:t>urine samples at both 6M and 2Y.</w:t>
      </w:r>
      <w:r>
        <w:rPr>
          <w:rFonts w:eastAsia="Calibri"/>
        </w:rPr>
        <w:t xml:space="preserve"> </w:t>
      </w:r>
      <w:r w:rsidR="009E6251">
        <w:rPr>
          <w:rFonts w:eastAsia="Calibri"/>
        </w:rPr>
        <w:t xml:space="preserve">As expected, gestational age, birth body weight, body weight, body height, BMI, and sepsis history were all significantly different across GA groups and BPD severity groups at both </w:t>
      </w:r>
      <w:proofErr w:type="spellStart"/>
      <w:r w:rsidR="009E6251">
        <w:rPr>
          <w:rFonts w:eastAsia="Calibri"/>
        </w:rPr>
        <w:t>timepoints</w:t>
      </w:r>
      <w:proofErr w:type="spellEnd"/>
      <w:r w:rsidR="009E6251">
        <w:rPr>
          <w:rFonts w:eastAsia="Calibri"/>
        </w:rPr>
        <w:t xml:space="preserve"> (P &lt; 0.05). Detailed population characteristics are presented in</w:t>
      </w:r>
      <w:r w:rsidR="009E6251">
        <w:rPr>
          <w:rFonts w:eastAsia="Calibri"/>
        </w:rPr>
        <w:t xml:space="preserve"> </w:t>
      </w:r>
      <w:r w:rsidR="009E6251">
        <w:rPr>
          <w:rFonts w:eastAsia="Calibri"/>
          <w:b/>
          <w:bCs/>
        </w:rPr>
        <w:t>Table 1</w:t>
      </w:r>
      <w:r w:rsidR="009E6251">
        <w:rPr>
          <w:rFonts w:eastAsia="Calibri"/>
        </w:rPr>
        <w:t>.</w:t>
      </w:r>
    </w:p>
    <w:p w:rsidR="00EA3AED" w:rsidRDefault="009E6251">
      <w:pPr>
        <w:pStyle w:val="2"/>
      </w:pPr>
      <w:r>
        <w:rPr>
          <w:color w:val="2A7F7F"/>
        </w:rPr>
        <w:t>3.2 Differentially Expressed Metabolites</w:t>
      </w:r>
    </w:p>
    <w:p w:rsidR="00C025DC" w:rsidRDefault="00C025DC">
      <w:pPr>
        <w:pStyle w:val="2"/>
        <w:rPr>
          <w:rFonts w:ascii="Segoe UI" w:hAnsi="Segoe UI" w:cs="Segoe UI"/>
          <w:color w:val="141413"/>
          <w:sz w:val="23"/>
          <w:szCs w:val="23"/>
          <w:shd w:val="clear" w:color="auto" w:fill="F5F4ED"/>
        </w:rPr>
      </w:pPr>
      <w:r>
        <w:rPr>
          <w:rFonts w:ascii="Segoe UI" w:hAnsi="Segoe UI" w:cs="Segoe UI"/>
          <w:color w:val="141413"/>
          <w:sz w:val="23"/>
          <w:szCs w:val="23"/>
          <w:shd w:val="clear" w:color="auto" w:fill="F5F4ED"/>
        </w:rPr>
        <w:t xml:space="preserve">Sixteen and 18 urinary metabolites were significantly associated with GA, and 30 and 12 with BPD severity, at 6M and 2Y respectively (P &lt; 0.05). At 6M, 3-MOV, 4-hydroxyphenylacetate, </w:t>
      </w:r>
      <w:proofErr w:type="spellStart"/>
      <w:r>
        <w:rPr>
          <w:rFonts w:ascii="Segoe UI" w:hAnsi="Segoe UI" w:cs="Segoe UI"/>
          <w:color w:val="141413"/>
          <w:sz w:val="23"/>
          <w:szCs w:val="23"/>
          <w:shd w:val="clear" w:color="auto" w:fill="F5F4ED"/>
        </w:rPr>
        <w:t>indoxyl</w:t>
      </w:r>
      <w:proofErr w:type="spellEnd"/>
      <w:r>
        <w:rPr>
          <w:rFonts w:ascii="Segoe UI" w:hAnsi="Segoe UI" w:cs="Segoe UI"/>
          <w:color w:val="141413"/>
          <w:sz w:val="23"/>
          <w:szCs w:val="23"/>
          <w:shd w:val="clear" w:color="auto" w:fill="F5F4ED"/>
        </w:rPr>
        <w:t xml:space="preserve"> sulfate, and N-PAG were significantly elevated in GA &lt; 28 weeks and M+S BPD vs. full-term infants and HC (P &lt; 0.001). At 2Y, N-PAG and </w:t>
      </w:r>
      <w:proofErr w:type="spellStart"/>
      <w:r>
        <w:rPr>
          <w:rFonts w:ascii="Segoe UI" w:hAnsi="Segoe UI" w:cs="Segoe UI"/>
          <w:color w:val="141413"/>
          <w:sz w:val="23"/>
          <w:szCs w:val="23"/>
          <w:shd w:val="clear" w:color="auto" w:fill="F5F4ED"/>
        </w:rPr>
        <w:t>indoxyl</w:t>
      </w:r>
      <w:proofErr w:type="spellEnd"/>
      <w:r>
        <w:rPr>
          <w:rFonts w:ascii="Segoe UI" w:hAnsi="Segoe UI" w:cs="Segoe UI"/>
          <w:color w:val="141413"/>
          <w:sz w:val="23"/>
          <w:szCs w:val="23"/>
          <w:shd w:val="clear" w:color="auto" w:fill="F5F4ED"/>
        </w:rPr>
        <w:t xml:space="preserve"> sulfate remained elevated with higher fold changes; succinate, glutamine, and 3-MOV further differentiated severity groups. Notably, all GA-significant metabolites at 6M were also BPD-significant, indicating a shared metabolic signature of prematurity and lung disease at this </w:t>
      </w:r>
      <w:proofErr w:type="spellStart"/>
      <w:r>
        <w:rPr>
          <w:rFonts w:ascii="Segoe UI" w:hAnsi="Segoe UI" w:cs="Segoe UI"/>
          <w:color w:val="141413"/>
          <w:sz w:val="23"/>
          <w:szCs w:val="23"/>
          <w:shd w:val="clear" w:color="auto" w:fill="F5F4ED"/>
        </w:rPr>
        <w:t>timepoint</w:t>
      </w:r>
      <w:proofErr w:type="spellEnd"/>
      <w:r>
        <w:rPr>
          <w:rFonts w:ascii="Segoe UI" w:hAnsi="Segoe UI" w:cs="Segoe UI"/>
          <w:color w:val="141413"/>
          <w:sz w:val="23"/>
          <w:szCs w:val="23"/>
          <w:shd w:val="clear" w:color="auto" w:fill="F5F4ED"/>
        </w:rPr>
        <w:t>.</w:t>
      </w:r>
    </w:p>
    <w:p w:rsidR="00EA3AED" w:rsidRDefault="009E6251">
      <w:pPr>
        <w:pStyle w:val="2"/>
      </w:pPr>
      <w:r>
        <w:rPr>
          <w:color w:val="2A7F7F"/>
        </w:rPr>
        <w:t>3.3 Metabolic Pathway Analysis</w:t>
      </w:r>
    </w:p>
    <w:p w:rsidR="00EA3AED" w:rsidRDefault="00C025DC">
      <w:pPr>
        <w:spacing w:after="80"/>
      </w:pPr>
      <w:r>
        <w:rPr>
          <w:rFonts w:ascii="Segoe UI" w:hAnsi="Segoe UI" w:cs="Segoe UI"/>
          <w:color w:val="141413"/>
          <w:sz w:val="23"/>
          <w:szCs w:val="23"/>
          <w:shd w:val="clear" w:color="auto" w:fill="F5F4ED"/>
        </w:rPr>
        <w:t xml:space="preserve">At 6M, the BPD-only group showed the most robust pathway enrichment, with alanine, aspartate and glutamate metabolism (FDR = 0.001) and </w:t>
      </w:r>
      <w:proofErr w:type="spellStart"/>
      <w:r>
        <w:rPr>
          <w:rFonts w:ascii="Segoe UI" w:hAnsi="Segoe UI" w:cs="Segoe UI"/>
          <w:color w:val="141413"/>
          <w:sz w:val="23"/>
          <w:szCs w:val="23"/>
          <w:shd w:val="clear" w:color="auto" w:fill="F5F4ED"/>
        </w:rPr>
        <w:t>glyoxylate</w:t>
      </w:r>
      <w:proofErr w:type="spellEnd"/>
      <w:r>
        <w:rPr>
          <w:rFonts w:ascii="Segoe UI" w:hAnsi="Segoe UI" w:cs="Segoe UI"/>
          <w:color w:val="141413"/>
          <w:sz w:val="23"/>
          <w:szCs w:val="23"/>
          <w:shd w:val="clear" w:color="auto" w:fill="F5F4ED"/>
        </w:rPr>
        <w:t xml:space="preserve"> and </w:t>
      </w:r>
      <w:proofErr w:type="spellStart"/>
      <w:r>
        <w:rPr>
          <w:rFonts w:ascii="Segoe UI" w:hAnsi="Segoe UI" w:cs="Segoe UI"/>
          <w:color w:val="141413"/>
          <w:sz w:val="23"/>
          <w:szCs w:val="23"/>
          <w:shd w:val="clear" w:color="auto" w:fill="F5F4ED"/>
        </w:rPr>
        <w:t>dicarboxylate</w:t>
      </w:r>
      <w:proofErr w:type="spellEnd"/>
      <w:r>
        <w:rPr>
          <w:rFonts w:ascii="Segoe UI" w:hAnsi="Segoe UI" w:cs="Segoe UI"/>
          <w:color w:val="141413"/>
          <w:sz w:val="23"/>
          <w:szCs w:val="23"/>
          <w:shd w:val="clear" w:color="auto" w:fill="F5F4ED"/>
        </w:rPr>
        <w:t xml:space="preserve"> metabolism (FDR = 0.023) reaching FDR significance. The shared GA+BPD group additionally implicated valine, leucine and isoleucine biosynthesis (P = 0.001), reflecting the 3-MOV signal observed across both groupings. At 2Y, alanine/aspartate/glutamate and </w:t>
      </w:r>
      <w:proofErr w:type="spellStart"/>
      <w:r>
        <w:rPr>
          <w:rFonts w:ascii="Segoe UI" w:hAnsi="Segoe UI" w:cs="Segoe UI"/>
          <w:color w:val="141413"/>
          <w:sz w:val="23"/>
          <w:szCs w:val="23"/>
          <w:shd w:val="clear" w:color="auto" w:fill="F5F4ED"/>
        </w:rPr>
        <w:t>glyoxylate</w:t>
      </w:r>
      <w:proofErr w:type="spellEnd"/>
      <w:r>
        <w:rPr>
          <w:rFonts w:ascii="Segoe UI" w:hAnsi="Segoe UI" w:cs="Segoe UI"/>
          <w:color w:val="141413"/>
          <w:sz w:val="23"/>
          <w:szCs w:val="23"/>
          <w:shd w:val="clear" w:color="auto" w:fill="F5F4ED"/>
        </w:rPr>
        <w:t>/</w:t>
      </w:r>
      <w:proofErr w:type="spellStart"/>
      <w:r>
        <w:rPr>
          <w:rFonts w:ascii="Segoe UI" w:hAnsi="Segoe UI" w:cs="Segoe UI"/>
          <w:color w:val="141413"/>
          <w:sz w:val="23"/>
          <w:szCs w:val="23"/>
          <w:shd w:val="clear" w:color="auto" w:fill="F5F4ED"/>
        </w:rPr>
        <w:t>dicarboxylate</w:t>
      </w:r>
      <w:proofErr w:type="spellEnd"/>
      <w:r>
        <w:rPr>
          <w:rFonts w:ascii="Segoe UI" w:hAnsi="Segoe UI" w:cs="Segoe UI"/>
          <w:color w:val="141413"/>
          <w:sz w:val="23"/>
          <w:szCs w:val="23"/>
          <w:shd w:val="clear" w:color="auto" w:fill="F5F4ED"/>
        </w:rPr>
        <w:t xml:space="preserve"> metabolism remained enriched in the GA+BPD group (P = 0.004–</w:t>
      </w:r>
      <w:r>
        <w:rPr>
          <w:rFonts w:ascii="Segoe UI" w:hAnsi="Segoe UI" w:cs="Segoe UI"/>
          <w:color w:val="141413"/>
          <w:sz w:val="23"/>
          <w:szCs w:val="23"/>
          <w:shd w:val="clear" w:color="auto" w:fill="F5F4ED"/>
        </w:rPr>
        <w:lastRenderedPageBreak/>
        <w:t>0.006), indicating persistent amino acid and carbohydrate metabolic disruption. GA-specific findings at 2Y were limited to tyrosine and taurine metabolism, neither reaching FDR significance.</w:t>
      </w:r>
    </w:p>
    <w:p w:rsidR="00EA3AED" w:rsidRDefault="009E6251">
      <w:pPr>
        <w:pStyle w:val="1"/>
      </w:pPr>
      <w:r>
        <w:rPr>
          <w:color w:val="1A2C4E"/>
        </w:rPr>
        <w:t>4. Key Findings</w:t>
      </w:r>
    </w:p>
    <w:p w:rsidR="00CD61D0" w:rsidRPr="00CD61D0" w:rsidRDefault="00CD61D0" w:rsidP="00CD61D0">
      <w:pPr>
        <w:widowControl/>
        <w:rPr>
          <w:rFonts w:ascii="Segoe UI" w:eastAsia="新細明體" w:hAnsi="Segoe UI" w:cs="Segoe UI"/>
          <w:color w:val="185FA5"/>
          <w:sz w:val="18"/>
          <w:szCs w:val="18"/>
        </w:rPr>
      </w:pPr>
      <w:r w:rsidRPr="00CD61D0">
        <w:rPr>
          <w:rFonts w:ascii="Segoe UI" w:eastAsia="新細明體" w:hAnsi="Segoe UI" w:cs="Segoe UI"/>
          <w:color w:val="185FA5"/>
          <w:sz w:val="18"/>
          <w:szCs w:val="18"/>
        </w:rPr>
        <w:t>Finding 1 — Expanding BPD metabolic burden</w:t>
      </w:r>
    </w:p>
    <w:p w:rsidR="00CD61D0" w:rsidRPr="00CD61D0" w:rsidRDefault="00CD61D0" w:rsidP="00CD61D0">
      <w:pPr>
        <w:widowControl/>
        <w:rPr>
          <w:rFonts w:ascii="Segoe UI" w:eastAsia="新細明體" w:hAnsi="Segoe UI" w:cs="Segoe UI"/>
          <w:color w:val="141413"/>
          <w:sz w:val="21"/>
          <w:szCs w:val="21"/>
        </w:rPr>
      </w:pPr>
      <w:r w:rsidRPr="00CD61D0">
        <w:rPr>
          <w:rFonts w:ascii="Segoe UI" w:eastAsia="新細明體" w:hAnsi="Segoe UI" w:cs="Segoe UI"/>
          <w:color w:val="141413"/>
          <w:sz w:val="21"/>
          <w:szCs w:val="21"/>
        </w:rPr>
        <w:t>Sixteen and 18 urinary metabolites were significantly associated with GA, and 30 and 12 with BPD severity, at 6M and 2Y respectively (P &lt; 0.05). The marked contraction of BPD-associated metabolites from 6M to 2Y alongside GA expansion suggests a shifting metabolic landscape despite clinical symptom improvement.</w:t>
      </w:r>
    </w:p>
    <w:p w:rsidR="00CD61D0" w:rsidRPr="00CD61D0" w:rsidRDefault="00CD61D0" w:rsidP="00CD61D0">
      <w:pPr>
        <w:widowControl/>
        <w:rPr>
          <w:rFonts w:ascii="Segoe UI" w:eastAsia="新細明體" w:hAnsi="Segoe UI" w:cs="Segoe UI"/>
          <w:color w:val="0F6E56"/>
          <w:sz w:val="18"/>
          <w:szCs w:val="18"/>
        </w:rPr>
      </w:pPr>
      <w:r w:rsidRPr="00CD61D0">
        <w:rPr>
          <w:rFonts w:ascii="Segoe UI" w:eastAsia="新細明體" w:hAnsi="Segoe UI" w:cs="Segoe UI"/>
          <w:color w:val="0F6E56"/>
          <w:sz w:val="18"/>
          <w:szCs w:val="18"/>
        </w:rPr>
        <w:t>Finding 2 — Gut microbiome-derived metabolites at 6M</w:t>
      </w:r>
    </w:p>
    <w:p w:rsidR="00CD61D0" w:rsidRPr="00CD61D0" w:rsidRDefault="00CD61D0" w:rsidP="00CD61D0">
      <w:pPr>
        <w:widowControl/>
        <w:rPr>
          <w:rFonts w:ascii="Segoe UI" w:eastAsia="新細明體" w:hAnsi="Segoe UI" w:cs="Segoe UI"/>
          <w:color w:val="141413"/>
          <w:sz w:val="21"/>
          <w:szCs w:val="21"/>
        </w:rPr>
      </w:pPr>
      <w:r w:rsidRPr="00CD61D0">
        <w:rPr>
          <w:rFonts w:ascii="Segoe UI" w:eastAsia="新細明體" w:hAnsi="Segoe UI" w:cs="Segoe UI"/>
          <w:color w:val="141413"/>
          <w:sz w:val="21"/>
          <w:szCs w:val="21"/>
        </w:rPr>
        <w:t xml:space="preserve">3-MOV, 4-hydroxyphenylacetate, </w:t>
      </w:r>
      <w:proofErr w:type="spellStart"/>
      <w:r w:rsidRPr="00CD61D0">
        <w:rPr>
          <w:rFonts w:ascii="Segoe UI" w:eastAsia="新細明體" w:hAnsi="Segoe UI" w:cs="Segoe UI"/>
          <w:color w:val="141413"/>
          <w:sz w:val="21"/>
          <w:szCs w:val="21"/>
        </w:rPr>
        <w:t>indoxyl</w:t>
      </w:r>
      <w:proofErr w:type="spellEnd"/>
      <w:r w:rsidRPr="00CD61D0">
        <w:rPr>
          <w:rFonts w:ascii="Segoe UI" w:eastAsia="新細明體" w:hAnsi="Segoe UI" w:cs="Segoe UI"/>
          <w:color w:val="141413"/>
          <w:sz w:val="21"/>
          <w:szCs w:val="21"/>
        </w:rPr>
        <w:t xml:space="preserve"> sulfate, and N-PAG were significantly elevated in GA &lt; 28 weeks vs. full-term infants (P &lt; 0.001); acetylsalicylate, </w:t>
      </w:r>
      <w:proofErr w:type="spellStart"/>
      <w:r w:rsidRPr="00CD61D0">
        <w:rPr>
          <w:rFonts w:ascii="Segoe UI" w:eastAsia="新細明體" w:hAnsi="Segoe UI" w:cs="Segoe UI"/>
          <w:color w:val="141413"/>
          <w:sz w:val="21"/>
          <w:szCs w:val="21"/>
        </w:rPr>
        <w:t>indoxyl</w:t>
      </w:r>
      <w:proofErr w:type="spellEnd"/>
      <w:r w:rsidRPr="00CD61D0">
        <w:rPr>
          <w:rFonts w:ascii="Segoe UI" w:eastAsia="新細明體" w:hAnsi="Segoe UI" w:cs="Segoe UI"/>
          <w:color w:val="141413"/>
          <w:sz w:val="21"/>
          <w:szCs w:val="21"/>
        </w:rPr>
        <w:t xml:space="preserve"> sulfate, 4-hydroxyphenylacetate, 3-MOV, and N-PAG were elevated in M+S BPD vs. HC (P &lt; 0.001), pointing to early gut microbiome </w:t>
      </w:r>
      <w:proofErr w:type="spellStart"/>
      <w:r w:rsidRPr="00CD61D0">
        <w:rPr>
          <w:rFonts w:ascii="Segoe UI" w:eastAsia="新細明體" w:hAnsi="Segoe UI" w:cs="Segoe UI"/>
          <w:color w:val="141413"/>
          <w:sz w:val="21"/>
          <w:szCs w:val="21"/>
        </w:rPr>
        <w:t>dysbiosis</w:t>
      </w:r>
      <w:proofErr w:type="spellEnd"/>
      <w:r w:rsidRPr="00CD61D0">
        <w:rPr>
          <w:rFonts w:ascii="Segoe UI" w:eastAsia="新細明體" w:hAnsi="Segoe UI" w:cs="Segoe UI"/>
          <w:color w:val="141413"/>
          <w:sz w:val="21"/>
          <w:szCs w:val="21"/>
        </w:rPr>
        <w:t xml:space="preserve"> in extremely preterm infants.</w:t>
      </w:r>
    </w:p>
    <w:p w:rsidR="00CD61D0" w:rsidRPr="00CD61D0" w:rsidRDefault="00CD61D0" w:rsidP="00CD61D0">
      <w:pPr>
        <w:widowControl/>
        <w:rPr>
          <w:rFonts w:ascii="Segoe UI" w:eastAsia="新細明體" w:hAnsi="Segoe UI" w:cs="Segoe UI"/>
          <w:color w:val="993C1D"/>
          <w:sz w:val="18"/>
          <w:szCs w:val="18"/>
        </w:rPr>
      </w:pPr>
      <w:r w:rsidRPr="00CD61D0">
        <w:rPr>
          <w:rFonts w:ascii="Segoe UI" w:eastAsia="新細明體" w:hAnsi="Segoe UI" w:cs="Segoe UI"/>
          <w:color w:val="993C1D"/>
          <w:sz w:val="18"/>
          <w:szCs w:val="18"/>
        </w:rPr>
        <w:t>Finding 3 — Persistence and amplification to 2Y</w:t>
      </w:r>
    </w:p>
    <w:p w:rsidR="00CD61D0" w:rsidRPr="00CD61D0" w:rsidRDefault="00CD61D0" w:rsidP="00CD61D0">
      <w:pPr>
        <w:widowControl/>
        <w:rPr>
          <w:rFonts w:ascii="Segoe UI" w:eastAsia="新細明體" w:hAnsi="Segoe UI" w:cs="Segoe UI"/>
          <w:color w:val="141413"/>
          <w:sz w:val="21"/>
          <w:szCs w:val="21"/>
        </w:rPr>
      </w:pPr>
      <w:r w:rsidRPr="00CD61D0">
        <w:rPr>
          <w:rFonts w:ascii="Segoe UI" w:eastAsia="新細明體" w:hAnsi="Segoe UI" w:cs="Segoe UI"/>
          <w:color w:val="141413"/>
          <w:sz w:val="21"/>
          <w:szCs w:val="21"/>
        </w:rPr>
        <w:t xml:space="preserve">N-PAG and </w:t>
      </w:r>
      <w:proofErr w:type="spellStart"/>
      <w:r w:rsidRPr="00CD61D0">
        <w:rPr>
          <w:rFonts w:ascii="Segoe UI" w:eastAsia="新細明體" w:hAnsi="Segoe UI" w:cs="Segoe UI"/>
          <w:color w:val="141413"/>
          <w:sz w:val="21"/>
          <w:szCs w:val="21"/>
        </w:rPr>
        <w:t>indoxyl</w:t>
      </w:r>
      <w:proofErr w:type="spellEnd"/>
      <w:r w:rsidRPr="00CD61D0">
        <w:rPr>
          <w:rFonts w:ascii="Segoe UI" w:eastAsia="新細明體" w:hAnsi="Segoe UI" w:cs="Segoe UI"/>
          <w:color w:val="141413"/>
          <w:sz w:val="21"/>
          <w:szCs w:val="21"/>
        </w:rPr>
        <w:t xml:space="preserve"> sulfate remained elevated in extremely preterm infants at 2Y with higher fold changes than at 6M (N-PAG: 1.82 vs 1.76; </w:t>
      </w:r>
      <w:proofErr w:type="spellStart"/>
      <w:r w:rsidRPr="00CD61D0">
        <w:rPr>
          <w:rFonts w:ascii="Segoe UI" w:eastAsia="新細明體" w:hAnsi="Segoe UI" w:cs="Segoe UI"/>
          <w:color w:val="141413"/>
          <w:sz w:val="21"/>
          <w:szCs w:val="21"/>
        </w:rPr>
        <w:t>indoxyl</w:t>
      </w:r>
      <w:proofErr w:type="spellEnd"/>
      <w:r w:rsidRPr="00CD61D0">
        <w:rPr>
          <w:rFonts w:ascii="Segoe UI" w:eastAsia="新細明體" w:hAnsi="Segoe UI" w:cs="Segoe UI"/>
          <w:color w:val="141413"/>
          <w:sz w:val="21"/>
          <w:szCs w:val="21"/>
        </w:rPr>
        <w:t xml:space="preserve"> sulfate: 1.73 vs 1.57), suggesting metabolic divergence intensifies over time despite apparent clinical improvement.</w:t>
      </w:r>
    </w:p>
    <w:p w:rsidR="00CD61D0" w:rsidRPr="00CD61D0" w:rsidRDefault="00CD61D0" w:rsidP="00CD61D0">
      <w:pPr>
        <w:widowControl/>
        <w:rPr>
          <w:rFonts w:ascii="Segoe UI" w:eastAsia="新細明體" w:hAnsi="Segoe UI" w:cs="Segoe UI"/>
          <w:color w:val="854F0B"/>
          <w:sz w:val="18"/>
          <w:szCs w:val="18"/>
        </w:rPr>
      </w:pPr>
      <w:r w:rsidRPr="00CD61D0">
        <w:rPr>
          <w:rFonts w:ascii="Segoe UI" w:eastAsia="新細明體" w:hAnsi="Segoe UI" w:cs="Segoe UI"/>
          <w:color w:val="854F0B"/>
          <w:sz w:val="18"/>
          <w:szCs w:val="18"/>
        </w:rPr>
        <w:t>Finding 4 — Consistent biomarker panel</w:t>
      </w:r>
    </w:p>
    <w:p w:rsidR="00CD61D0" w:rsidRPr="00CD61D0" w:rsidRDefault="00CD61D0" w:rsidP="00CD61D0">
      <w:pPr>
        <w:widowControl/>
        <w:rPr>
          <w:rFonts w:ascii="Segoe UI" w:eastAsia="新細明體" w:hAnsi="Segoe UI" w:cs="Segoe UI"/>
          <w:color w:val="141413"/>
          <w:sz w:val="21"/>
          <w:szCs w:val="21"/>
        </w:rPr>
      </w:pPr>
      <w:r w:rsidRPr="00CD61D0">
        <w:rPr>
          <w:rFonts w:ascii="Segoe UI" w:eastAsia="新細明體" w:hAnsi="Segoe UI" w:cs="Segoe UI"/>
          <w:color w:val="141413"/>
          <w:sz w:val="21"/>
          <w:szCs w:val="21"/>
        </w:rPr>
        <w:t xml:space="preserve">N-PAG, </w:t>
      </w:r>
      <w:proofErr w:type="spellStart"/>
      <w:r w:rsidRPr="00CD61D0">
        <w:rPr>
          <w:rFonts w:ascii="Segoe UI" w:eastAsia="新細明體" w:hAnsi="Segoe UI" w:cs="Segoe UI"/>
          <w:color w:val="141413"/>
          <w:sz w:val="21"/>
          <w:szCs w:val="21"/>
        </w:rPr>
        <w:t>indoxyl</w:t>
      </w:r>
      <w:proofErr w:type="spellEnd"/>
      <w:r w:rsidRPr="00CD61D0">
        <w:rPr>
          <w:rFonts w:ascii="Segoe UI" w:eastAsia="新細明體" w:hAnsi="Segoe UI" w:cs="Segoe UI"/>
          <w:color w:val="141413"/>
          <w:sz w:val="21"/>
          <w:szCs w:val="21"/>
        </w:rPr>
        <w:t xml:space="preserve"> sulfate, acetylsalicylate, glutamine, pantothenic acid, and succinate were significantly associated with GA and/or BPD severity at both </w:t>
      </w:r>
      <w:proofErr w:type="spellStart"/>
      <w:r w:rsidRPr="00CD61D0">
        <w:rPr>
          <w:rFonts w:ascii="Segoe UI" w:eastAsia="新細明體" w:hAnsi="Segoe UI" w:cs="Segoe UI"/>
          <w:color w:val="141413"/>
          <w:sz w:val="21"/>
          <w:szCs w:val="21"/>
        </w:rPr>
        <w:t>timepoints</w:t>
      </w:r>
      <w:proofErr w:type="spellEnd"/>
      <w:r w:rsidRPr="00CD61D0">
        <w:rPr>
          <w:rFonts w:ascii="Segoe UI" w:eastAsia="新細明體" w:hAnsi="Segoe UI" w:cs="Segoe UI"/>
          <w:color w:val="141413"/>
          <w:sz w:val="21"/>
          <w:szCs w:val="21"/>
        </w:rPr>
        <w:t>, representing the most temporally consistent metabolic alterations.</w:t>
      </w:r>
    </w:p>
    <w:p w:rsidR="00CD61D0" w:rsidRPr="00CD61D0" w:rsidRDefault="00CD61D0" w:rsidP="00CD61D0">
      <w:pPr>
        <w:widowControl/>
        <w:rPr>
          <w:rFonts w:ascii="Segoe UI" w:eastAsia="新細明體" w:hAnsi="Segoe UI" w:cs="Segoe UI"/>
          <w:color w:val="533AB7"/>
          <w:sz w:val="18"/>
          <w:szCs w:val="18"/>
        </w:rPr>
      </w:pPr>
      <w:r w:rsidRPr="00CD61D0">
        <w:rPr>
          <w:rFonts w:ascii="Segoe UI" w:eastAsia="新細明體" w:hAnsi="Segoe UI" w:cs="Segoe UI"/>
          <w:color w:val="533AB7"/>
          <w:sz w:val="18"/>
          <w:szCs w:val="18"/>
        </w:rPr>
        <w:t>Finding 5 — Complete metabolic overlap at 6M</w:t>
      </w:r>
    </w:p>
    <w:p w:rsidR="00CD61D0" w:rsidRPr="00CD61D0" w:rsidRDefault="00CD61D0" w:rsidP="00CD61D0">
      <w:pPr>
        <w:widowControl/>
        <w:rPr>
          <w:rFonts w:ascii="Segoe UI" w:eastAsia="新細明體" w:hAnsi="Segoe UI" w:cs="Segoe UI"/>
          <w:color w:val="141413"/>
          <w:sz w:val="21"/>
          <w:szCs w:val="21"/>
        </w:rPr>
      </w:pPr>
      <w:r w:rsidRPr="00CD61D0">
        <w:rPr>
          <w:rFonts w:ascii="Segoe UI" w:eastAsia="新細明體" w:hAnsi="Segoe UI" w:cs="Segoe UI"/>
          <w:color w:val="141413"/>
          <w:sz w:val="21"/>
          <w:szCs w:val="21"/>
        </w:rPr>
        <w:t>All 16 GA-significant metabolites at 6M were also BPD-significant, yielding zero GA-exclusive metabolites. This complete overlap implies that at 6 months, prematurity and BPD severity share an indistinguishable urinary metabolic signature.</w:t>
      </w:r>
    </w:p>
    <w:p w:rsidR="00CD61D0" w:rsidRPr="00CD61D0" w:rsidRDefault="00CD61D0" w:rsidP="00CD61D0">
      <w:pPr>
        <w:widowControl/>
        <w:rPr>
          <w:rFonts w:ascii="Segoe UI" w:eastAsia="新細明體" w:hAnsi="Segoe UI" w:cs="Segoe UI"/>
          <w:color w:val="3B6D11"/>
          <w:sz w:val="18"/>
          <w:szCs w:val="18"/>
        </w:rPr>
      </w:pPr>
      <w:r w:rsidRPr="00CD61D0">
        <w:rPr>
          <w:rFonts w:ascii="Segoe UI" w:eastAsia="新細明體" w:hAnsi="Segoe UI" w:cs="Segoe UI"/>
          <w:color w:val="3B6D11"/>
          <w:sz w:val="18"/>
          <w:szCs w:val="18"/>
        </w:rPr>
        <w:t>Finding 6 — Persistent pathway disruption</w:t>
      </w:r>
    </w:p>
    <w:p w:rsidR="00CD61D0" w:rsidRPr="00CD61D0" w:rsidRDefault="00CD61D0" w:rsidP="00CD61D0">
      <w:pPr>
        <w:widowControl/>
        <w:rPr>
          <w:rFonts w:ascii="Segoe UI" w:eastAsia="新細明體" w:hAnsi="Segoe UI" w:cs="Segoe UI"/>
          <w:color w:val="141413"/>
          <w:sz w:val="21"/>
          <w:szCs w:val="21"/>
        </w:rPr>
      </w:pPr>
      <w:r w:rsidRPr="00CD61D0">
        <w:rPr>
          <w:rFonts w:ascii="Segoe UI" w:eastAsia="新細明體" w:hAnsi="Segoe UI" w:cs="Segoe UI"/>
          <w:color w:val="141413"/>
          <w:sz w:val="21"/>
          <w:szCs w:val="21"/>
        </w:rPr>
        <w:t xml:space="preserve">Alanine/aspartate/glutamate metabolism (FDR &lt; 0.05 at 6M) and </w:t>
      </w:r>
      <w:proofErr w:type="spellStart"/>
      <w:r w:rsidRPr="00CD61D0">
        <w:rPr>
          <w:rFonts w:ascii="Segoe UI" w:eastAsia="新細明體" w:hAnsi="Segoe UI" w:cs="Segoe UI"/>
          <w:color w:val="141413"/>
          <w:sz w:val="21"/>
          <w:szCs w:val="21"/>
        </w:rPr>
        <w:t>glyoxylate</w:t>
      </w:r>
      <w:proofErr w:type="spellEnd"/>
      <w:r w:rsidRPr="00CD61D0">
        <w:rPr>
          <w:rFonts w:ascii="Segoe UI" w:eastAsia="新細明體" w:hAnsi="Segoe UI" w:cs="Segoe UI"/>
          <w:color w:val="141413"/>
          <w:sz w:val="21"/>
          <w:szCs w:val="21"/>
        </w:rPr>
        <w:t>/</w:t>
      </w:r>
      <w:proofErr w:type="spellStart"/>
      <w:r w:rsidRPr="00CD61D0">
        <w:rPr>
          <w:rFonts w:ascii="Segoe UI" w:eastAsia="新細明體" w:hAnsi="Segoe UI" w:cs="Segoe UI"/>
          <w:color w:val="141413"/>
          <w:sz w:val="21"/>
          <w:szCs w:val="21"/>
        </w:rPr>
        <w:t>dicarboxylate</w:t>
      </w:r>
      <w:proofErr w:type="spellEnd"/>
      <w:r w:rsidRPr="00CD61D0">
        <w:rPr>
          <w:rFonts w:ascii="Segoe UI" w:eastAsia="新細明體" w:hAnsi="Segoe UI" w:cs="Segoe UI"/>
          <w:color w:val="141413"/>
          <w:sz w:val="21"/>
          <w:szCs w:val="21"/>
        </w:rPr>
        <w:t xml:space="preserve"> metabolism remained enriched at both </w:t>
      </w:r>
      <w:proofErr w:type="spellStart"/>
      <w:r w:rsidRPr="00CD61D0">
        <w:rPr>
          <w:rFonts w:ascii="Segoe UI" w:eastAsia="新細明體" w:hAnsi="Segoe UI" w:cs="Segoe UI"/>
          <w:color w:val="141413"/>
          <w:sz w:val="21"/>
          <w:szCs w:val="21"/>
        </w:rPr>
        <w:t>timepoints</w:t>
      </w:r>
      <w:proofErr w:type="spellEnd"/>
      <w:r w:rsidRPr="00CD61D0">
        <w:rPr>
          <w:rFonts w:ascii="Segoe UI" w:eastAsia="新細明體" w:hAnsi="Segoe UI" w:cs="Segoe UI"/>
          <w:color w:val="141413"/>
          <w:sz w:val="21"/>
          <w:szCs w:val="21"/>
        </w:rPr>
        <w:t xml:space="preserve"> in BPD and GA+BPD groups. Valine, leucine and isoleucine biosynthesis was enriched at both 6M and 2Y, consistent with the 3-MOV signal across </w:t>
      </w:r>
      <w:proofErr w:type="spellStart"/>
      <w:r w:rsidRPr="00CD61D0">
        <w:rPr>
          <w:rFonts w:ascii="Segoe UI" w:eastAsia="新細明體" w:hAnsi="Segoe UI" w:cs="Segoe UI"/>
          <w:color w:val="141413"/>
          <w:sz w:val="21"/>
          <w:szCs w:val="21"/>
        </w:rPr>
        <w:t>heatmaps</w:t>
      </w:r>
      <w:proofErr w:type="spellEnd"/>
      <w:r w:rsidRPr="00CD61D0">
        <w:rPr>
          <w:rFonts w:ascii="Segoe UI" w:eastAsia="新細明體" w:hAnsi="Segoe UI" w:cs="Segoe UI"/>
          <w:color w:val="141413"/>
          <w:sz w:val="21"/>
          <w:szCs w:val="21"/>
        </w:rPr>
        <w:t>.</w:t>
      </w:r>
    </w:p>
    <w:p w:rsidR="00EA3AED" w:rsidRPr="00CD61D0" w:rsidRDefault="00EA3AED">
      <w:pPr>
        <w:spacing w:after="80"/>
      </w:pPr>
    </w:p>
    <w:p w:rsidR="00EA3AED" w:rsidRDefault="009E6251">
      <w:pPr>
        <w:pStyle w:val="1"/>
      </w:pPr>
      <w:r>
        <w:rPr>
          <w:color w:val="1A2C4E"/>
        </w:rPr>
        <w:t>5. Conclusion</w:t>
      </w:r>
    </w:p>
    <w:p w:rsidR="00EA3AED" w:rsidRDefault="00CD61D0">
      <w:pPr>
        <w:spacing w:after="80"/>
      </w:pPr>
      <w:r>
        <w:rPr>
          <w:rFonts w:ascii="Segoe UI" w:hAnsi="Segoe UI" w:cs="Segoe UI"/>
          <w:color w:val="141413"/>
          <w:sz w:val="23"/>
          <w:szCs w:val="23"/>
          <w:shd w:val="clear" w:color="auto" w:fill="F5F4ED"/>
        </w:rPr>
        <w:t xml:space="preserve">Urinary </w:t>
      </w:r>
      <w:proofErr w:type="spellStart"/>
      <w:r>
        <w:rPr>
          <w:rFonts w:ascii="Segoe UI" w:hAnsi="Segoe UI" w:cs="Segoe UI"/>
          <w:color w:val="141413"/>
          <w:sz w:val="23"/>
          <w:szCs w:val="23"/>
          <w:shd w:val="clear" w:color="auto" w:fill="F5F4ED"/>
        </w:rPr>
        <w:t>metabolomic</w:t>
      </w:r>
      <w:proofErr w:type="spellEnd"/>
      <w:r>
        <w:rPr>
          <w:rFonts w:ascii="Segoe UI" w:hAnsi="Segoe UI" w:cs="Segoe UI"/>
          <w:color w:val="141413"/>
          <w:sz w:val="23"/>
          <w:szCs w:val="23"/>
          <w:shd w:val="clear" w:color="auto" w:fill="F5F4ED"/>
        </w:rPr>
        <w:t xml:space="preserve"> profiling demonstrates that metabolic signatures of prematurity and BPD severity persist from 6 months to 2 years of corrected age and may intensify over time. Gut microbiome-derived metabolites — particularly N-PAG and </w:t>
      </w:r>
      <w:proofErr w:type="spellStart"/>
      <w:r>
        <w:rPr>
          <w:rFonts w:ascii="Segoe UI" w:hAnsi="Segoe UI" w:cs="Segoe UI"/>
          <w:color w:val="141413"/>
          <w:sz w:val="23"/>
          <w:szCs w:val="23"/>
          <w:shd w:val="clear" w:color="auto" w:fill="F5F4ED"/>
        </w:rPr>
        <w:t>indoxyl</w:t>
      </w:r>
      <w:proofErr w:type="spellEnd"/>
      <w:r>
        <w:rPr>
          <w:rFonts w:ascii="Segoe UI" w:hAnsi="Segoe UI" w:cs="Segoe UI"/>
          <w:color w:val="141413"/>
          <w:sz w:val="23"/>
          <w:szCs w:val="23"/>
          <w:shd w:val="clear" w:color="auto" w:fill="F5F4ED"/>
        </w:rPr>
        <w:t xml:space="preserve"> sulfate — were consistently elevated across both </w:t>
      </w:r>
      <w:proofErr w:type="spellStart"/>
      <w:r>
        <w:rPr>
          <w:rFonts w:ascii="Segoe UI" w:hAnsi="Segoe UI" w:cs="Segoe UI"/>
          <w:color w:val="141413"/>
          <w:sz w:val="23"/>
          <w:szCs w:val="23"/>
          <w:shd w:val="clear" w:color="auto" w:fill="F5F4ED"/>
        </w:rPr>
        <w:t>timepoints</w:t>
      </w:r>
      <w:proofErr w:type="spellEnd"/>
      <w:r>
        <w:rPr>
          <w:rFonts w:ascii="Segoe UI" w:hAnsi="Segoe UI" w:cs="Segoe UI"/>
          <w:color w:val="141413"/>
          <w:sz w:val="23"/>
          <w:szCs w:val="23"/>
          <w:shd w:val="clear" w:color="auto" w:fill="F5F4ED"/>
        </w:rPr>
        <w:t xml:space="preserve"> in extremely preterm infants and those with M+S BPD, highlighting early gut </w:t>
      </w:r>
      <w:proofErr w:type="spellStart"/>
      <w:r>
        <w:rPr>
          <w:rFonts w:ascii="Segoe UI" w:hAnsi="Segoe UI" w:cs="Segoe UI"/>
          <w:color w:val="141413"/>
          <w:sz w:val="23"/>
          <w:szCs w:val="23"/>
          <w:shd w:val="clear" w:color="auto" w:fill="F5F4ED"/>
        </w:rPr>
        <w:t>dysbiosis</w:t>
      </w:r>
      <w:proofErr w:type="spellEnd"/>
      <w:r>
        <w:rPr>
          <w:rFonts w:ascii="Segoe UI" w:hAnsi="Segoe UI" w:cs="Segoe UI"/>
          <w:color w:val="141413"/>
          <w:sz w:val="23"/>
          <w:szCs w:val="23"/>
          <w:shd w:val="clear" w:color="auto" w:fill="F5F4ED"/>
        </w:rPr>
        <w:t xml:space="preserve"> as a potential contributor to long-term metabolic programming. The complete overlap of GA and BPD metabolic signatures at 6M, followed by divergence at 2Y, underscores the evolving and BPD-specific nature of metabolic dysregulation. Persistently enriched amino acid metabolism pathways suggest disruption in </w:t>
      </w:r>
      <w:r>
        <w:rPr>
          <w:rFonts w:ascii="Segoe UI" w:hAnsi="Segoe UI" w:cs="Segoe UI"/>
          <w:color w:val="141413"/>
          <w:sz w:val="23"/>
          <w:szCs w:val="23"/>
          <w:shd w:val="clear" w:color="auto" w:fill="F5F4ED"/>
        </w:rPr>
        <w:lastRenderedPageBreak/>
        <w:t>nitrogen metabolism and energy homeostasis extending beyond the acute phase of BPD, with implications for early biomarker identification and therapeutic intervention.</w:t>
      </w:r>
    </w:p>
    <w:p w:rsidR="00EA3AED" w:rsidRDefault="009E6251">
      <w:pPr>
        <w:pStyle w:val="1"/>
      </w:pPr>
      <w:r>
        <w:rPr>
          <w:color w:val="1A2C4E"/>
        </w:rPr>
        <w:t>6. Figure and Table Legends</w:t>
      </w:r>
    </w:p>
    <w:p w:rsidR="00EA3AED" w:rsidRDefault="009E6251">
      <w:pPr>
        <w:pStyle w:val="2"/>
      </w:pPr>
      <w:r>
        <w:rPr>
          <w:color w:val="2A7F7F"/>
        </w:rPr>
        <w:t>Table 1</w:t>
      </w:r>
    </w:p>
    <w:p w:rsidR="00EA3AED" w:rsidRDefault="009E6251">
      <w:pPr>
        <w:spacing w:after="160" w:line="360" w:lineRule="auto"/>
      </w:pPr>
      <w:r>
        <w:rPr>
          <w:rFonts w:eastAsia="Calibri"/>
          <w:b/>
          <w:bCs/>
        </w:rPr>
        <w:t>Table 1. Demographic characteristics of full-term and preterm infants at corrected ages of 6 months and 2 years.</w:t>
      </w:r>
    </w:p>
    <w:p w:rsidR="00EA3AED" w:rsidRDefault="009E6251">
      <w:pPr>
        <w:spacing w:after="160" w:line="360" w:lineRule="auto"/>
      </w:pPr>
      <w:r>
        <w:rPr>
          <w:rFonts w:eastAsia="Calibri"/>
        </w:rPr>
        <w:t xml:space="preserve">(A) Demographic characteristics stratified by </w:t>
      </w:r>
      <w:r>
        <w:rPr>
          <w:rFonts w:eastAsia="Calibri"/>
        </w:rPr>
        <w:t xml:space="preserve">gestational age (GA) groups. (B) Demographic characteristics stratified by BPD severity groups. Data are presented as mean ± SD or n (%). Bold P-values indicate statistical significance (P &lt; 0.05). Abbreviations: GA, gestational age; BPD, bronchopulmonary </w:t>
      </w:r>
      <w:r>
        <w:rPr>
          <w:rFonts w:eastAsia="Calibri"/>
        </w:rPr>
        <w:t xml:space="preserve">dysplasia; HC, healthy controls; </w:t>
      </w:r>
      <w:proofErr w:type="spellStart"/>
      <w:r>
        <w:rPr>
          <w:rFonts w:eastAsia="Calibri"/>
        </w:rPr>
        <w:t>No+Mild</w:t>
      </w:r>
      <w:proofErr w:type="spellEnd"/>
      <w:r>
        <w:rPr>
          <w:rFonts w:eastAsia="Calibri"/>
        </w:rPr>
        <w:t xml:space="preserve"> BPD, no and mild BPD; M+S BPD, moderate and severe BPD; </w:t>
      </w:r>
      <w:proofErr w:type="spellStart"/>
      <w:r>
        <w:rPr>
          <w:rFonts w:eastAsia="Calibri"/>
        </w:rPr>
        <w:t>wk</w:t>
      </w:r>
      <w:proofErr w:type="spellEnd"/>
      <w:r>
        <w:rPr>
          <w:rFonts w:eastAsia="Calibri"/>
        </w:rPr>
        <w:t>, week; g, gram; cm, centimeter; BMI, body mass index.</w:t>
      </w:r>
    </w:p>
    <w:p w:rsidR="00EA3AED" w:rsidRDefault="00EA3AED">
      <w:pPr>
        <w:spacing w:after="80"/>
      </w:pPr>
    </w:p>
    <w:p w:rsidR="00EA3AED" w:rsidRDefault="009E6251">
      <w:pPr>
        <w:pStyle w:val="2"/>
      </w:pPr>
      <w:r>
        <w:rPr>
          <w:color w:val="2A7F7F"/>
        </w:rPr>
        <w:t>Figure 1A</w:t>
      </w:r>
    </w:p>
    <w:p w:rsidR="00EA3AED" w:rsidRDefault="009E6251">
      <w:pPr>
        <w:spacing w:after="160" w:line="360" w:lineRule="auto"/>
      </w:pPr>
      <w:r>
        <w:rPr>
          <w:rFonts w:eastAsia="Calibri"/>
          <w:b/>
          <w:bCs/>
        </w:rPr>
        <w:t xml:space="preserve">Figure 1A. </w:t>
      </w:r>
      <w:proofErr w:type="spellStart"/>
      <w:r>
        <w:rPr>
          <w:rFonts w:eastAsia="Calibri"/>
          <w:b/>
          <w:bCs/>
        </w:rPr>
        <w:t>Heatmap</w:t>
      </w:r>
      <w:proofErr w:type="spellEnd"/>
      <w:r>
        <w:rPr>
          <w:rFonts w:eastAsia="Calibri"/>
          <w:b/>
          <w:bCs/>
        </w:rPr>
        <w:t xml:space="preserve"> of urinary metabolites significantly associated with gestational age (GA</w:t>
      </w:r>
      <w:r>
        <w:rPr>
          <w:rFonts w:eastAsia="Calibri"/>
          <w:b/>
          <w:bCs/>
        </w:rPr>
        <w:t>) groups.</w:t>
      </w:r>
    </w:p>
    <w:p w:rsidR="00EA3AED" w:rsidRDefault="009E6251">
      <w:pPr>
        <w:spacing w:after="160" w:line="360" w:lineRule="auto"/>
      </w:pPr>
      <w:r>
        <w:rPr>
          <w:rFonts w:eastAsia="Calibri"/>
        </w:rPr>
        <w:t xml:space="preserve">Hierarchically clustered </w:t>
      </w:r>
      <w:proofErr w:type="spellStart"/>
      <w:r>
        <w:rPr>
          <w:rFonts w:eastAsia="Calibri"/>
        </w:rPr>
        <w:t>heatmap</w:t>
      </w:r>
      <w:proofErr w:type="spellEnd"/>
      <w:r>
        <w:rPr>
          <w:rFonts w:eastAsia="Calibri"/>
        </w:rPr>
        <w:t xml:space="preserve"> displaying row-scaled (z-score) mean metabolite abundances for 25 metabolites significantly associated with GA at 6M and/or 2Y. Column order from left to right: 6M_0 (≥37 </w:t>
      </w:r>
      <w:proofErr w:type="spellStart"/>
      <w:r>
        <w:rPr>
          <w:rFonts w:eastAsia="Calibri"/>
        </w:rPr>
        <w:t>wk</w:t>
      </w:r>
      <w:proofErr w:type="spellEnd"/>
      <w:r>
        <w:rPr>
          <w:rFonts w:eastAsia="Calibri"/>
        </w:rPr>
        <w:t>), 2Y_0, 6M_1 (28–32 </w:t>
      </w:r>
      <w:proofErr w:type="spellStart"/>
      <w:r>
        <w:rPr>
          <w:rFonts w:eastAsia="Calibri"/>
        </w:rPr>
        <w:t>wk</w:t>
      </w:r>
      <w:proofErr w:type="spellEnd"/>
      <w:r>
        <w:rPr>
          <w:rFonts w:eastAsia="Calibri"/>
        </w:rPr>
        <w:t>), 2Y_1, 6M_2 (&lt;2</w:t>
      </w:r>
      <w:r>
        <w:rPr>
          <w:rFonts w:eastAsia="Calibri"/>
        </w:rPr>
        <w:t>8 </w:t>
      </w:r>
      <w:proofErr w:type="spellStart"/>
      <w:r>
        <w:rPr>
          <w:rFonts w:eastAsia="Calibri"/>
        </w:rPr>
        <w:t>wk</w:t>
      </w:r>
      <w:proofErr w:type="spellEnd"/>
      <w:r>
        <w:rPr>
          <w:rFonts w:eastAsia="Calibri"/>
        </w:rPr>
        <w:t>), 2Y_2. Column annotation bars indicate GA group (≥37 </w:t>
      </w:r>
      <w:proofErr w:type="spellStart"/>
      <w:r>
        <w:rPr>
          <w:rFonts w:eastAsia="Calibri"/>
        </w:rPr>
        <w:t>wk</w:t>
      </w:r>
      <w:proofErr w:type="spellEnd"/>
      <w:r>
        <w:rPr>
          <w:rFonts w:eastAsia="Calibri"/>
        </w:rPr>
        <w:t>: green; 28–32 </w:t>
      </w:r>
      <w:proofErr w:type="spellStart"/>
      <w:r>
        <w:rPr>
          <w:rFonts w:eastAsia="Calibri"/>
        </w:rPr>
        <w:t>wk</w:t>
      </w:r>
      <w:proofErr w:type="spellEnd"/>
      <w:r>
        <w:rPr>
          <w:rFonts w:eastAsia="Calibri"/>
        </w:rPr>
        <w:t>: blue; &lt;28 </w:t>
      </w:r>
      <w:proofErr w:type="spellStart"/>
      <w:r>
        <w:rPr>
          <w:rFonts w:eastAsia="Calibri"/>
        </w:rPr>
        <w:t>wk</w:t>
      </w:r>
      <w:proofErr w:type="spellEnd"/>
      <w:r>
        <w:rPr>
          <w:rFonts w:eastAsia="Calibri"/>
        </w:rPr>
        <w:t xml:space="preserve">: red) and age (6M: orange; 2Y: purple). Significance symbols overlaid on cells: </w:t>
      </w:r>
      <w:r>
        <w:rPr>
          <w:rFonts w:eastAsia="Calibri"/>
          <w:b/>
          <w:bCs/>
        </w:rPr>
        <w:t>+</w:t>
      </w:r>
      <w:r>
        <w:rPr>
          <w:rFonts w:eastAsia="Calibri"/>
        </w:rPr>
        <w:t xml:space="preserve"> P &lt; 0.05 vs ≥37 </w:t>
      </w:r>
      <w:proofErr w:type="spellStart"/>
      <w:r>
        <w:rPr>
          <w:rFonts w:eastAsia="Calibri"/>
        </w:rPr>
        <w:t>wk</w:t>
      </w:r>
      <w:proofErr w:type="spellEnd"/>
      <w:r>
        <w:rPr>
          <w:rFonts w:eastAsia="Calibri"/>
        </w:rPr>
        <w:t xml:space="preserve">; </w:t>
      </w:r>
      <w:r>
        <w:rPr>
          <w:rFonts w:eastAsia="Calibri"/>
          <w:b/>
          <w:bCs/>
        </w:rPr>
        <w:t>++</w:t>
      </w:r>
      <w:r>
        <w:rPr>
          <w:rFonts w:eastAsia="Calibri"/>
        </w:rPr>
        <w:t xml:space="preserve"> P &lt; 0.01 vs ≥37 </w:t>
      </w:r>
      <w:proofErr w:type="spellStart"/>
      <w:r>
        <w:rPr>
          <w:rFonts w:eastAsia="Calibri"/>
        </w:rPr>
        <w:t>wk</w:t>
      </w:r>
      <w:proofErr w:type="spellEnd"/>
      <w:r>
        <w:rPr>
          <w:rFonts w:eastAsia="Calibri"/>
        </w:rPr>
        <w:t xml:space="preserve">; </w:t>
      </w:r>
      <w:r>
        <w:rPr>
          <w:rFonts w:eastAsia="Calibri"/>
          <w:b/>
          <w:bCs/>
        </w:rPr>
        <w:t>¶</w:t>
      </w:r>
      <w:r>
        <w:rPr>
          <w:rFonts w:eastAsia="Calibri"/>
        </w:rPr>
        <w:t xml:space="preserve"> P &lt; 0.05 between 28–32 </w:t>
      </w:r>
      <w:proofErr w:type="spellStart"/>
      <w:r>
        <w:rPr>
          <w:rFonts w:eastAsia="Calibri"/>
        </w:rPr>
        <w:t>wk</w:t>
      </w:r>
      <w:proofErr w:type="spellEnd"/>
      <w:r>
        <w:rPr>
          <w:rFonts w:eastAsia="Calibri"/>
        </w:rPr>
        <w:t xml:space="preserve"> and &lt;28 </w:t>
      </w:r>
      <w:proofErr w:type="spellStart"/>
      <w:r>
        <w:rPr>
          <w:rFonts w:eastAsia="Calibri"/>
        </w:rPr>
        <w:t>wk</w:t>
      </w:r>
      <w:proofErr w:type="spellEnd"/>
      <w:r>
        <w:rPr>
          <w:rFonts w:eastAsia="Calibri"/>
        </w:rPr>
        <w:t xml:space="preserve"> groups. Color scale: red = higher relative abundance; blue = lower relative abundance. All metabolite intensities are creatinine-normalized.</w:t>
      </w:r>
    </w:p>
    <w:p w:rsidR="00EA3AED" w:rsidRDefault="00EA3AED">
      <w:pPr>
        <w:spacing w:after="80"/>
      </w:pPr>
    </w:p>
    <w:p w:rsidR="00EA3AED" w:rsidRDefault="009E6251">
      <w:pPr>
        <w:pStyle w:val="2"/>
      </w:pPr>
      <w:r>
        <w:rPr>
          <w:color w:val="2A7F7F"/>
        </w:rPr>
        <w:t>Figure 1B</w:t>
      </w:r>
    </w:p>
    <w:p w:rsidR="00EA3AED" w:rsidRDefault="009E6251">
      <w:pPr>
        <w:spacing w:after="160" w:line="360" w:lineRule="auto"/>
      </w:pPr>
      <w:r>
        <w:rPr>
          <w:rFonts w:eastAsia="Calibri"/>
          <w:b/>
          <w:bCs/>
        </w:rPr>
        <w:t xml:space="preserve">Figure 1B. </w:t>
      </w:r>
      <w:proofErr w:type="spellStart"/>
      <w:r>
        <w:rPr>
          <w:rFonts w:eastAsia="Calibri"/>
          <w:b/>
          <w:bCs/>
        </w:rPr>
        <w:t>Heatmap</w:t>
      </w:r>
      <w:proofErr w:type="spellEnd"/>
      <w:r>
        <w:rPr>
          <w:rFonts w:eastAsia="Calibri"/>
          <w:b/>
          <w:bCs/>
        </w:rPr>
        <w:t xml:space="preserve"> of urinary metabolites significantly associated with BPD severity groups.</w:t>
      </w:r>
    </w:p>
    <w:p w:rsidR="00EA3AED" w:rsidRDefault="009E6251">
      <w:pPr>
        <w:spacing w:after="160" w:line="360" w:lineRule="auto"/>
      </w:pPr>
      <w:r>
        <w:rPr>
          <w:rFonts w:eastAsia="Calibri"/>
        </w:rPr>
        <w:t xml:space="preserve">Hierarchically clustered </w:t>
      </w:r>
      <w:proofErr w:type="spellStart"/>
      <w:r>
        <w:rPr>
          <w:rFonts w:eastAsia="Calibri"/>
        </w:rPr>
        <w:t>heatmap</w:t>
      </w:r>
      <w:proofErr w:type="spellEnd"/>
      <w:r>
        <w:rPr>
          <w:rFonts w:eastAsia="Calibri"/>
        </w:rPr>
        <w:t xml:space="preserve"> displaying row-scaled (z-score) mean metabolite abundances for 32 metabolites significantly associated with BPD severity at 6M and</w:t>
      </w:r>
      <w:r>
        <w:rPr>
          <w:rFonts w:eastAsia="Calibri"/>
        </w:rPr>
        <w:t>/or 2Y. Column order from left to right: 6M_0 (HC), 2Y_0, 6M_1 (</w:t>
      </w:r>
      <w:proofErr w:type="spellStart"/>
      <w:r>
        <w:rPr>
          <w:rFonts w:eastAsia="Calibri"/>
        </w:rPr>
        <w:t>No+Mild</w:t>
      </w:r>
      <w:proofErr w:type="spellEnd"/>
      <w:r>
        <w:rPr>
          <w:rFonts w:eastAsia="Calibri"/>
        </w:rPr>
        <w:t xml:space="preserve"> BPD), 2Y_1, 6M_2 (M+S BPD), 2Y_2. Column annotation bars indicate BPD group (HC: green; </w:t>
      </w:r>
      <w:proofErr w:type="spellStart"/>
      <w:r>
        <w:rPr>
          <w:rFonts w:eastAsia="Calibri"/>
        </w:rPr>
        <w:t>No+Mild</w:t>
      </w:r>
      <w:proofErr w:type="spellEnd"/>
      <w:r>
        <w:rPr>
          <w:rFonts w:eastAsia="Calibri"/>
        </w:rPr>
        <w:t xml:space="preserve">: blue; M+S: red) and age (6M: orange; 2Y: purple). Significance symbols: </w:t>
      </w:r>
      <w:r>
        <w:rPr>
          <w:rFonts w:eastAsia="Calibri"/>
          <w:b/>
          <w:bCs/>
        </w:rPr>
        <w:t>+</w:t>
      </w:r>
      <w:r>
        <w:rPr>
          <w:rFonts w:eastAsia="Calibri"/>
        </w:rPr>
        <w:t xml:space="preserve"> P &lt; 0.05 vs H</w:t>
      </w:r>
      <w:r>
        <w:rPr>
          <w:rFonts w:eastAsia="Calibri"/>
        </w:rPr>
        <w:t xml:space="preserve">C; </w:t>
      </w:r>
      <w:r>
        <w:rPr>
          <w:rFonts w:eastAsia="Calibri"/>
          <w:b/>
          <w:bCs/>
        </w:rPr>
        <w:t>++</w:t>
      </w:r>
      <w:r>
        <w:rPr>
          <w:rFonts w:eastAsia="Calibri"/>
        </w:rPr>
        <w:t xml:space="preserve"> P &lt; 0.01 vs HC; </w:t>
      </w:r>
      <w:r>
        <w:rPr>
          <w:rFonts w:eastAsia="Calibri"/>
          <w:b/>
          <w:bCs/>
        </w:rPr>
        <w:t>¶</w:t>
      </w:r>
      <w:r>
        <w:rPr>
          <w:rFonts w:eastAsia="Calibri"/>
        </w:rPr>
        <w:t xml:space="preserve"> P &lt; 0.05 between </w:t>
      </w:r>
      <w:proofErr w:type="spellStart"/>
      <w:r>
        <w:rPr>
          <w:rFonts w:eastAsia="Calibri"/>
        </w:rPr>
        <w:t>No+Mild</w:t>
      </w:r>
      <w:proofErr w:type="spellEnd"/>
      <w:r>
        <w:rPr>
          <w:rFonts w:eastAsia="Calibri"/>
        </w:rPr>
        <w:t xml:space="preserve"> and M+S BPD groups. Color scale: </w:t>
      </w:r>
      <w:r>
        <w:rPr>
          <w:rFonts w:eastAsia="Calibri"/>
        </w:rPr>
        <w:lastRenderedPageBreak/>
        <w:t>red = higher relative abundance; blue = lower relative abundance. All metabolite intensities are creatinine-normalized.</w:t>
      </w:r>
    </w:p>
    <w:p w:rsidR="00EA3AED" w:rsidRDefault="00EA3AED">
      <w:pPr>
        <w:spacing w:after="80"/>
      </w:pPr>
    </w:p>
    <w:p w:rsidR="00EA3AED" w:rsidRDefault="009B5431">
      <w:pPr>
        <w:pStyle w:val="2"/>
      </w:pPr>
      <w:r>
        <w:rPr>
          <w:color w:val="2A7F7F"/>
        </w:rPr>
        <w:t>Table 3</w:t>
      </w:r>
      <w:r w:rsidR="009E6251">
        <w:rPr>
          <w:color w:val="2A7F7F"/>
        </w:rPr>
        <w:t xml:space="preserve"> — Pathway Analysis</w:t>
      </w:r>
    </w:p>
    <w:p w:rsidR="00EA3AED" w:rsidRDefault="009E6251">
      <w:pPr>
        <w:spacing w:after="160" w:line="360" w:lineRule="auto"/>
      </w:pPr>
      <w:r>
        <w:rPr>
          <w:rFonts w:eastAsia="Calibri"/>
          <w:b/>
          <w:bCs/>
        </w:rPr>
        <w:t xml:space="preserve">Table 4. Metabolic pathway enrichment analysis of urinary metabolites stratified by </w:t>
      </w:r>
      <w:proofErr w:type="spellStart"/>
      <w:r>
        <w:rPr>
          <w:rFonts w:eastAsia="Calibri"/>
          <w:b/>
          <w:bCs/>
        </w:rPr>
        <w:t>timepoint</w:t>
      </w:r>
      <w:proofErr w:type="spellEnd"/>
      <w:r>
        <w:rPr>
          <w:rFonts w:eastAsia="Calibri"/>
          <w:b/>
          <w:bCs/>
        </w:rPr>
        <w:t xml:space="preserve"> and GA/BPD significance category.</w:t>
      </w:r>
    </w:p>
    <w:p w:rsidR="00EA3AED" w:rsidRDefault="009E6251">
      <w:pPr>
        <w:spacing w:after="160" w:line="360" w:lineRule="auto"/>
      </w:pPr>
      <w:r>
        <w:rPr>
          <w:rFonts w:eastAsia="Calibri"/>
        </w:rPr>
        <w:t>Pathway enr</w:t>
      </w:r>
      <w:r>
        <w:rPr>
          <w:rFonts w:eastAsia="Calibri"/>
        </w:rPr>
        <w:t xml:space="preserve">ichment was performed using </w:t>
      </w:r>
      <w:proofErr w:type="spellStart"/>
      <w:r>
        <w:rPr>
          <w:rFonts w:eastAsia="Calibri"/>
        </w:rPr>
        <w:t>MetaboAnalyst</w:t>
      </w:r>
      <w:proofErr w:type="spellEnd"/>
      <w:r>
        <w:rPr>
          <w:rFonts w:eastAsia="Calibri"/>
        </w:rPr>
        <w:t xml:space="preserve"> 6.0 (Homo sapiens, KEGG, hypergeometric test). Metabolite groups: (</w:t>
      </w:r>
      <w:proofErr w:type="spellStart"/>
      <w:r>
        <w:rPr>
          <w:rFonts w:eastAsia="Calibri"/>
        </w:rPr>
        <w:t>i</w:t>
      </w:r>
      <w:proofErr w:type="spellEnd"/>
      <w:r>
        <w:rPr>
          <w:rFonts w:eastAsia="Calibri"/>
        </w:rPr>
        <w:t>) 6M GA-only (no unique metabolites, all overlap with BPD); (ii) 6M BPD-only (n = 14); (iii) 6M Both GA+BPD (n = 16); (iv) 2Y GA-only (n = 9); (v)</w:t>
      </w:r>
      <w:r>
        <w:rPr>
          <w:rFonts w:eastAsia="Calibri"/>
        </w:rPr>
        <w:t xml:space="preserve"> 2Y BPD-only (n = 3, too few for enrichment); (vi) 2Y Both GA+BPD (n = 9). Columns: Total = total number of compounds in the pathway; Hits = number of input metabolites matching the pathway; Raw P = original enrichment P-value; FDR = false discovery rate a</w:t>
      </w:r>
      <w:r>
        <w:rPr>
          <w:rFonts w:eastAsia="Calibri"/>
        </w:rPr>
        <w:t xml:space="preserve">fter Holm correction; Impact = pathway impact score from topology analysis. Pathways with </w:t>
      </w:r>
      <w:r>
        <w:rPr>
          <w:rFonts w:eastAsia="Calibri"/>
          <w:b/>
          <w:bCs/>
        </w:rPr>
        <w:t>FDR &lt; 0.05</w:t>
      </w:r>
      <w:r>
        <w:rPr>
          <w:rFonts w:eastAsia="Calibri"/>
        </w:rPr>
        <w:t xml:space="preserve"> are highlighted.</w:t>
      </w:r>
    </w:p>
    <w:p w:rsidR="00EA3AED" w:rsidRDefault="00EA3AED">
      <w:pPr>
        <w:spacing w:after="80"/>
      </w:pPr>
    </w:p>
    <w:p w:rsidR="00EA3AED" w:rsidRDefault="009E6251">
      <w:pPr>
        <w:pStyle w:val="1"/>
      </w:pPr>
      <w:r>
        <w:rPr>
          <w:color w:val="1A2C4E"/>
        </w:rPr>
        <w:t>References</w:t>
      </w:r>
    </w:p>
    <w:p w:rsidR="00EA3AED" w:rsidRDefault="009E6251">
      <w:pPr>
        <w:spacing w:after="160" w:line="360" w:lineRule="auto"/>
      </w:pPr>
      <w:r>
        <w:rPr>
          <w:rFonts w:eastAsia="Calibri"/>
        </w:rPr>
        <w:t xml:space="preserve">1. Jensen EA, Dysart K, </w:t>
      </w:r>
      <w:proofErr w:type="spellStart"/>
      <w:r>
        <w:rPr>
          <w:rFonts w:eastAsia="Calibri"/>
        </w:rPr>
        <w:t>Gantz</w:t>
      </w:r>
      <w:proofErr w:type="spellEnd"/>
      <w:r>
        <w:rPr>
          <w:rFonts w:eastAsia="Calibri"/>
        </w:rPr>
        <w:t xml:space="preserve"> MG, et al. The Diagnosis of Bronchopulmonary Dysplasia in Very Preterm Infants. An Evidence-base</w:t>
      </w:r>
      <w:r>
        <w:rPr>
          <w:rFonts w:eastAsia="Calibri"/>
        </w:rPr>
        <w:t xml:space="preserve">d Approach. Am J </w:t>
      </w:r>
      <w:proofErr w:type="spellStart"/>
      <w:r>
        <w:rPr>
          <w:rFonts w:eastAsia="Calibri"/>
        </w:rPr>
        <w:t>Respir</w:t>
      </w:r>
      <w:proofErr w:type="spellEnd"/>
      <w:r>
        <w:rPr>
          <w:rFonts w:eastAsia="Calibri"/>
        </w:rPr>
        <w:t xml:space="preserve"> </w:t>
      </w:r>
      <w:proofErr w:type="spellStart"/>
      <w:r>
        <w:rPr>
          <w:rFonts w:eastAsia="Calibri"/>
        </w:rPr>
        <w:t>Crit</w:t>
      </w:r>
      <w:proofErr w:type="spellEnd"/>
      <w:r>
        <w:rPr>
          <w:rFonts w:eastAsia="Calibri"/>
        </w:rPr>
        <w:t xml:space="preserve"> Care Med. </w:t>
      </w:r>
      <w:proofErr w:type="gramStart"/>
      <w:r>
        <w:rPr>
          <w:rFonts w:eastAsia="Calibri"/>
        </w:rPr>
        <w:t>2019;200:751</w:t>
      </w:r>
      <w:proofErr w:type="gramEnd"/>
      <w:r>
        <w:rPr>
          <w:rFonts w:eastAsia="Calibri"/>
        </w:rPr>
        <w:t>–759.</w:t>
      </w:r>
      <w:bookmarkStart w:id="0" w:name="_GoBack"/>
      <w:bookmarkEnd w:id="0"/>
    </w:p>
    <w:p w:rsidR="00EA3AED" w:rsidRDefault="009E6251">
      <w:pPr>
        <w:spacing w:after="160" w:line="360" w:lineRule="auto"/>
      </w:pPr>
      <w:r>
        <w:rPr>
          <w:rFonts w:eastAsia="Calibri"/>
        </w:rPr>
        <w:t xml:space="preserve">2. Davidson LM, </w:t>
      </w:r>
      <w:proofErr w:type="spellStart"/>
      <w:r>
        <w:rPr>
          <w:rFonts w:eastAsia="Calibri"/>
        </w:rPr>
        <w:t>Berkelhamer</w:t>
      </w:r>
      <w:proofErr w:type="spellEnd"/>
      <w:r>
        <w:rPr>
          <w:rFonts w:eastAsia="Calibri"/>
        </w:rPr>
        <w:t xml:space="preserve"> SK. Bronchopulmonary Dysplasia: Chronic Lung Disease of Infancy and Long-Term Pulmonary Outcomes. J </w:t>
      </w:r>
      <w:proofErr w:type="spellStart"/>
      <w:r>
        <w:rPr>
          <w:rFonts w:eastAsia="Calibri"/>
        </w:rPr>
        <w:t>Clin</w:t>
      </w:r>
      <w:proofErr w:type="spellEnd"/>
      <w:r>
        <w:rPr>
          <w:rFonts w:eastAsia="Calibri"/>
        </w:rPr>
        <w:t xml:space="preserve"> Med. 2017;6.</w:t>
      </w:r>
    </w:p>
    <w:p w:rsidR="00EA3AED" w:rsidRDefault="009E6251">
      <w:pPr>
        <w:spacing w:after="160" w:line="360" w:lineRule="auto"/>
      </w:pPr>
      <w:r>
        <w:rPr>
          <w:rFonts w:eastAsia="Calibri"/>
        </w:rPr>
        <w:t>3. Jeon GW, Oh M, Lee J, Jun YH, Chang YS. Comparison</w:t>
      </w:r>
      <w:r>
        <w:rPr>
          <w:rFonts w:eastAsia="Calibri"/>
        </w:rPr>
        <w:t xml:space="preserve"> of definitions of bronchopulmonary dysplasia to reflect the long-term outcomes of extremely preterm infants. </w:t>
      </w:r>
      <w:proofErr w:type="spellStart"/>
      <w:r>
        <w:rPr>
          <w:rFonts w:eastAsia="Calibri"/>
        </w:rPr>
        <w:t>Sci</w:t>
      </w:r>
      <w:proofErr w:type="spellEnd"/>
      <w:r>
        <w:rPr>
          <w:rFonts w:eastAsia="Calibri"/>
        </w:rPr>
        <w:t xml:space="preserve"> Rep. </w:t>
      </w:r>
      <w:proofErr w:type="gramStart"/>
      <w:r>
        <w:rPr>
          <w:rFonts w:eastAsia="Calibri"/>
        </w:rPr>
        <w:t>2022;12:18095</w:t>
      </w:r>
      <w:proofErr w:type="gramEnd"/>
      <w:r>
        <w:rPr>
          <w:rFonts w:eastAsia="Calibri"/>
        </w:rPr>
        <w:t>.</w:t>
      </w:r>
    </w:p>
    <w:p w:rsidR="00EA3AED" w:rsidRDefault="009E6251">
      <w:pPr>
        <w:spacing w:after="160" w:line="360" w:lineRule="auto"/>
      </w:pPr>
      <w:r>
        <w:rPr>
          <w:rFonts w:eastAsia="Calibri"/>
        </w:rPr>
        <w:t xml:space="preserve">4. Jacob D, </w:t>
      </w:r>
      <w:proofErr w:type="spellStart"/>
      <w:r>
        <w:rPr>
          <w:rFonts w:eastAsia="Calibri"/>
        </w:rPr>
        <w:t>Deborde</w:t>
      </w:r>
      <w:proofErr w:type="spellEnd"/>
      <w:r>
        <w:rPr>
          <w:rFonts w:eastAsia="Calibri"/>
        </w:rPr>
        <w:t xml:space="preserve"> C, Lefebvre M, </w:t>
      </w:r>
      <w:proofErr w:type="spellStart"/>
      <w:r>
        <w:rPr>
          <w:rFonts w:eastAsia="Calibri"/>
        </w:rPr>
        <w:t>Maucourt</w:t>
      </w:r>
      <w:proofErr w:type="spellEnd"/>
      <w:r>
        <w:rPr>
          <w:rFonts w:eastAsia="Calibri"/>
        </w:rPr>
        <w:t xml:space="preserve"> M, </w:t>
      </w:r>
      <w:proofErr w:type="spellStart"/>
      <w:r>
        <w:rPr>
          <w:rFonts w:eastAsia="Calibri"/>
        </w:rPr>
        <w:t>Moing</w:t>
      </w:r>
      <w:proofErr w:type="spellEnd"/>
      <w:r>
        <w:rPr>
          <w:rFonts w:eastAsia="Calibri"/>
        </w:rPr>
        <w:t xml:space="preserve"> A. </w:t>
      </w:r>
      <w:proofErr w:type="spellStart"/>
      <w:r>
        <w:rPr>
          <w:rFonts w:eastAsia="Calibri"/>
        </w:rPr>
        <w:t>NMRProcFlow</w:t>
      </w:r>
      <w:proofErr w:type="spellEnd"/>
      <w:r>
        <w:rPr>
          <w:rFonts w:eastAsia="Calibri"/>
        </w:rPr>
        <w:t>: a graphical and interactive tool dedicated to 1D spec</w:t>
      </w:r>
      <w:r>
        <w:rPr>
          <w:rFonts w:eastAsia="Calibri"/>
        </w:rPr>
        <w:t xml:space="preserve">tra processing for NMR-based metabolomics. Metabolomics. </w:t>
      </w:r>
      <w:proofErr w:type="gramStart"/>
      <w:r>
        <w:rPr>
          <w:rFonts w:eastAsia="Calibri"/>
        </w:rPr>
        <w:t>2017;13:36</w:t>
      </w:r>
      <w:proofErr w:type="gramEnd"/>
      <w:r>
        <w:rPr>
          <w:rFonts w:eastAsia="Calibri"/>
        </w:rPr>
        <w:t>.</w:t>
      </w:r>
    </w:p>
    <w:p w:rsidR="00EA3AED" w:rsidRDefault="009E6251">
      <w:pPr>
        <w:spacing w:after="160" w:line="360" w:lineRule="auto"/>
      </w:pPr>
      <w:r>
        <w:rPr>
          <w:rFonts w:eastAsia="Calibri"/>
        </w:rPr>
        <w:t xml:space="preserve">5. Pang Z, Chong J, Zhou G, et al. </w:t>
      </w:r>
      <w:proofErr w:type="spellStart"/>
      <w:r>
        <w:rPr>
          <w:rFonts w:eastAsia="Calibri"/>
        </w:rPr>
        <w:t>MetaboAnalyst</w:t>
      </w:r>
      <w:proofErr w:type="spellEnd"/>
      <w:r>
        <w:rPr>
          <w:rFonts w:eastAsia="Calibri"/>
        </w:rPr>
        <w:t xml:space="preserve"> 5.0: narrowing the gap between raw spectra and functional insights. Nucleic Acids Res. 2021;</w:t>
      </w:r>
      <w:proofErr w:type="gramStart"/>
      <w:r>
        <w:rPr>
          <w:rFonts w:eastAsia="Calibri"/>
        </w:rPr>
        <w:t>49:W</w:t>
      </w:r>
      <w:proofErr w:type="gramEnd"/>
      <w:r>
        <w:rPr>
          <w:rFonts w:eastAsia="Calibri"/>
        </w:rPr>
        <w:t>388–W396.</w:t>
      </w:r>
    </w:p>
    <w:sectPr w:rsidR="00EA3AE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6251" w:rsidRDefault="009E6251" w:rsidP="00585FA5">
      <w:r>
        <w:separator/>
      </w:r>
    </w:p>
  </w:endnote>
  <w:endnote w:type="continuationSeparator" w:id="0">
    <w:p w:rsidR="009E6251" w:rsidRDefault="009E6251" w:rsidP="00585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6251" w:rsidRDefault="009E6251" w:rsidP="00585FA5">
      <w:r>
        <w:separator/>
      </w:r>
    </w:p>
  </w:footnote>
  <w:footnote w:type="continuationSeparator" w:id="0">
    <w:p w:rsidR="009E6251" w:rsidRDefault="009E6251" w:rsidP="00585FA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64071F"/>
    <w:multiLevelType w:val="hybridMultilevel"/>
    <w:tmpl w:val="C14AE442"/>
    <w:lvl w:ilvl="0" w:tplc="40AEE584">
      <w:start w:val="1"/>
      <w:numFmt w:val="bullet"/>
      <w:lvlText w:val="●"/>
      <w:lvlJc w:val="left"/>
      <w:pPr>
        <w:ind w:left="720" w:hanging="360"/>
      </w:pPr>
    </w:lvl>
    <w:lvl w:ilvl="1" w:tplc="8C529AA4">
      <w:start w:val="1"/>
      <w:numFmt w:val="bullet"/>
      <w:lvlText w:val="○"/>
      <w:lvlJc w:val="left"/>
      <w:pPr>
        <w:ind w:left="1440" w:hanging="360"/>
      </w:pPr>
    </w:lvl>
    <w:lvl w:ilvl="2" w:tplc="26AC1830">
      <w:start w:val="1"/>
      <w:numFmt w:val="bullet"/>
      <w:lvlText w:val="■"/>
      <w:lvlJc w:val="left"/>
      <w:pPr>
        <w:ind w:left="2160" w:hanging="360"/>
      </w:pPr>
    </w:lvl>
    <w:lvl w:ilvl="3" w:tplc="6B32FAC8">
      <w:start w:val="1"/>
      <w:numFmt w:val="bullet"/>
      <w:lvlText w:val="●"/>
      <w:lvlJc w:val="left"/>
      <w:pPr>
        <w:ind w:left="2880" w:hanging="360"/>
      </w:pPr>
    </w:lvl>
    <w:lvl w:ilvl="4" w:tplc="56B83FCE">
      <w:start w:val="1"/>
      <w:numFmt w:val="bullet"/>
      <w:lvlText w:val="○"/>
      <w:lvlJc w:val="left"/>
      <w:pPr>
        <w:ind w:left="3600" w:hanging="360"/>
      </w:pPr>
    </w:lvl>
    <w:lvl w:ilvl="5" w:tplc="117ABE2A">
      <w:start w:val="1"/>
      <w:numFmt w:val="bullet"/>
      <w:lvlText w:val="■"/>
      <w:lvlJc w:val="left"/>
      <w:pPr>
        <w:ind w:left="4320" w:hanging="360"/>
      </w:pPr>
    </w:lvl>
    <w:lvl w:ilvl="6" w:tplc="FD4E1FBE">
      <w:start w:val="1"/>
      <w:numFmt w:val="bullet"/>
      <w:lvlText w:val="●"/>
      <w:lvlJc w:val="left"/>
      <w:pPr>
        <w:ind w:left="5040" w:hanging="360"/>
      </w:pPr>
    </w:lvl>
    <w:lvl w:ilvl="7" w:tplc="31CCEF56">
      <w:start w:val="1"/>
      <w:numFmt w:val="bullet"/>
      <w:lvlText w:val="●"/>
      <w:lvlJc w:val="left"/>
      <w:pPr>
        <w:ind w:left="5760" w:hanging="360"/>
      </w:pPr>
    </w:lvl>
    <w:lvl w:ilvl="8" w:tplc="7090D50C">
      <w:start w:val="1"/>
      <w:numFmt w:val="bullet"/>
      <w:lvlText w:val="●"/>
      <w:lvlJc w:val="left"/>
      <w:pPr>
        <w:ind w:left="6480" w:hanging="360"/>
      </w:pPr>
    </w:lvl>
  </w:abstractNum>
  <w:abstractNum w:abstractNumId="1" w15:restartNumberingAfterBreak="0">
    <w:nsid w:val="6E5155AB"/>
    <w:multiLevelType w:val="hybridMultilevel"/>
    <w:tmpl w:val="76426666"/>
    <w:lvl w:ilvl="0" w:tplc="E2F0962C">
      <w:start w:val="1"/>
      <w:numFmt w:val="bullet"/>
      <w:lvlText w:val="•"/>
      <w:lvlJc w:val="left"/>
      <w:pPr>
        <w:ind w:left="720" w:hanging="360"/>
      </w:pPr>
    </w:lvl>
    <w:lvl w:ilvl="1" w:tplc="7EB2F386">
      <w:start w:val="1"/>
      <w:numFmt w:val="bullet"/>
      <w:lvlText w:val="◦"/>
      <w:lvlJc w:val="left"/>
      <w:pPr>
        <w:ind w:left="1080" w:hanging="360"/>
      </w:pPr>
    </w:lvl>
    <w:lvl w:ilvl="2" w:tplc="261A2AEA">
      <w:numFmt w:val="decimal"/>
      <w:lvlText w:val=""/>
      <w:lvlJc w:val="left"/>
    </w:lvl>
    <w:lvl w:ilvl="3" w:tplc="CBF86888">
      <w:numFmt w:val="decimal"/>
      <w:lvlText w:val=""/>
      <w:lvlJc w:val="left"/>
    </w:lvl>
    <w:lvl w:ilvl="4" w:tplc="9A960B5E">
      <w:numFmt w:val="decimal"/>
      <w:lvlText w:val=""/>
      <w:lvlJc w:val="left"/>
    </w:lvl>
    <w:lvl w:ilvl="5" w:tplc="909EA4F8">
      <w:numFmt w:val="decimal"/>
      <w:lvlText w:val=""/>
      <w:lvlJc w:val="left"/>
    </w:lvl>
    <w:lvl w:ilvl="6" w:tplc="59AEC2AA">
      <w:numFmt w:val="decimal"/>
      <w:lvlText w:val=""/>
      <w:lvlJc w:val="left"/>
    </w:lvl>
    <w:lvl w:ilvl="7" w:tplc="890E4736">
      <w:numFmt w:val="decimal"/>
      <w:lvlText w:val=""/>
      <w:lvlJc w:val="left"/>
    </w:lvl>
    <w:lvl w:ilvl="8" w:tplc="6C1C05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AED"/>
    <w:rsid w:val="001A4652"/>
    <w:rsid w:val="00585FA5"/>
    <w:rsid w:val="006230D1"/>
    <w:rsid w:val="009B5431"/>
    <w:rsid w:val="009E6251"/>
    <w:rsid w:val="00C025DC"/>
    <w:rsid w:val="00CC42C4"/>
    <w:rsid w:val="00CD61D0"/>
    <w:rsid w:val="00E22ADD"/>
    <w:rsid w:val="00EA3A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FAC5F4"/>
  <w15:docId w15:val="{F8CA3CA7-D028-4095-A856-22C2BCBAD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sz w:val="22"/>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spacing w:before="360" w:after="120"/>
      <w:outlineLvl w:val="0"/>
    </w:pPr>
    <w:rPr>
      <w:rFonts w:eastAsia="Calibri"/>
      <w:b/>
      <w:bCs/>
      <w:sz w:val="32"/>
      <w:szCs w:val="32"/>
    </w:rPr>
  </w:style>
  <w:style w:type="paragraph" w:styleId="2">
    <w:name w:val="heading 2"/>
    <w:qFormat/>
    <w:pPr>
      <w:spacing w:before="240" w:after="80"/>
      <w:outlineLvl w:val="1"/>
    </w:pPr>
    <w:rPr>
      <w:rFonts w:eastAsia="Calibri"/>
      <w:b/>
      <w:bCs/>
      <w:sz w:val="26"/>
      <w:szCs w:val="26"/>
    </w:rPr>
  </w:style>
  <w:style w:type="paragraph" w:styleId="3">
    <w:name w:val="heading 3"/>
    <w:qFormat/>
    <w:pPr>
      <w:spacing w:before="160" w:after="60"/>
      <w:outlineLvl w:val="2"/>
    </w:pPr>
    <w:rPr>
      <w:rFonts w:eastAsia="Calibri"/>
      <w:b/>
      <w:bCs/>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585FA5"/>
    <w:pPr>
      <w:tabs>
        <w:tab w:val="center" w:pos="4153"/>
        <w:tab w:val="right" w:pos="8306"/>
      </w:tabs>
      <w:snapToGrid w:val="0"/>
    </w:pPr>
    <w:rPr>
      <w:sz w:val="20"/>
      <w:szCs w:val="20"/>
    </w:rPr>
  </w:style>
  <w:style w:type="character" w:customStyle="1" w:styleId="ad">
    <w:name w:val="頁首 字元"/>
    <w:basedOn w:val="a0"/>
    <w:link w:val="ac"/>
    <w:uiPriority w:val="99"/>
    <w:rsid w:val="00585FA5"/>
    <w:rPr>
      <w:sz w:val="20"/>
      <w:szCs w:val="20"/>
    </w:rPr>
  </w:style>
  <w:style w:type="paragraph" w:styleId="ae">
    <w:name w:val="footer"/>
    <w:basedOn w:val="a"/>
    <w:link w:val="af"/>
    <w:uiPriority w:val="99"/>
    <w:unhideWhenUsed/>
    <w:rsid w:val="00585FA5"/>
    <w:pPr>
      <w:tabs>
        <w:tab w:val="center" w:pos="4153"/>
        <w:tab w:val="right" w:pos="8306"/>
      </w:tabs>
      <w:snapToGrid w:val="0"/>
    </w:pPr>
    <w:rPr>
      <w:sz w:val="20"/>
      <w:szCs w:val="20"/>
    </w:rPr>
  </w:style>
  <w:style w:type="character" w:customStyle="1" w:styleId="af">
    <w:name w:val="頁尾 字元"/>
    <w:basedOn w:val="a0"/>
    <w:link w:val="ae"/>
    <w:uiPriority w:val="99"/>
    <w:rsid w:val="00585FA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525092">
      <w:bodyDiv w:val="1"/>
      <w:marLeft w:val="0"/>
      <w:marRight w:val="0"/>
      <w:marTop w:val="0"/>
      <w:marBottom w:val="0"/>
      <w:divBdr>
        <w:top w:val="none" w:sz="0" w:space="0" w:color="auto"/>
        <w:left w:val="none" w:sz="0" w:space="0" w:color="auto"/>
        <w:bottom w:val="none" w:sz="0" w:space="0" w:color="auto"/>
        <w:right w:val="none" w:sz="0" w:space="0" w:color="auto"/>
      </w:divBdr>
      <w:divsChild>
        <w:div w:id="1379938585">
          <w:marLeft w:val="0"/>
          <w:marRight w:val="0"/>
          <w:marTop w:val="0"/>
          <w:marBottom w:val="0"/>
          <w:divBdr>
            <w:top w:val="single" w:sz="6" w:space="0" w:color="auto"/>
            <w:left w:val="single" w:sz="6" w:space="0" w:color="auto"/>
            <w:bottom w:val="single" w:sz="6" w:space="0" w:color="auto"/>
            <w:right w:val="single" w:sz="6" w:space="0" w:color="auto"/>
          </w:divBdr>
          <w:divsChild>
            <w:div w:id="283267377">
              <w:marLeft w:val="0"/>
              <w:marRight w:val="0"/>
              <w:marTop w:val="0"/>
              <w:marBottom w:val="0"/>
              <w:divBdr>
                <w:top w:val="none" w:sz="0" w:space="0" w:color="auto"/>
                <w:left w:val="none" w:sz="0" w:space="0" w:color="auto"/>
                <w:bottom w:val="none" w:sz="0" w:space="0" w:color="auto"/>
                <w:right w:val="none" w:sz="0" w:space="0" w:color="auto"/>
              </w:divBdr>
              <w:divsChild>
                <w:div w:id="1252859467">
                  <w:marLeft w:val="0"/>
                  <w:marRight w:val="0"/>
                  <w:marTop w:val="0"/>
                  <w:marBottom w:val="60"/>
                  <w:divBdr>
                    <w:top w:val="none" w:sz="0" w:space="0" w:color="auto"/>
                    <w:left w:val="none" w:sz="0" w:space="0" w:color="auto"/>
                    <w:bottom w:val="none" w:sz="0" w:space="0" w:color="auto"/>
                    <w:right w:val="none" w:sz="0" w:space="0" w:color="auto"/>
                  </w:divBdr>
                </w:div>
                <w:div w:id="6337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7094">
          <w:marLeft w:val="0"/>
          <w:marRight w:val="0"/>
          <w:marTop w:val="0"/>
          <w:marBottom w:val="0"/>
          <w:divBdr>
            <w:top w:val="single" w:sz="6" w:space="0" w:color="auto"/>
            <w:left w:val="single" w:sz="6" w:space="0" w:color="auto"/>
            <w:bottom w:val="single" w:sz="6" w:space="0" w:color="auto"/>
            <w:right w:val="single" w:sz="6" w:space="0" w:color="auto"/>
          </w:divBdr>
          <w:divsChild>
            <w:div w:id="466095300">
              <w:marLeft w:val="0"/>
              <w:marRight w:val="0"/>
              <w:marTop w:val="0"/>
              <w:marBottom w:val="0"/>
              <w:divBdr>
                <w:top w:val="none" w:sz="0" w:space="0" w:color="auto"/>
                <w:left w:val="none" w:sz="0" w:space="0" w:color="auto"/>
                <w:bottom w:val="none" w:sz="0" w:space="0" w:color="auto"/>
                <w:right w:val="none" w:sz="0" w:space="0" w:color="auto"/>
              </w:divBdr>
              <w:divsChild>
                <w:div w:id="674652537">
                  <w:marLeft w:val="0"/>
                  <w:marRight w:val="0"/>
                  <w:marTop w:val="0"/>
                  <w:marBottom w:val="60"/>
                  <w:divBdr>
                    <w:top w:val="none" w:sz="0" w:space="0" w:color="auto"/>
                    <w:left w:val="none" w:sz="0" w:space="0" w:color="auto"/>
                    <w:bottom w:val="none" w:sz="0" w:space="0" w:color="auto"/>
                    <w:right w:val="none" w:sz="0" w:space="0" w:color="auto"/>
                  </w:divBdr>
                </w:div>
                <w:div w:id="21224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76668">
          <w:marLeft w:val="0"/>
          <w:marRight w:val="0"/>
          <w:marTop w:val="0"/>
          <w:marBottom w:val="0"/>
          <w:divBdr>
            <w:top w:val="single" w:sz="6" w:space="0" w:color="auto"/>
            <w:left w:val="single" w:sz="6" w:space="0" w:color="auto"/>
            <w:bottom w:val="single" w:sz="6" w:space="0" w:color="auto"/>
            <w:right w:val="single" w:sz="6" w:space="0" w:color="auto"/>
          </w:divBdr>
          <w:divsChild>
            <w:div w:id="594242583">
              <w:marLeft w:val="0"/>
              <w:marRight w:val="0"/>
              <w:marTop w:val="0"/>
              <w:marBottom w:val="0"/>
              <w:divBdr>
                <w:top w:val="none" w:sz="0" w:space="0" w:color="auto"/>
                <w:left w:val="none" w:sz="0" w:space="0" w:color="auto"/>
                <w:bottom w:val="none" w:sz="0" w:space="0" w:color="auto"/>
                <w:right w:val="none" w:sz="0" w:space="0" w:color="auto"/>
              </w:divBdr>
              <w:divsChild>
                <w:div w:id="2063408887">
                  <w:marLeft w:val="0"/>
                  <w:marRight w:val="0"/>
                  <w:marTop w:val="0"/>
                  <w:marBottom w:val="60"/>
                  <w:divBdr>
                    <w:top w:val="none" w:sz="0" w:space="0" w:color="auto"/>
                    <w:left w:val="none" w:sz="0" w:space="0" w:color="auto"/>
                    <w:bottom w:val="none" w:sz="0" w:space="0" w:color="auto"/>
                    <w:right w:val="none" w:sz="0" w:space="0" w:color="auto"/>
                  </w:divBdr>
                </w:div>
                <w:div w:id="194117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93828">
          <w:marLeft w:val="0"/>
          <w:marRight w:val="0"/>
          <w:marTop w:val="0"/>
          <w:marBottom w:val="0"/>
          <w:divBdr>
            <w:top w:val="single" w:sz="6" w:space="0" w:color="auto"/>
            <w:left w:val="single" w:sz="6" w:space="0" w:color="auto"/>
            <w:bottom w:val="single" w:sz="6" w:space="0" w:color="auto"/>
            <w:right w:val="single" w:sz="6" w:space="0" w:color="auto"/>
          </w:divBdr>
          <w:divsChild>
            <w:div w:id="675770892">
              <w:marLeft w:val="0"/>
              <w:marRight w:val="0"/>
              <w:marTop w:val="0"/>
              <w:marBottom w:val="0"/>
              <w:divBdr>
                <w:top w:val="none" w:sz="0" w:space="0" w:color="auto"/>
                <w:left w:val="none" w:sz="0" w:space="0" w:color="auto"/>
                <w:bottom w:val="none" w:sz="0" w:space="0" w:color="auto"/>
                <w:right w:val="none" w:sz="0" w:space="0" w:color="auto"/>
              </w:divBdr>
              <w:divsChild>
                <w:div w:id="1040012043">
                  <w:marLeft w:val="0"/>
                  <w:marRight w:val="0"/>
                  <w:marTop w:val="0"/>
                  <w:marBottom w:val="60"/>
                  <w:divBdr>
                    <w:top w:val="none" w:sz="0" w:space="0" w:color="auto"/>
                    <w:left w:val="none" w:sz="0" w:space="0" w:color="auto"/>
                    <w:bottom w:val="none" w:sz="0" w:space="0" w:color="auto"/>
                    <w:right w:val="none" w:sz="0" w:space="0" w:color="auto"/>
                  </w:divBdr>
                </w:div>
                <w:div w:id="18953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35562">
          <w:marLeft w:val="0"/>
          <w:marRight w:val="0"/>
          <w:marTop w:val="0"/>
          <w:marBottom w:val="0"/>
          <w:divBdr>
            <w:top w:val="single" w:sz="6" w:space="0" w:color="auto"/>
            <w:left w:val="single" w:sz="6" w:space="0" w:color="auto"/>
            <w:bottom w:val="single" w:sz="6" w:space="0" w:color="auto"/>
            <w:right w:val="single" w:sz="6" w:space="0" w:color="auto"/>
          </w:divBdr>
          <w:divsChild>
            <w:div w:id="228804969">
              <w:marLeft w:val="0"/>
              <w:marRight w:val="0"/>
              <w:marTop w:val="0"/>
              <w:marBottom w:val="0"/>
              <w:divBdr>
                <w:top w:val="none" w:sz="0" w:space="0" w:color="auto"/>
                <w:left w:val="none" w:sz="0" w:space="0" w:color="auto"/>
                <w:bottom w:val="none" w:sz="0" w:space="0" w:color="auto"/>
                <w:right w:val="none" w:sz="0" w:space="0" w:color="auto"/>
              </w:divBdr>
              <w:divsChild>
                <w:div w:id="1464274346">
                  <w:marLeft w:val="0"/>
                  <w:marRight w:val="0"/>
                  <w:marTop w:val="0"/>
                  <w:marBottom w:val="60"/>
                  <w:divBdr>
                    <w:top w:val="none" w:sz="0" w:space="0" w:color="auto"/>
                    <w:left w:val="none" w:sz="0" w:space="0" w:color="auto"/>
                    <w:bottom w:val="none" w:sz="0" w:space="0" w:color="auto"/>
                    <w:right w:val="none" w:sz="0" w:space="0" w:color="auto"/>
                  </w:divBdr>
                </w:div>
                <w:div w:id="117468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6132">
          <w:marLeft w:val="0"/>
          <w:marRight w:val="0"/>
          <w:marTop w:val="0"/>
          <w:marBottom w:val="0"/>
          <w:divBdr>
            <w:top w:val="single" w:sz="6" w:space="0" w:color="auto"/>
            <w:left w:val="single" w:sz="6" w:space="0" w:color="auto"/>
            <w:bottom w:val="single" w:sz="6" w:space="0" w:color="auto"/>
            <w:right w:val="single" w:sz="6" w:space="0" w:color="auto"/>
          </w:divBdr>
          <w:divsChild>
            <w:div w:id="559170693">
              <w:marLeft w:val="0"/>
              <w:marRight w:val="0"/>
              <w:marTop w:val="0"/>
              <w:marBottom w:val="0"/>
              <w:divBdr>
                <w:top w:val="none" w:sz="0" w:space="0" w:color="auto"/>
                <w:left w:val="none" w:sz="0" w:space="0" w:color="auto"/>
                <w:bottom w:val="none" w:sz="0" w:space="0" w:color="auto"/>
                <w:right w:val="none" w:sz="0" w:space="0" w:color="auto"/>
              </w:divBdr>
              <w:divsChild>
                <w:div w:id="620189642">
                  <w:marLeft w:val="0"/>
                  <w:marRight w:val="0"/>
                  <w:marTop w:val="0"/>
                  <w:marBottom w:val="60"/>
                  <w:divBdr>
                    <w:top w:val="none" w:sz="0" w:space="0" w:color="auto"/>
                    <w:left w:val="none" w:sz="0" w:space="0" w:color="auto"/>
                    <w:bottom w:val="none" w:sz="0" w:space="0" w:color="auto"/>
                    <w:right w:val="none" w:sz="0" w:space="0" w:color="auto"/>
                  </w:divBdr>
                </w:div>
                <w:div w:id="206910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1177</TotalTime>
  <Pages>5</Pages>
  <Words>1613</Words>
  <Characters>9195</Characters>
  <Application>Microsoft Office Word</Application>
  <DocSecurity>0</DocSecurity>
  <Lines>76</Lines>
  <Paragraphs>21</Paragraphs>
  <ScaleCrop>false</ScaleCrop>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Neo Chiang</cp:lastModifiedBy>
  <cp:revision>3</cp:revision>
  <dcterms:created xsi:type="dcterms:W3CDTF">2026-05-13T08:27:00Z</dcterms:created>
  <dcterms:modified xsi:type="dcterms:W3CDTF">2026-05-14T04:08:00Z</dcterms:modified>
</cp:coreProperties>
</file>