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categorized by BPD severity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(n=49)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(n=31)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(n=44)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(48.4%)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30.18 ± 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 ± 2.35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1389.11 ± 285.47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827.39 ± 215.37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1379.97 ± 256.93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849.75 ± 252.78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7.55 ± 2.33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 ± 2.46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 ± 1.20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 ± 21.12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49.82 ± 33.10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 ± 25.19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37.66 ± 27.61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26.68 ± 26.02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13.30 ± 21.28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45.85 ± 31.18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36.52 ± 32.59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 ± 20.76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43.63 ± 27.53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 ± 23.86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27.96 ± 27.18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41.10 ± 27.45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31.10 ± 27.17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 ± 21.50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(54.8%)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(36.4%)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(26.5%)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(76.7%)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(25.8%)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(79.1%)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Body weight, body height and BMI are presented as percentiles. GA, gestational age; BPD, bronchopulmonary dysplasia; HC, healthy controls; No+Mild BPD, no and mild BPD; M+S BPD, moderate and severe BPD; wk, week; g, gram; BMI, body mass index. 6M BMI percentile was not available. All P-values &lt; 0.05, which is in bold, are significant.</w:t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2026-05-15T04:35:19Z</dcterms:modified>
  <cp:category/>
</cp:coreProperties>
</file>