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(n=31)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(48.4%)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 ± 2.35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1389.11 ± 285.47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827.39 ± 215.37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1379.97 ± 256.93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849.75 ± 252.78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 ± 1.20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49.82 ± 33.10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 ± 25.19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26.68 ± 26.02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± 21.28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36.52 ± 32.59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 ± 20.76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 ± 23.86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27.96 ± 27.18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31.10 ± 27.17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 ± 21.50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(54.8%)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(25.8%)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(79.1%)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not available.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2026-05-15T04:34:37Z</dcterms:modified>
  <cp:category/>
</cp:coreProperties>
</file>