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(n=31)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(n=44)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(48.4%)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 ± 2.35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1389.11 ± 285.47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827.39 ± 215.37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1379.97 ± 256.93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849.75 ± 252.78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 ± 1.20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49.82 ± 33.10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 ± 25.19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26.68 ± 26.02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13.30 ± 21.28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36.52 ± 32.59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 ± 20.76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 ± 23.86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27.96 ± 27.18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57.09 ± 25.87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68.51 ± 28.01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43.84 ± 32.89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31.10 ± 27.17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 ± 21.50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(54.8%)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(25.8%)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(79.1%)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computed from WHO Child Growth Standards LMS parameters.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2026-05-19T08:02:34Z</dcterms:modified>
  <cp:category/>
</cp:coreProperties>
</file>