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less than 32 weeks of gestational age categorized by different GA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(n=48)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(n=41)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(n=37)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(n=38)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(51.4%)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30.76 ± 0.93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 ± 1.33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1351.64 ± 275.86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782.08 ± 205.11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1374.19 ± 223.63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771.66 ± 182.66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7.05 ± 2.17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 ± 2.63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25.52 ± 1.15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(kg)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7.86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 ± 1.37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6.96 ± 1.51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 ± 1.61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11.38 ± 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 ± 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(cm)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67.54 ± 3.40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 ± 3.56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64.49 ± 5.60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87.50 ± 4.26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85.26 ± 3.79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84.18 ± 4.37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(kg/m²)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17.21 ± 1.05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17.72 ± 2.39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16.54 ± 1.80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 ± 1.27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 ± 1.43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14.93 ± 1.36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(43.2%)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(32.4%)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GA, gestational age; BPD, bronchopulmonary dysplasia; HC, healthy controls; No+Mild BPD, no and mild BPD; M+S BPD, moderate and severe BPD; wk, week; g, gram; cm, centimeter; BMI, body mass index. All P-values &lt; 0.05, which is in bold, are significant.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2026-04-30T03:41:28Z</dcterms:modified>
  <cp:category/>
</cp:coreProperties>
</file>