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less than 32 weeks of gestational age categorized by BPD severity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(n=49)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(n=70)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(n=54)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(n=82)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(40.0%)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(46.9%)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(37.1%)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(53.7%)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 (48.8%)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0.153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 ± 1.69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27.24 ± 2.42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39.12 ± 0.84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30.07 ± 1.79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27.63 ± 2.50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3145.70 ± 367.06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1404.90 ± 287.17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843.47 ± 241.74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3107.71 ± 362.54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1376.22 ± 275.12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900.17 ± 283.34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7.55 ± 2.33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 ± 2.46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27.36 ± 2.60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25.52 ± 1.18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25.18 ± 1.79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(kg)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7.86 ± 0.84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8.14 ± 1.03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6.80 ± 1.54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12.37 ± 1.62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11.95 ± 1.80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10.40 ± 1.47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(cm)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67.54 ± 3.40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 ± 2.94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63.83 ± 5.23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87.61 ± 4.29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86.36 ± 3.66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83.91 ± 4.37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(kg/m²)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17.21 ± 1.05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17.99 ± 1.84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± 2.23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 ± 1.28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15.96 ± 1.51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14.73 ± 1.32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(35.3%)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(38.6%)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(47.2%)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(32.1%)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(26.5%)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(76.7%)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(27.8%)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(71.2%)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GA, gestational age; BPD, bronchopulmonary dysplasia; HC, healthy controls; No+Mild BPD, no and mild BPD; M+S BPD, moderate and severe BPD; wk, week; g, gram; cm, centimeter; BMI, body mass index. All P-values &lt; 0.05, which is in bold, are significant.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2026-04-29T10:24:46Z</dcterms:modified>
  <cp:category/>
</cp:coreProperties>
</file>