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(n=70)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(n=73)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(n=63)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(45.8%)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(37.1%)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(55.6%)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39.12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30.71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26.15 ± 1.34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1369.00 ± 273.94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775.95 ± 203.64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3107.71 ± 362.54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1345.45 ± 266.29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792.25 ± 198.35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27.36 ± 2.60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25.50 ± 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25.15 ± 1.90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6.96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12.37 ± 1.62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 ± 1.93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 ± 1.56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 ± 3.56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64.49 ± 5.60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87.61 ± 4.29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85.27 ± 4.12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 ± 4.39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17.72 ± 2.39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16.54 ± 1.80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 ± 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 ± 1.49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(37.8%)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(80.3%)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2026-04-29T10:24:46Z</dcterms:modified>
  <cp:category/>
</cp:coreProperties>
</file>