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sectPr w:officer="true">
          <w:pgSz w:h="16838" w:w="11906" w:orient="portrait"/>
          <w:type w:val="oddPage"/>
          <w:cols/>
          <w:pgMar w:top="1417" w:right="1417" w:bottom="1417" w:left="1417" w:header="708" w:footer="708" w:gutter="0"/>
        </w:sectPr>
      </w:pPr>
    </w:p>
    <w:p>
      <w:pPr>
        <w:pStyle w:val="Normal"/>
      </w:pPr>
      <w:r>
        <w:t xml:space="preserve">Table 1. Comparisons of the demographic and clinical characteristics among groups.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720"/>
        <w:gridCol w:w="1584"/>
        <w:gridCol w:w="1584"/>
        <w:gridCol w:w="1584"/>
        <w:gridCol w:w="1584"/>
        <w:gridCol w:w="792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Group 1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Group 2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Group 3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B3B3B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B3B3B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123</w:t>
            </w:r>
          </w:p>
        </w:tc>
        <w:tc>
          <w:tcPr>
            <w:tcBorders>
              <w:bottom w:val="single" w:sz="4" w:space="0" w:color="B3B3B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B3B3B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B3B3B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3B3B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Analysis_cell_type....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Type 1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103 (83.7)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 (98.5)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 (100.0)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X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Type 2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 (16.3)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(1.5)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 (100.0)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age..mean..SD..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51.96 (11.29)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47.74 (12.03)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56.75 (8.80)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57.05 (6.33)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Recur....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108 (87.8)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 (95.5)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 (81.6)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 (73.7)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X.1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 (12.2)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(4.5)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(18.4)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(26.3)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Death....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 (90.2)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 (97.0)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 (89.5)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(68.4)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X.2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(9.8)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(3.0)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(10.5)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(31.6)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BH..mean..SD..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156.29 (6.05)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157.70 (6.85)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155.01 (4.93)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153.95 (3.57)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0.016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BW..mean..SD..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64.95 (15.95)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69.24 (17.82)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59.59 (10.96)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60.74 (13.57)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BMI..mean..SD..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26.52 (5.85)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27.79 (6.50)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24.80 (4.41)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25.53 (5.10)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CA.125..median..IQR..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21.50 [13.40, 42.55]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20.10 [12.83, 29.82]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26.15 [15.62, 63.43]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33.50 [12.30, 54.10]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0.073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WBC..median..IQR..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8.50 [6.55, 10.75]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8.50 [6.80, 10.78]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8.75 [5.93, 12.60]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7.80 [6.00, 9.30]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0.327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MM_numeric..median..IQR..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15.00 [0.00, 55.00]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9.00 [0.00, 26.25]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26.00 [9.75, 57.75]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75.00 [49.00, 98.50]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cx....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105 (89.7)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 (96.8)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 (89.2)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(66.7)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X.3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(10.3)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(3.2)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(10.8)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(33.3)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adnexa....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 (94.0)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 (95.1)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 (94.6)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 (88.9)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0.501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X.4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(6.0)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(4.9)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(5.4)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(11.1)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PLN....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 (90.1)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 (100.0)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 (85.7)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(72.2)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X.5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 (9.9)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(14.3)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(27.8)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PALN....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 (84.8)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(100.0)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(72.7)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(81.8)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0.327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X.6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(15.2)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(27.3)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(18.2)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12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omentum....</w:t>
            </w:r>
          </w:p>
        </w:tc>
        <w:tc>
          <w:tcPr>
            <w:tcBorders>
              <w:bottom w:val="single" w:sz="12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 (100.0)</w:t>
            </w:r>
          </w:p>
        </w:tc>
        <w:tc>
          <w:tcPr>
            <w:tcBorders>
              <w:bottom w:val="single" w:sz="12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(100.0)</w:t>
            </w:r>
          </w:p>
        </w:tc>
        <w:tc>
          <w:tcPr>
            <w:tcBorders>
              <w:bottom w:val="single" w:sz="12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(100.0)</w:t>
            </w:r>
          </w:p>
        </w:tc>
        <w:tc>
          <w:tcPr>
            <w:tcBorders>
              <w:bottom w:val="single" w:sz="12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(100.0)</w:t>
            </w:r>
          </w:p>
        </w:tc>
        <w:tc>
          <w:tcPr>
            <w:tcBorders>
              <w:bottom w:val="single" w:sz="12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Data shown are mean &lt;c2&gt;&lt;b1&gt; SD, median [IQR], or number (%) of patients as appropriate. BMI, body mass index; CA-125, cancer antigen 125; WBC, white blood cell count; MI, myometrial invasion; LN, lymph node. P-values &lt; 0.05 (shown in bold) are considered statistically significant. Fisher's exact test was used for categorical variables.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2026-07-24T09:04:43Z</dcterms:modified>
  <cp:category/>
</cp:coreProperties>
</file>