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BPD severity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HC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No+Mild BPD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M+S BPD (n=49)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(6M)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(2Y)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(46.9%)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(46.9%)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30.18 ± 1.69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27.24 ± 2.42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1404.90 ± 287.17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843.47 ± 241.74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1404.90 ± 287.17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841.00 ± 242.59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7.55 ± 2.33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 ± 2.46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27.30 ± 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25.31 ± 1.00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 ± 1.45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8.14 ± 1.03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6.80 ± 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12.33 ± 1.65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12.16 ± 1.90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10.20 ± 1.26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 ± 2.94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63.83 ± 5.23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87.76 ± 4.34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86.67 ± 3.62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 ± 3.33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17.99 ± 1.84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 ± 2.23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15.96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 ± 1.62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 ± 1.46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(35.3%)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(38.6%)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(54.5%)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(40.7%)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(33.3%)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(26.5%)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(76.7%)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(27.5%)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(72.9%)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2026-04-14T04:27:06Z</dcterms:modified>
  <cp:category/>
</cp:coreProperties>
</file>