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categorized by BPD severity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(n=49)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(n=31)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(n=44)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(48.4%)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30.18 ± 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 ± 2.35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1389.11 ± 285.47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827.39 ± 215.37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1379.97 ± 256.93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849.75 ± 252.78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7.55 ± 2.33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 ± 2.46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 ± 1.20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 ± 21.12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49.82 ± 33.10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 ± 25.19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37.66 ± 27.61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26.68 ± 26.02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13.30 ± 21.28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45.85 ± 31.18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36.52 ± 32.59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 ± 20.76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43.63 ± 27.53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 ± 23.86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27.96 ± 27.18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57.07 ± 25.88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68.48 ± 27.99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43.84 ± 32.91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41.10 ± 27.45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31.10 ± 27.17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 ± 21.50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(54.8%)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(36.4%)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(26.5%)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(76.7%)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(25.8%)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(79.1%)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Body weight, body height and BMI are presented as percentiles. GA, gestational age; BPD, bronchopulmonary dysplasia; HC, healthy controls; No+Mild BPD, no and mild BPD; M+S BPD, moderate and severe BPD; wk, week; g, gram; BMI, body mass index. 6M BMI percentile was computed from WHO Child Growth Standards LMS parameters. All P-values &lt; 0.05, which is in bold, are significant.</w:t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2026-05-19T07:18:43Z</dcterms:modified>
  <cp:category/>
</cp:coreProperties>
</file>