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>Table 1. Comparisons of the demographic characteristics among full-term and preterm infants categorized by different GA at the corrected ages of 6 months and 2 years.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437" w:hRule="auto"/>
          <w:tblHeader/>
        </w:trPr>
        header1
        <w:tc>
          <w:tcPr>
            <w:vMerge w:val="restart"/>
            <w:tcBorders>
              <w:bottom w:val="none" w:sz="0" w:space="0" w:color="FFFFFF"/>
              <w:top w:val="single" w:sz="8" w:space="0" w:color="000000"/>
              <w:left w:val="single" w:sz="8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Characteristics</w:t>
            </w:r>
          </w:p>
        </w:tc>
        <w:tc>
          <w:tcPr>
            <w:gridSpan w:val="4"/>
            <w:tcBorders>
              <w:bottom w:val="none" w:sz="0" w:space="0" w:color="FFFFFF"/>
              <w:top w:val="single" w:sz="8" w:space="0" w:color="000000"/>
              <w:left w:val="single" w:sz="6" w:space="0" w:color="000000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6M</w:t>
            </w:r>
          </w:p>
        </w:tc>
        <w:tc>
          <w:tcPr>
            <w:gridSpan w:val="4"/>
            <w:tcBorders>
              <w:bottom w:val="none" w:sz="0" w:space="0" w:color="FFFFFF"/>
              <w:top w:val="single" w:sz="8" w:space="0" w:color="000000"/>
              <w:left w:val="single" w:sz="6" w:space="0" w:color="000000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2Y</w:t>
            </w:r>
          </w:p>
        </w:tc>
      </w:tr>
      <w:tr>
        <w:trPr>
          <w:trHeight w:val="463" w:hRule="auto"/>
          <w:tblHeader/>
        </w:trPr>
        header2
        <w:tc>
          <w:tcPr>
            <w:vMerge/>
            <w:tcBorders>
              <w:bottom w:val="single" w:sz="8" w:space="0" w:color="000000"/>
              <w:top w:val="none" w:sz="0" w:space="0" w:color="FFFFFF"/>
              <w:left w:val="single" w:sz="8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</w:p>
        </w:tc>
        <w:tc>
          <w:tcPr>
            <w:tcBorders>
              <w:bottom w:val="single" w:sz="8" w:space="0" w:color="000000"/>
              <w:top w:val="none" w:sz="0" w:space="0" w:color="FFFFFF"/>
              <w:left w:val="single" w:sz="6" w:space="0" w:color="000000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≥37 weeks (n=50)</w:t>
            </w:r>
          </w:p>
        </w:tc>
        <w:tc>
          <w:tcPr>
            <w:tcBorders>
              <w:bottom w:val="single" w:sz="8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28-32 weeks (n=48)</w:t>
            </w:r>
          </w:p>
        </w:tc>
        <w:tc>
          <w:tcPr>
            <w:tcBorders>
              <w:bottom w:val="single" w:sz="8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&lt;28 weeks (n=41)</w:t>
            </w:r>
          </w:p>
        </w:tc>
        <w:tc>
          <w:tcPr>
            <w:tcBorders>
              <w:bottom w:val="single" w:sz="8" w:space="0" w:color="000000"/>
              <w:top w:val="none" w:sz="0" w:space="0" w:color="FFFFFF"/>
              <w:left w:val="none" w:sz="0" w:space="0" w:color="FFFFFF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P</w:t>
            </w:r>
          </w:p>
        </w:tc>
        <w:tc>
          <w:tcPr>
            <w:tcBorders>
              <w:bottom w:val="single" w:sz="8" w:space="0" w:color="000000"/>
              <w:top w:val="none" w:sz="0" w:space="0" w:color="FFFFFF"/>
              <w:left w:val="single" w:sz="6" w:space="0" w:color="000000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≥37 weeks (n=40)</w:t>
            </w:r>
          </w:p>
        </w:tc>
        <w:tc>
          <w:tcPr>
            <w:tcBorders>
              <w:bottom w:val="single" w:sz="8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28-32 weeks (n=37)</w:t>
            </w:r>
          </w:p>
        </w:tc>
        <w:tc>
          <w:tcPr>
            <w:tcBorders>
              <w:bottom w:val="single" w:sz="8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&lt;28 weeks (n=38)</w:t>
            </w:r>
          </w:p>
        </w:tc>
        <w:tc>
          <w:tcPr>
            <w:tcBorders>
              <w:bottom w:val="single" w:sz="8" w:space="0" w:color="000000"/>
              <w:top w:val="none" w:sz="0" w:space="0" w:color="FFFFFF"/>
              <w:left w:val="none" w:sz="0" w:space="0" w:color="FFFFFF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P</w:t>
            </w:r>
          </w:p>
        </w:tc>
      </w:tr>
      <w:tr>
        <w:trPr>
          <w:trHeight w:val="360" w:hRule="auto"/>
        </w:trPr>
        body1
        <w:tc>
          <w:tcPr>
            <w:tcBorders>
              <w:bottom w:val="single" w:sz="4" w:space="0" w:color="999999"/>
              <w:top w:val="single" w:sz="8" w:space="0" w:color="000000"/>
              <w:left w:val="single" w:sz="8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Sex (male, n(%))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 (41.7%)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 (47.7%)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 (47.4%)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0.808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 (47.5%)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 (51.4%)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 (44.7%)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0.847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Gestational age (wk)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39.07 ± 0.80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30.68 ± 0.88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26.08 ± 1.39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39.04 ± 0.86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30.76 ± 0.93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26.20 ± 1.33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body3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Birth body weight (g)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3135.73 ± 347.52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1351.64 ± 275.86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782.08 ± 205.11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3147.38 ± 384.50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1374.19 ± 223.63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771.66 ± 182.66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body4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Age corrected (month)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6.91 ± 1.55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7.05 ± 2.17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7.53 ± 2.63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0.409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27.31 ± 2.55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25.52 ± 1.15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25.20 ± 1.95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Body weight (percentile)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49.15 ± 21.12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44.30 ± 33.01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20.76 ± 27.28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37.66 ± 27.61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23.14 ± 25.31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14.63 ± 22.43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body6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Body height (percentile)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45.85 ± 31.18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33.64 ± 32.13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14.16 ± 20.12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43.63 ± 27.53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38.30 ± 23.37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28.76 ± 28.80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0.050</w:t>
            </w:r>
          </w:p>
        </w:tc>
      </w:tr>
      <w:tr>
        <w:trPr>
          <w:trHeight w:val="360" w:hRule="auto"/>
        </w:trPr>
        body7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BMI (percentile)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57.07 ± 25.88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61.59 ± 31.74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47.03 ± 33.19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0.103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41.10 ± 27.45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27.93 ± 27.11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19.67 ± 21.54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0.001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Breastfeeding ≥6 months, n(%)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 (56.8%)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 (30.0%)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 (44.7%)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0.047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 (60.0%)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 (43.2%)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 (44.7%)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0.261</w:t>
            </w:r>
          </w:p>
        </w:tc>
      </w:tr>
      <w:tr>
        <w:trPr>
          <w:trHeight w:val="360" w:hRule="auto"/>
        </w:trPr>
        body9
        <w:tc>
          <w:tcPr>
            <w:tcBorders>
              <w:bottom w:val="single" w:sz="8" w:space="0" w:color="000000"/>
              <w:top w:val="single" w:sz="4" w:space="0" w:color="999999"/>
              <w:left w:val="single" w:sz="8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Sepsis ever, n(%)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(2.3%)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 (30.0%)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 (81.1%)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 (32.4%)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 (81.1%)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>Data shown are mean ± SD or number (%) of patients as appropriate. Body weight, body height and BMI are presented as percentiles. GA, gestational age; BPD, bronchopulmonary dysplasia; HC, healthy controls; No+Mild BPD, no and mild BPD; M+S BPD, moderate and severe BPD; wk, week; g, gram; BMI, body mass index. 6M BMI percentile was computed from WHO Child Growth Standards LMS parameters. All P-values &lt; 0.05, which is in bold, are significant.</w:t>
      </w:r>
    </w:p>
    <w:sectPr w:officer="true">
      <w:pgSz w:h="12240" w:w="15840" w:orient="landscape"/>
      <w:cols/>
      <w:type w:val="continuous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2026-05-19T07:18:42Z</dcterms:modified>
  <cp:category/>
</cp:coreProperties>
</file>