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(Este correo llega después del correo de bienvenida).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Remitente:</w:t>
      </w:r>
      <w:r w:rsidDel="00000000" w:rsidR="00000000" w:rsidRPr="00000000">
        <w:rPr>
          <w:rtl w:val="0"/>
        </w:rPr>
        <w:t xml:space="preserve"> NeoDeo Std.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Asunto:</w:t>
      </w:r>
      <w:r w:rsidDel="00000000" w:rsidR="00000000" w:rsidRPr="00000000">
        <w:rPr>
          <w:rtl w:val="0"/>
        </w:rPr>
        <w:t xml:space="preserve"> Primeros pasos.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Mensaje: </w:t>
      </w:r>
      <w:r w:rsidDel="00000000" w:rsidR="00000000" w:rsidRPr="00000000">
        <w:rPr>
          <w:rtl w:val="0"/>
        </w:rPr>
        <w:t xml:space="preserve">En esta versión de prueba dispone usted de 3 pantallas principales a las que acceder desde el menú principal; ordenadas de izquierda a derecha dispone 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bandeja de entrada, en la cual se encuentra ahora mismo. Aquí le llegarán notificaciones pertinentes relacionadas con su experiencia de uso.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Deva, siendo la pantalla principal de la aplicación. Aquí entrará a la sala de Deva, donde ella conversará con usted y le hará pasar por el proceso de personalización. Es importante que recuerde que sigue siendo una versión de prueba y que usted está testeando la aplicación, esté pendiente de errores.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El laboratorio de testeo, donde encontrará tres herramientas útiles relacionadas con su tarea. La primera de ellas es el informe de errores, donde podrá reportar anomalías en la aplicación. A continuación dispone de el historial de sesiones, en caso de que quiera repasar sus conversaciones previas con Deva. Por último, el botón de reseteo. Este botón debe ser pulsado únicamente en caso de extrema necesidad, pues reinicia la aplicación entera borrando toda la memoria de Deva y el historial de general.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Esperamos que tenga un feliz testeo, atentamente: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NeoDeo Std.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