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iCs/>
          <w:color w:val="595959"/>
          <w:sz w:val="24"/>
          <w:szCs w:val="24"/>
        </w:rPr>
        <w:t xml:space="preserve">[COMPLETAR — Escuela o Departamento, Universidad]</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Tabla de 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pPr>
        <w:spacing w:after="0" w:line="480" w:lineRule="auto"/>
        <w:ind w:firstLine="720"/>
      </w:pPr>
      <w:r>
        <w:rPr>
          <w:rFonts w:ascii="Times New Roman" w:cs="Times New Roman" w:eastAsia="Times New Roman" w:hAnsi="Times New Roman"/>
          <w:color w:val="000000"/>
          <w:sz w:val="24"/>
          <w:szCs w:val="24"/>
        </w:rPr>
        <w:t xml:space="preserve">El problema que motiva el trabajo puede enunciarse con precisión. Se busca clasificar cada instante de la serie de precios de LTC en una de tres categorías —máximo local, mínimo local o zona de continuidad— utilizando como variables de apoyo el comportamiento de las cinco criptomonedas de mayor capitalización con función sistémica en el mercado: Bitcoin, Ethereum, Solana, XRP y Cardano. La dificultad no reside en la formulación, que es un problema de clasificación multiclase, sino en las propiedades de las series involucradas: ausencia de estacionariedad, volatilidad elevada y variable en el tiempo, y ausencia de un anclaje de valoración fundamental que permita anticipar reversiones por argumentos económicos.</w:t>
      </w:r>
    </w:p>
    <w:p>
      <w:pPr>
        <w:spacing w:after="0" w:line="480" w:lineRule="auto"/>
        <w:ind w:firstLine="720"/>
      </w:pPr>
      <w:r>
        <w:rPr>
          <w:rFonts w:ascii="Times New Roman" w:cs="Times New Roman" w:eastAsia="Times New Roman" w:hAnsi="Times New Roman"/>
          <w:color w:val="000000"/>
          <w:sz w:val="24"/>
          <w:szCs w:val="24"/>
        </w:rPr>
        <w:t xml:space="preserve">El documento adopta un criterio metodológico que conviene declarar desde el inicio, porque condiciona la forma de todas las secciones. </w:t>
      </w:r>
      <w:r>
        <w:rPr>
          <w:rFonts w:ascii="Times New Roman" w:cs="Times New Roman" w:eastAsia="Times New Roman" w:hAnsi="Times New Roman"/>
          <w:b/>
          <w:bCs/>
          <w:color w:val="000000"/>
          <w:sz w:val="24"/>
          <w:szCs w:val="24"/>
        </w:rPr>
        <w:t xml:space="preserve">Ningún concepto se expone únicamente como definición.</w:t>
      </w:r>
      <w:r>
        <w:rPr>
          <w:rFonts w:ascii="Times New Roman" w:cs="Times New Roman" w:eastAsia="Times New Roman" w:hAnsi="Times New Roman"/>
          <w:color w:val="000000"/>
          <w:sz w:val="24"/>
          <w:szCs w:val="24"/>
        </w:rPr>
        <w:t xml:space="preserve"> Cada propiedad enunciada se acompaña de su verificación sobre los datos del proyecto, y el valor obtenido se reporta explícitamente. Cuando una afirmación no ha sido comprobada, se indica que no lo ha sido en lugar de omitirse.</w:t>
      </w:r>
    </w:p>
    <w:p>
      <w:pPr>
        <w:spacing w:after="0" w:line="480" w:lineRule="auto"/>
        <w:ind w:firstLine="720"/>
      </w:pPr>
      <w:r>
        <w:rPr>
          <w:rFonts w:ascii="Times New Roman" w:cs="Times New Roman" w:eastAsia="Times New Roman" w:hAnsi="Times New Roman"/>
          <w:color w:val="000000"/>
          <w:sz w:val="24"/>
          <w:szCs w:val="24"/>
        </w:rPr>
        <w:t xml:space="preserve">A ese criterio se añade un segundo, sugerido por el profesor durante la sesión de trabajo. Varios conceptos se ilustran mediante </w:t>
      </w:r>
      <w:r>
        <w:rPr>
          <w:rFonts w:ascii="Times New Roman" w:cs="Times New Roman" w:eastAsia="Times New Roman" w:hAnsi="Times New Roman"/>
          <w:b/>
          <w:bCs/>
          <w:color w:val="000000"/>
          <w:sz w:val="24"/>
          <w:szCs w:val="24"/>
        </w:rPr>
        <w:t xml:space="preserve">series construidas sintéticamente por los autores</w:t>
      </w:r>
      <w:r>
        <w:rPr>
          <w:rFonts w:ascii="Times New Roman" w:cs="Times New Roman" w:eastAsia="Times New Roman" w:hAnsi="Times New Roman"/>
          <w:color w:val="000000"/>
          <w:sz w:val="24"/>
          <w:szCs w:val="24"/>
        </w:rPr>
        <w:t xml:space="preserve">, en las cuales la volatilidad y la correlación se fijan de antemano. El propósito es verificar que los procedimientos empleados detectan aquello que declaran detectar antes de aplicarlos sobre datos reales, donde la respuesta correcta se desconoce. Las series construidas se identifican como tales en cada figura, y ninguna afirmación sobre el mercado se apoya en ellas.</w:t>
      </w:r>
    </w:p>
    <w:p>
      <w:pPr>
        <w:spacing w:after="0" w:line="480" w:lineRule="auto"/>
        <w:ind w:firstLine="720"/>
      </w:pPr>
      <w:r>
        <w:rPr>
          <w:rFonts w:ascii="Times New Roman" w:cs="Times New Roman" w:eastAsia="Times New Roman" w:hAnsi="Times New Roman"/>
          <w:color w:val="000000"/>
          <w:sz w:val="24"/>
          <w:szCs w:val="24"/>
        </w:rPr>
        <w:t xml:space="preserve">La exposición se organiza en tres bloques. El primero desarrolla los fundamentos de series de tiempo: definición y componentes, estacionariedad y su ausencia, heterocedasticidad, volatilidad, autocorrelación y correlación cruzada. El segundo aborda los criptoactivos: su definición y características, los tipos existentes, la estructura del mercado, los factores que determinan el precio, la dependencia entre activos, y la definición operativa del punto de inflexión junto con los procedimientos para identificarlo. El tercero examina las métricas de evaluación apropiadas para este problema, cuestión que exige tratamiento propio debido al desbalance estructural de las clases.</w:t>
      </w:r>
    </w:p>
    <w:p>
      <w:pPr>
        <w:spacing w:after="0" w:line="480" w:lineRule="auto"/>
        <w:ind w:firstLine="720"/>
      </w:pPr>
      <w:r>
        <w:rPr>
          <w:rFonts w:ascii="Times New Roman" w:cs="Times New Roman" w:eastAsia="Times New Roman" w:hAnsi="Times New Roman"/>
          <w:color w:val="000000"/>
          <w:sz w:val="24"/>
          <w:szCs w:val="24"/>
        </w:rPr>
        <w:t xml:space="preserve">Los datos empleados en todo el documento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Series de Tiempo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Jose Pablo Monestel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S1-M1-06</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1. Definición de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Precio de cierre diario de Litecoin, 2 185 observaciones entre el 11 de agosto de 2020 y el 4 de agosto de 2026.</w:t>
      </w:r>
    </w:p>
    <w:p>
      <w:pPr>
        <w:spacing w:after="12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es una serie temporal y qué la distingue de un conjunto de datos cualquiera: el orden importa, y las observaciones no son independientes entre sí. Conectá con la Figura 1: nuestro caso son 2 185 obse]</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2. Componentes de una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Descomposición aditiva de la serie de LTC en tendencia, estacionalidad de período semanal y residuo.</w:t>
      </w:r>
    </w:p>
    <w:p>
      <w:pPr>
        <w:spacing w:after="120"/>
        <w:jc w:val="center"/>
      </w:pPr>
      <w:r>
        <w:drawing>
          <wp:inline distT="0" distB="0" distL="0" distR="0">
            <wp:extent cx="5715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29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el componente estacional representa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desviación total de la serie.</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Tendencia, estacionalidad, ciclo y componente irregular. El dato interesante para analizar: la estacionalidad semanal es prácticamente inexistente (0,426 %), a diferencia de lo que pasa en series financi]</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3. Estacionariedad</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p-valores del test de Dickey-Fuller aumentado sobre las seis criptomonedas, en precios en nivel y en retornos.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p-valores en nivel: LTC 0,179 · BTC 0,483 · </w:t>
      </w:r>
      <w:r>
        <w:rPr>
          <w:rFonts w:ascii="Times New Roman" w:cs="Times New Roman" w:eastAsia="Times New Roman" w:hAnsi="Times New Roman"/>
          <w:b/>
          <w:bCs/>
          <w:color w:val="000000"/>
          <w:sz w:val="24"/>
          <w:szCs w:val="24"/>
        </w:rPr>
        <w:t xml:space="preserve">ETH 0,059</w:t>
      </w:r>
      <w:r>
        <w:rPr>
          <w:rFonts w:ascii="Times New Roman" w:cs="Times New Roman" w:eastAsia="Times New Roman" w:hAnsi="Times New Roman"/>
          <w:color w:val="000000"/>
          <w:sz w:val="24"/>
          <w:szCs w:val="24"/>
        </w:rPr>
        <w:t xml:space="preserve"> · SOL 0,274 · XRP 0,285 · ADA 0,159. En retornos, los seis dan p &lt; 0,000001.</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el test también se corrió sobre una serie construida por nosotros cuyos retornos son estacionarios por construcción, y los rechazó todos. El método detecta lo que dice detectar.</w:t>
      </w:r>
    </w:p>
    <w:p>
      <w:pPr>
        <w:spacing w:after="0" w:line="480" w:lineRule="auto"/>
        <w:ind w:firstLine="720"/>
      </w:pPr>
      <w:r>
        <w:rPr>
          <w:rFonts w:ascii="Times New Roman" w:cs="Times New Roman" w:eastAsia="Times New Roman" w:hAnsi="Times New Roman"/>
          <w:b/>
          <w:bCs/>
          <w:color w:val="000000"/>
          <w:sz w:val="24"/>
          <w:szCs w:val="24"/>
        </w:rPr>
        <w:t xml:space="preserve">Un matiz que conviene mencionar:</w:t>
      </w:r>
      <w:r>
        <w:rPr>
          <w:rFonts w:ascii="Times New Roman" w:cs="Times New Roman" w:eastAsia="Times New Roman" w:hAnsi="Times New Roman"/>
          <w:color w:val="000000"/>
          <w:sz w:val="24"/>
          <w:szCs w:val="24"/>
        </w:rPr>
        <w:t xml:space="preserve"> ETH queda en 0,059, apenas por encima del umbral de 0,05. No cambia la conclusión, pero decirlo demuestra que leíste la tabla en vez de resumirla. Un caso al borde merece nombrarse: con otro período de muestra podría cruzar el umbral, y eso ilustra que el resultado del test depende de la ventana observada.</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significa que una serie sea estacionaria: media, varianza y autocovarianza que no dependen del tiempo. Explicá el test ADF y su hipótesis nula.  **Cuidado con la redacción, esto es lo que separa un 3]</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4. No estacionariedad</w:t>
      </w:r>
    </w:p>
    <w:p>
      <w:pPr>
        <w:spacing w:after="0" w:line="480" w:lineRule="auto"/>
        <w:ind w:firstLine="720"/>
      </w:pPr>
      <w:r>
        <w:rPr>
          <w:rFonts w:ascii="Times New Roman" w:cs="Times New Roman" w:eastAsia="Times New Roman" w:hAnsi="Times New Roman"/>
          <w:color w:val="000000"/>
          <w:sz w:val="24"/>
          <w:szCs w:val="24"/>
        </w:rPr>
        <w:t xml:space="preserve">Mismo material que la sección anterior, leído al revés.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Por qué los precios no son estacionarios: tienen tendencia y su varianza crece con el nivel. Qué consecuencias tiene para el modelado, y por qué la transformación a retornos resuelve el problema. Cerrá c]</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5. Heterocedasticidad</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Serie construida con volatilidad constante (arriba) y con volatilidad por tramos (abajo). Ambas generadas por nosotros; no son datos de mercado.</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81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 en las series construidas:</w:t>
      </w:r>
      <w:r>
        <w:rPr>
          <w:rFonts w:ascii="Times New Roman" w:cs="Times New Roman" w:eastAsia="Times New Roman" w:hAnsi="Times New Roman"/>
          <w:color w:val="000000"/>
          <w:sz w:val="24"/>
          <w:szCs w:val="24"/>
        </w:rPr>
        <w:t xml:space="preserve"> cociente entre la volatilidad del tramo agitado y la del tranquilo —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sin regímenes,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con regímenes.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Definí homocedasticidad y heterocedasticidad. Usá la Figura 4 para mostrar el contraste con la respuesta conocida: en el panel de arriba pusimos volatilidad constante y el cociente sale 1,28, cerca de 1 ]</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6. Volatilidad</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120" w:line="480" w:lineRule="auto"/>
      </w:pPr>
      <w:r>
        <w:rPr>
          <w:rFonts w:ascii="Times New Roman" w:cs="Times New Roman" w:eastAsia="Times New Roman" w:hAnsi="Times New Roman"/>
          <w:i/>
          <w:iCs/>
          <w:color w:val="000000"/>
          <w:sz w:val="24"/>
          <w:szCs w:val="24"/>
        </w:rPr>
        <w:t xml:space="preserve">Precio de cierre de LTC y su volatilidad móvil de 30 velas.</w:t>
      </w:r>
    </w:p>
    <w:p>
      <w:pPr>
        <w:spacing w:after="12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86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la volatilidad del tramo más agitado es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la del más tranquilo (máxima </w:t>
      </w:r>
      <w:r>
        <w:rPr>
          <w:rFonts w:ascii="Times New Roman" w:cs="Times New Roman" w:eastAsia="Times New Roman" w:hAnsi="Times New Roman"/>
          <w:b/>
          <w:bCs/>
          <w:color w:val="000000"/>
          <w:sz w:val="24"/>
          <w:szCs w:val="24"/>
        </w:rPr>
        <w:t xml:space="preserve">0,1220</w:t>
      </w:r>
      <w:r>
        <w:rPr>
          <w:rFonts w:ascii="Times New Roman" w:cs="Times New Roman" w:eastAsia="Times New Roman" w:hAnsi="Times New Roman"/>
          <w:color w:val="000000"/>
          <w:sz w:val="24"/>
          <w:szCs w:val="24"/>
        </w:rPr>
        <w:t xml:space="preserve">; mínima </w:t>
      </w:r>
      <w:r>
        <w:rPr>
          <w:rFonts w:ascii="Times New Roman" w:cs="Times New Roman" w:eastAsia="Times New Roman" w:hAnsi="Times New Roman"/>
          <w:b/>
          <w:bCs/>
          <w:color w:val="000000"/>
          <w:sz w:val="24"/>
          <w:szCs w:val="24"/>
        </w:rPr>
        <w:t xml:space="preserve">0,0138</w:t>
      </w:r>
      <w:r>
        <w:rPr>
          <w:rFonts w:ascii="Times New Roman" w:cs="Times New Roman" w:eastAsia="Times New Roman" w:hAnsi="Times New Roman"/>
          <w:color w:val="000000"/>
          <w:sz w:val="24"/>
          <w:szCs w:val="24"/>
        </w:rPr>
        <w:t xml:space="preserve">), con ventana móvil de 30 velas sobre retornos diarios.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es la volatilidad y cómo se estima con desviación estándar móvil de los retornos. El número que sostiene toda la sección es el 8,8×: es evidencia directa de heterocedasticidad en datos reales, no una]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7. Autocorrelación</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120" w:line="480" w:lineRule="auto"/>
      </w:pPr>
      <w:r>
        <w:rPr>
          <w:rFonts w:ascii="Times New Roman" w:cs="Times New Roman" w:eastAsia="Times New Roman" w:hAnsi="Times New Roman"/>
          <w:i/>
          <w:iCs/>
          <w:color w:val="000000"/>
          <w:sz w:val="24"/>
          <w:szCs w:val="24"/>
        </w:rPr>
        <w:t xml:space="preserve">Función de autocorrelación de LTC hasta el rezago 40, en nivel y en retornos, con banda de confianza al 95 %.</w:t>
      </w:r>
    </w:p>
    <w:p>
      <w:pPr>
        <w:spacing w:after="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289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En los retornos solo </w:t>
      </w:r>
      <w:r>
        <w:rPr>
          <w:rFonts w:ascii="Times New Roman" w:cs="Times New Roman" w:eastAsia="Times New Roman" w:hAnsi="Times New Roman"/>
          <w:b/>
          <w:bCs/>
          <w:color w:val="000000"/>
          <w:sz w:val="24"/>
          <w:szCs w:val="24"/>
        </w:rPr>
        <w:t xml:space="preserve">3 rezagos</w:t>
      </w:r>
      <w:r>
        <w:rPr>
          <w:rFonts w:ascii="Times New Roman" w:cs="Times New Roman" w:eastAsia="Times New Roman" w:hAnsi="Times New Roman"/>
          <w:color w:val="000000"/>
          <w:sz w:val="24"/>
          <w:szCs w:val="24"/>
        </w:rPr>
        <w:t xml:space="preserve"> salen de la banda de confianza: los rezagos </w:t>
      </w:r>
      <w:r>
        <w:rPr>
          <w:rFonts w:ascii="Times New Roman" w:cs="Times New Roman" w:eastAsia="Times New Roman" w:hAnsi="Times New Roman"/>
          <w:b/>
          <w:bCs/>
          <w:color w:val="000000"/>
          <w:sz w:val="24"/>
          <w:szCs w:val="24"/>
        </w:rPr>
        <w:t xml:space="preserve">8, 14 y 31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Definí la ACF y para qué sirve. La lectura de la Figura 6 tiene dos partes:  1. En nivel, la autocorrelación es 0,991 y decae lentísimo. Eso **es** la firma de una serie no estacionaria, y confirma la se]</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8. Correlación cruzada</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120" w:line="480" w:lineRule="auto"/>
      </w:pPr>
      <w:r>
        <w:rPr>
          <w:rFonts w:ascii="Times New Roman" w:cs="Times New Roman" w:eastAsia="Times New Roman" w:hAnsi="Times New Roman"/>
          <w:i/>
          <w:iCs/>
          <w:color w:val="000000"/>
          <w:sz w:val="24"/>
          <w:szCs w:val="24"/>
        </w:rPr>
        <w:t xml:space="preserve">Matrices de correlación. Izquierda y centro: series construidas con correlación baja y alta fijadas por nosotros. Derecha: retornos reales de las seis criptomonedas.</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Casos concretos:</w:t>
      </w:r>
    </w:p>
    <w:p>
      <w:pPr>
        <w:spacing w:after="0" w:line="480" w:lineRule="auto"/>
        <w:ind w:firstLine="720"/>
      </w:pPr>
      <w:r>
        <w:rPr>
          <w:rFonts w:ascii="Times New Roman" w:cs="Times New Roman" w:eastAsia="Times New Roman" w:hAnsi="Times New Roman"/>
          <w:color w:val="000000"/>
          <w:sz w:val="24"/>
          <w:szCs w:val="24"/>
        </w:rPr>
        <w:t xml:space="preserve">Mayor correlación con LTC: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Menor: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las construidas se pidieron con correlación 0,1 y 0,9; salieron medidas en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0,9033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Definí correlación cruzada y su diferencia con la autocorrelación.  **El punto de análisis fuerte es el contraste nivel/retornos, y hay que contarlo bien.** El problema de la correlación en nivel acá no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En nivel</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En retornos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 – BTC</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0,715</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 – ADA</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0,796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0,641</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Criptoactivos y sus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S1-M2-05</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1. Definición de criptoactivo</w:t>
      </w:r>
    </w:p>
    <w:p>
      <w:pPr>
        <w:spacing w:after="0" w:line="480" w:lineRule="auto"/>
        <w:ind w:firstLine="720"/>
      </w:pPr>
      <w:r>
        <w:rPr>
          <w:rFonts w:ascii="Times New Roman" w:cs="Times New Roman" w:eastAsia="Times New Roman" w:hAnsi="Times New Roman"/>
          <w:color w:val="000000"/>
          <w:sz w:val="24"/>
          <w:szCs w:val="24"/>
        </w:rP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como una representación digital de valor susceptible de ser negociada o transferida electrónicamente y utilizable para pago o inversión (Financial Action Task Force [FATF], 2021). Esa definición —qué hace el activo, no quién lo emite— es la que conviene adoptar en un trabajo cuantitativo.</w:t>
      </w:r>
    </w:p>
    <w:p>
      <w:pPr>
        <w:spacing w:after="0" w:line="480" w:lineRule="auto"/>
        <w:ind w:firstLine="720"/>
      </w:pPr>
      <w:r>
        <w:rPr>
          <w:rFonts w:ascii="Times New Roman" w:cs="Times New Roman" w:eastAsia="Times New Roman" w:hAnsi="Times New Roman"/>
          <w:color w:val="000000"/>
          <w:sz w:val="24"/>
          <w:szCs w:val="24"/>
        </w:rPr>
        <w:t xml:space="preserve">Lo que distingue a un criptoactivo de un activo financiero tradicional no es que sea digital: un depósito bancario también lo es. La diferencia está en </w:t>
      </w:r>
      <w:r>
        <w:rPr>
          <w:rFonts w:ascii="Times New Roman" w:cs="Times New Roman" w:eastAsia="Times New Roman" w:hAnsi="Times New Roman"/>
          <w:b/>
          <w:bCs/>
          <w:color w:val="000000"/>
          <w:sz w:val="24"/>
          <w:szCs w:val="24"/>
        </w:rPr>
        <w:t xml:space="preserve">quién garantiza el registro</w:t>
      </w:r>
      <w:r>
        <w:rPr>
          <w:rFonts w:ascii="Times New Roman" w:cs="Times New Roman" w:eastAsia="Times New Roman" w:hAnsi="Times New Roman"/>
          <w:color w:val="000000"/>
          <w:sz w:val="24"/>
          <w:szCs w:val="24"/>
        </w:rPr>
        <w:t xml:space="preserve">. En un activo tradicional existe un intermediario —banco, depositaria de valores, cámara de compensación— cuyo libro contable es la fuente de verdad, y la propiedad del activo es una anotación en ese libro. En un criptoactivo el libro está replicado por una red de participantes que acuerdan su contenido mediante un protocolo de consenso, de modo que la propiedad se prueba con una clave criptográfica y no con la palabra de un custodio (Nakamoto, 2008; Narayanan et al., 2016).</w:t>
      </w:r>
    </w:p>
    <w:p>
      <w:pPr>
        <w:spacing w:after="0" w:line="480" w:lineRule="auto"/>
        <w:ind w:firstLine="720"/>
      </w:pPr>
      <w:r>
        <w:rPr>
          <w:rFonts w:ascii="Times New Roman" w:cs="Times New Roman" w:eastAsia="Times New Roman" w:hAnsi="Times New Roman"/>
          <w:color w:val="000000"/>
          <w:sz w:val="24"/>
          <w:szCs w:val="24"/>
        </w:rPr>
        <w:t xml:space="preserve">De ahí se deriva la propiedad que más importa para este trabajo: </w:t>
      </w:r>
      <w:r>
        <w:rPr>
          <w:rFonts w:ascii="Times New Roman" w:cs="Times New Roman" w:eastAsia="Times New Roman" w:hAnsi="Times New Roman"/>
          <w:b/>
          <w:bCs/>
          <w:color w:val="000000"/>
          <w:sz w:val="24"/>
          <w:szCs w:val="24"/>
        </w:rPr>
        <w:t xml:space="preserve">no existe un emisor con obligación de pago</w:t>
      </w:r>
      <w:r>
        <w:rPr>
          <w:rFonts w:ascii="Times New Roman" w:cs="Times New Roman" w:eastAsia="Times New Roman" w:hAnsi="Times New Roman"/>
          <w:color w:val="000000"/>
          <w:sz w:val="24"/>
          <w:szCs w:val="24"/>
        </w:rPr>
        <w:t xml:space="preserve">. Un bono tiene un flujo contractual; una acción, un derecho residual sobre las utilidades. Un criptoactivo no tiene ninguno de los dos y carece, por lo tanto, de un anclaje de valoración fundamental comparable. Böhme et al. (2015) señalan que su precio se determina enteramente por el equilibrio entre quienes desean adquirirlo y quienes desean desprenderse de él, sin un valor de referencia externo que ancle las expectativas.</w:t>
      </w:r>
    </w:p>
    <w:p>
      <w:pPr>
        <w:spacing w:after="0" w:line="480" w:lineRule="auto"/>
        <w:ind w:firstLine="720"/>
      </w:pPr>
      <w:r>
        <w:rPr>
          <w:rFonts w:ascii="Times New Roman" w:cs="Times New Roman" w:eastAsia="Times New Roman" w:hAnsi="Times New Roman"/>
          <w:color w:val="000000"/>
          <w:sz w:val="24"/>
          <w:szCs w:val="24"/>
        </w:rPr>
        <w:t xml:space="preserve">Esa ausencia de ancla es la razón técnica por la que este proyecto se plantea como un problema de </w:t>
      </w:r>
      <w:r>
        <w:rPr>
          <w:rFonts w:ascii="Times New Roman" w:cs="Times New Roman" w:eastAsia="Times New Roman" w:hAnsi="Times New Roman"/>
          <w:b/>
          <w:bCs/>
          <w:color w:val="000000"/>
          <w:sz w:val="24"/>
          <w:szCs w:val="24"/>
        </w:rPr>
        <w:t xml:space="preserve">reconocimiento de patrones sobre la serie de precios</w:t>
      </w:r>
      <w:r>
        <w:rPr>
          <w:rFonts w:ascii="Times New Roman" w:cs="Times New Roman" w:eastAsia="Times New Roman" w:hAnsi="Times New Roman"/>
          <w:color w:val="000000"/>
          <w:sz w:val="24"/>
          <w:szCs w:val="24"/>
        </w:rPr>
        <w:t xml:space="preserve"> y no como un problema de valoración. No hay un múltiplo al que el precio deba revertir; hay una serie temporal cuya dinámica hay que caracterizar. Y es también la razón por la que el enunciado exige un enfoque multivariante: si no hay fundamentales que expliquen el precio de LTC, buena parte de la información disponible está en cómo se comportan los demás criptoactivos.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2. Características principales</w:t>
      </w:r>
    </w:p>
    <w:p>
      <w:pPr>
        <w:spacing w:after="0" w:line="480" w:lineRule="auto"/>
        <w:ind w:firstLine="720"/>
      </w:pPr>
      <w:r>
        <w:rPr>
          <w:rFonts w:ascii="Times New Roman" w:cs="Times New Roman" w:eastAsia="Times New Roman" w:hAnsi="Times New Roman"/>
          <w:b/>
          <w:bCs/>
          <w:color w:val="000000"/>
          <w:sz w:val="24"/>
          <w:szCs w:val="24"/>
        </w:rPr>
        <w:t xml:space="preserve">Descentralización del registro.</w:t>
      </w:r>
      <w:r>
        <w:rPr>
          <w:rFonts w:ascii="Times New Roman" w:cs="Times New Roman" w:eastAsia="Times New Roman" w:hAnsi="Times New Roman"/>
          <w:color w:val="000000"/>
          <w:sz w:val="24"/>
          <w:szCs w:val="24"/>
        </w:rPr>
        <w:t xml:space="preserve"> Ningún participante puede modificar unilateralmente el historial de transacciones. Esto tiene una consecuencia práctica para nosotros: no existe un precio oficial emitido por una autoridad. Cada exchange forma su propio precio, y elegir la fuente es una decisión metodológica que hay que declarar (sección 4).</w:t>
      </w:r>
    </w:p>
    <w:p>
      <w:pPr>
        <w:spacing w:after="0" w:line="480" w:lineRule="auto"/>
        <w:ind w:firstLine="720"/>
      </w:pPr>
      <w:r>
        <w:rPr>
          <w:rFonts w:ascii="Times New Roman" w:cs="Times New Roman" w:eastAsia="Times New Roman" w:hAnsi="Times New Roman"/>
          <w:b/>
          <w:bCs/>
          <w:color w:val="000000"/>
          <w:sz w:val="24"/>
          <w:szCs w:val="24"/>
        </w:rPr>
        <w:t xml:space="preserve">Operación continua.</w:t>
      </w:r>
      <w:r>
        <w:rPr>
          <w:rFonts w:ascii="Times New Roman" w:cs="Times New Roman" w:eastAsia="Times New Roman" w:hAnsi="Times New Roman"/>
          <w:color w:val="000000"/>
          <w:sz w:val="24"/>
          <w:szCs w:val="24"/>
        </w:rPr>
        <w:t xml:space="preserve"> El mercado funciona las veinticuatro horas, los siete días de la semana, sin sesión de apertura ni de cierre. Esta característica del activo se ve directamente en nuestros datos: la descomposición de la serie diaria de LTC realizada por M1 atribuye a la componente estacional apenas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variación total. En un mercado con horario —una bolsa de valores— aparecería un efecto de fin de semana y un patrón intrasemanal apreciable; aquí, prácticamente no hay ninguno.</w:t>
      </w:r>
    </w:p>
    <w:p>
      <w:pPr>
        <w:spacing w:after="0" w:line="480" w:lineRule="auto"/>
        <w:ind w:firstLine="720"/>
      </w:pPr>
      <w:r>
        <w:rPr>
          <w:rFonts w:ascii="Times New Roman" w:cs="Times New Roman" w:eastAsia="Times New Roman" w:hAnsi="Times New Roman"/>
          <w:color w:val="000000"/>
          <w:sz w:val="24"/>
          <w:szCs w:val="24"/>
        </w:rPr>
        <w:t xml:space="preserve">No es un detalle descriptivo: </w:t>
      </w:r>
      <w:r>
        <w:rPr>
          <w:rFonts w:ascii="Times New Roman" w:cs="Times New Roman" w:eastAsia="Times New Roman" w:hAnsi="Times New Roman"/>
          <w:b/>
          <w:bCs/>
          <w:color w:val="000000"/>
          <w:sz w:val="24"/>
          <w:szCs w:val="24"/>
        </w:rPr>
        <w:t xml:space="preserve">justifica una decisión de diseño</w:t>
      </w:r>
      <w:r>
        <w:rPr>
          <w:rFonts w:ascii="Times New Roman" w:cs="Times New Roman" w:eastAsia="Times New Roman" w:hAnsi="Times New Roman"/>
          <w:color w:val="000000"/>
          <w:sz w:val="24"/>
          <w:szCs w:val="24"/>
        </w:rPr>
        <w:t xml:space="preserve">. Al no haber estacionalidad relevante, no tiene sentido gastar características del modelo en codificar el día de la semana o la posición dentro del mes, y ese presupuesto queda disponible para variables que sí informan. Es un caso donde una propiedad institucional del activo se traduce en una medición, y la medición se traduce en una decisión del pipeline.</w:t>
      </w:r>
    </w:p>
    <w:p>
      <w:pPr>
        <w:spacing w:after="0" w:line="480" w:lineRule="auto"/>
        <w:ind w:firstLine="720"/>
      </w:pPr>
      <w:r>
        <w:rPr>
          <w:rFonts w:ascii="Times New Roman" w:cs="Times New Roman" w:eastAsia="Times New Roman" w:hAnsi="Times New Roman"/>
          <w:b/>
          <w:bCs/>
          <w:color w:val="000000"/>
          <w:sz w:val="24"/>
          <w:szCs w:val="24"/>
        </w:rPr>
        <w:t xml:space="preserve">Divisibilidad.</w:t>
      </w:r>
      <w:r>
        <w:rPr>
          <w:rFonts w:ascii="Times New Roman" w:cs="Times New Roman" w:eastAsia="Times New Roman" w:hAnsi="Times New Roman"/>
          <w:color w:val="000000"/>
          <w:sz w:val="24"/>
          <w:szCs w:val="24"/>
        </w:rPr>
        <w:t xml:space="preserve"> Un criptoactivo se fracciona hasta ocho decimales o más, de manera que no existe un tamaño mínimo de operación comparable al lote de una acción. Para el modelado esto implica que la serie de precios no presenta discretización artificial por tamaño de contrato.</w:t>
      </w:r>
    </w:p>
    <w:p>
      <w:pPr>
        <w:spacing w:after="0" w:line="480" w:lineRule="auto"/>
        <w:ind w:firstLine="720"/>
      </w:pPr>
      <w:r>
        <w:rPr>
          <w:rFonts w:ascii="Times New Roman" w:cs="Times New Roman" w:eastAsia="Times New Roman" w:hAnsi="Times New Roman"/>
          <w:b/>
          <w:bCs/>
          <w:color w:val="000000"/>
          <w:sz w:val="24"/>
          <w:szCs w:val="24"/>
        </w:rPr>
        <w:t xml:space="preserve">Transparencia del registro y opacidad del participante.</w:t>
      </w:r>
      <w:r>
        <w:rPr>
          <w:rFonts w:ascii="Times New Roman" w:cs="Times New Roman" w:eastAsia="Times New Roman" w:hAnsi="Times New Roman"/>
          <w:color w:val="000000"/>
          <w:sz w:val="24"/>
          <w:szCs w:val="24"/>
        </w:rPr>
        <w:t xml:space="preserve"> Todas las transacciones son públicas y auditables, pero las direcciones no están asociadas a identidades. La consecuencia para el análisis es que existe información en cadena (</w:t>
      </w:r>
      <w:r>
        <w:rPr>
          <w:rFonts w:ascii="Times New Roman" w:cs="Times New Roman" w:eastAsia="Times New Roman" w:hAnsi="Times New Roman"/>
          <w:i/>
          <w:iCs/>
          <w:color w:val="000000"/>
          <w:sz w:val="24"/>
          <w:szCs w:val="24"/>
        </w:rPr>
        <w:t xml:space="preserve">on-chain</w:t>
      </w:r>
      <w:r>
        <w:rPr>
          <w:rFonts w:ascii="Times New Roman" w:cs="Times New Roman" w:eastAsia="Times New Roman" w:hAnsi="Times New Roman"/>
          <w:color w:val="000000"/>
          <w:sz w:val="24"/>
          <w:szCs w:val="24"/>
        </w:rPr>
        <w:t xml:space="preserve">) potencialmente utilizable como variable explicativa. En este proyecto no la usamos: el enunciado especifica los precios rezagados de las seis criptomonedas como entrada, y ampliar el conjunto de fuentes sin una necesidad medida sería aumentar la complejidad sin justificación.</w:t>
      </w:r>
    </w:p>
    <w:p>
      <w:pPr>
        <w:spacing w:after="0" w:line="480" w:lineRule="auto"/>
        <w:ind w:firstLine="720"/>
      </w:pPr>
      <w:r>
        <w:rPr>
          <w:rFonts w:ascii="Times New Roman" w:cs="Times New Roman" w:eastAsia="Times New Roman" w:hAnsi="Times New Roman"/>
          <w:b/>
          <w:bCs/>
          <w:color w:val="000000"/>
          <w:sz w:val="24"/>
          <w:szCs w:val="24"/>
        </w:rPr>
        <w:t xml:space="preserve">Ausencia de cierre diario.</w:t>
      </w:r>
      <w:r>
        <w:rPr>
          <w:rFonts w:ascii="Times New Roman" w:cs="Times New Roman" w:eastAsia="Times New Roman" w:hAnsi="Times New Roman"/>
          <w:color w:val="000000"/>
          <w:sz w:val="24"/>
          <w:szCs w:val="24"/>
        </w:rPr>
        <w:t xml:space="preserve"> La consecuencia técnica es que la vela diaria es un corte de reloj convencional —00:00 UTC—, no un evento de mercado. Un cierre bursátil concentra órdenes y produce un precio con significado institucional; un corte a medianoche UTC en cripto es una convención del exchange. Esto refuerza la conveniencia de trabajar con velas de 4 horas: si el corte es arbitrario de todos modos, la granularidad se elige por criterio estadístico —cuántos ejemplos deja disponibles— y no por respeto a una convención que no significa nada.</w:t>
      </w:r>
    </w:p>
    <w:p>
      <w:pPr>
        <w:spacing w:after="0" w:line="480" w:lineRule="auto"/>
        <w:ind w:firstLine="720"/>
      </w:pPr>
      <w:r>
        <w:rPr>
          <w:rFonts w:ascii="Times New Roman" w:cs="Times New Roman" w:eastAsia="Times New Roman" w:hAnsi="Times New Roman"/>
          <w:b/>
          <w:bCs/>
          <w:color w:val="000000"/>
          <w:sz w:val="24"/>
          <w:szCs w:val="24"/>
        </w:rPr>
        <w:t xml:space="preserve">Volatilidad elevada y variable en el tiempo.</w:t>
      </w:r>
      <w:r>
        <w:rPr>
          <w:rFonts w:ascii="Times New Roman" w:cs="Times New Roman" w:eastAsia="Times New Roman" w:hAnsi="Times New Roman"/>
          <w:color w:val="000000"/>
          <w:sz w:val="24"/>
          <w:szCs w:val="24"/>
        </w:rPr>
        <w:t xml:space="preserve"> Sobre los datos del proyecto, la desviación estándar móvil de los retornos de LTC en ventanas de 30 días recorre un rango de </w:t>
      </w:r>
      <w:r>
        <w:rPr>
          <w:rFonts w:ascii="Times New Roman" w:cs="Times New Roman" w:eastAsia="Times New Roman" w:hAnsi="Times New Roman"/>
          <w:b/>
          <w:bCs/>
          <w:color w:val="000000"/>
          <w:sz w:val="24"/>
          <w:szCs w:val="24"/>
        </w:rPr>
        <w:t xml:space="preserve">0,0138 a 0,122</w:t>
      </w:r>
      <w:r>
        <w:rPr>
          <w:rFonts w:ascii="Times New Roman" w:cs="Times New Roman" w:eastAsia="Times New Roman" w:hAnsi="Times New Roman"/>
          <w:color w:val="000000"/>
          <w:sz w:val="24"/>
          <w:szCs w:val="24"/>
        </w:rPr>
        <w:t xml:space="preserve">: el período más agitado de la muestra fue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más volátil que el más tranquilo. La literatura documenta este comportamiento de forma sistemática. Katsiampa (2017) compara modelos GARCH sobre Bitcoin, y Caporale y Zekokh (2019) muestran, mediante modelos GARCH con cambio de régimen markoviano, que la volatilidad de los criptoactivos no es solamente alta sino que </w:t>
      </w:r>
      <w:r>
        <w:rPr>
          <w:rFonts w:ascii="Times New Roman" w:cs="Times New Roman" w:eastAsia="Times New Roman" w:hAnsi="Times New Roman"/>
          <w:b/>
          <w:bCs/>
          <w:color w:val="000000"/>
          <w:sz w:val="24"/>
          <w:szCs w:val="24"/>
        </w:rPr>
        <w:t xml:space="preserve">conmuta entre estados</w:t>
      </w:r>
      <w:r>
        <w:rPr>
          <w:rFonts w:ascii="Times New Roman" w:cs="Times New Roman" w:eastAsia="Times New Roman" w:hAnsi="Times New Roman"/>
          <w:color w:val="000000"/>
          <w:sz w:val="24"/>
          <w:szCs w:val="24"/>
        </w:rPr>
        <w:t xml:space="preserve"> de alta y baja intensidad. Nuestro dato es consistente con esa literatura y, sobre todo, es propio y medido. La implicación metodológica es directa: la varianza de la serie no es constante, así que cualquier característica construida sobre magnitudes absolutas de precio será inestable entre períodos. Por eso el pipeline trabaja sobre retornos y sobre estadísticos normalizados por ventana.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3. Principales tipos</w:t>
      </w:r>
    </w:p>
    <w:p>
      <w:pPr>
        <w:spacing w:after="0" w:line="480" w:lineRule="auto"/>
        <w:ind w:firstLine="720"/>
      </w:pPr>
      <w:r>
        <w:rPr>
          <w:rFonts w:ascii="Times New Roman" w:cs="Times New Roman" w:eastAsia="Times New Roman" w:hAnsi="Times New Roman"/>
          <w:color w:val="000000"/>
          <w:sz w:val="24"/>
          <w:szCs w:val="24"/>
        </w:rPr>
        <w:t xml:space="preserve">La clasificación por función económica es la más útil aquí, porque explica por qué las seis criptomonedas del proyecto no son intercambiables entre sí:</w:t>
      </w:r>
    </w:p>
    <w:p>
      <w:pPr>
        <w:spacing w:after="0" w:line="480" w:lineRule="auto"/>
        <w:ind w:firstLine="720"/>
      </w:pPr>
      <w:r>
        <w:rPr>
          <w:rFonts w:ascii="Times New Roman" w:cs="Times New Roman" w:eastAsia="Times New Roman" w:hAnsi="Times New Roman"/>
          <w:b/>
          <w:bCs/>
          <w:color w:val="000000"/>
          <w:sz w:val="24"/>
          <w:szCs w:val="24"/>
        </w:rPr>
        <w:t xml:space="preserve">Monedas de pago.</w:t>
      </w:r>
      <w:r>
        <w:rPr>
          <w:rFonts w:ascii="Times New Roman" w:cs="Times New Roman" w:eastAsia="Times New Roman" w:hAnsi="Times New Roman"/>
          <w:color w:val="000000"/>
          <w:sz w:val="24"/>
          <w:szCs w:val="24"/>
        </w:rPr>
        <w:t xml:space="preserve"> Diseñadas como medio de intercambio, con funcionalidad programable limitada.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—nuestro activo objetivo— pertenece a esta categoría: nació en 2011 como una variante de Bitcoin con bloques más rápidos y una función de prueba de trabajo distinta, orientada a transacciones de menor valor.</w:t>
      </w:r>
    </w:p>
    <w:p>
      <w:pPr>
        <w:spacing w:after="0" w:line="480" w:lineRule="auto"/>
        <w:ind w:firstLine="720"/>
      </w:pPr>
      <w:r>
        <w:rPr>
          <w:rFonts w:ascii="Times New Roman" w:cs="Times New Roman" w:eastAsia="Times New Roman" w:hAnsi="Times New Roman"/>
          <w:b/>
          <w:bCs/>
          <w:color w:val="000000"/>
          <w:sz w:val="24"/>
          <w:szCs w:val="24"/>
        </w:rPr>
        <w:t xml:space="preserve">Reserva de valor y activo de referencia.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BTC</w:t>
      </w:r>
      <w:r>
        <w:rPr>
          <w:rFonts w:ascii="Times New Roman" w:cs="Times New Roman" w:eastAsia="Times New Roman" w:hAnsi="Times New Roman"/>
          <w:color w:val="000000"/>
          <w:sz w:val="24"/>
          <w:szCs w:val="24"/>
        </w:rPr>
        <w:t xml:space="preserve"> cumple hoy sobre todo esta función. Baur et al. (2018) muestran que su uso predominante es especulativo y de tenencia antes que transaccional, lo que lo aproxima más a un activo de inversión que a un medio de pago.</w:t>
      </w:r>
    </w:p>
    <w:p>
      <w:pPr>
        <w:spacing w:after="0" w:line="480" w:lineRule="auto"/>
        <w:ind w:firstLine="720"/>
      </w:pPr>
      <w:r>
        <w:rPr>
          <w:rFonts w:ascii="Times New Roman" w:cs="Times New Roman" w:eastAsia="Times New Roman" w:hAnsi="Times New Roman"/>
          <w:b/>
          <w:bCs/>
          <w:color w:val="000000"/>
          <w:sz w:val="24"/>
          <w:szCs w:val="24"/>
        </w:rPr>
        <w:t xml:space="preserve">Plataformas de contratos inteligentes (capa 1).</w:t>
      </w:r>
      <w:r>
        <w:rPr>
          <w:rFonts w:ascii="Times New Roman" w:cs="Times New Roman" w:eastAsia="Times New Roman" w:hAnsi="Times New Roman"/>
          <w:color w:val="000000"/>
          <w:sz w:val="24"/>
          <w:szCs w:val="24"/>
        </w:rPr>
        <w:t xml:space="preserve"> Redes cuyo valor deriva de la actividad que alojan. </w:t>
      </w: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es la de mayor adopción; </w:t>
      </w:r>
      <w:r>
        <w:rPr>
          <w:rFonts w:ascii="Times New Roman" w:cs="Times New Roman" w:eastAsia="Times New Roman" w:hAnsi="Times New Roman"/>
          <w:b/>
          <w:bCs/>
          <w:color w:val="000000"/>
          <w:sz w:val="24"/>
          <w:szCs w:val="24"/>
        </w:rPr>
        <w:t xml:space="preserve">SOL</w:t>
      </w:r>
      <w:r>
        <w:rPr>
          <w:rFonts w:ascii="Times New Roman" w:cs="Times New Roman" w:eastAsia="Times New Roman" w:hAnsi="Times New Roman"/>
          <w:color w:val="000000"/>
          <w:sz w:val="24"/>
          <w:szCs w:val="24"/>
        </w:rPr>
        <w:t xml:space="preserve"> compite ofreciendo mayor rendimiento transaccional a cambio de supuestos de descentralización distintos; </w:t>
      </w:r>
      <w:r>
        <w:rPr>
          <w:rFonts w:ascii="Times New Roman" w:cs="Times New Roman" w:eastAsia="Times New Roman" w:hAnsi="Times New Roman"/>
          <w:b/>
          <w:bCs/>
          <w:color w:val="000000"/>
          <w:sz w:val="24"/>
          <w:szCs w:val="24"/>
        </w:rPr>
        <w:t xml:space="preserve">ADA</w:t>
      </w:r>
      <w:r>
        <w:rPr>
          <w:rFonts w:ascii="Times New Roman" w:cs="Times New Roman" w:eastAsia="Times New Roman" w:hAnsi="Times New Roman"/>
          <w:color w:val="000000"/>
          <w:sz w:val="24"/>
          <w:szCs w:val="24"/>
        </w:rPr>
        <w:t xml:space="preserve"> sigue una ruta de desarrollo más conservadora y por etapas.</w:t>
      </w:r>
    </w:p>
    <w:p>
      <w:pPr>
        <w:spacing w:after="0" w:line="480" w:lineRule="auto"/>
        <w:ind w:firstLine="720"/>
      </w:pPr>
      <w:r>
        <w:rPr>
          <w:rFonts w:ascii="Times New Roman" w:cs="Times New Roman" w:eastAsia="Times New Roman" w:hAnsi="Times New Roman"/>
          <w:b/>
          <w:bCs/>
          <w:color w:val="000000"/>
          <w:sz w:val="24"/>
          <w:szCs w:val="24"/>
        </w:rPr>
        <w:t xml:space="preserve">Orientados a pagos transfronterizos.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XRP</w:t>
      </w:r>
      <w:r>
        <w:rPr>
          <w:rFonts w:ascii="Times New Roman" w:cs="Times New Roman" w:eastAsia="Times New Roman" w:hAnsi="Times New Roman"/>
          <w:color w:val="000000"/>
          <w:sz w:val="24"/>
          <w:szCs w:val="24"/>
        </w:rPr>
        <w:t xml:space="preserve"> apunta a la liquidación entre instituciones financieras, y su valor está más expuesto que el de los demás a decisiones regulatorias sobre su naturaleza jurídica.</w:t>
      </w:r>
    </w:p>
    <w:p>
      <w:pPr>
        <w:spacing w:after="0" w:line="480" w:lineRule="auto"/>
        <w:ind w:firstLine="720"/>
      </w:pPr>
      <w:r>
        <w:rPr>
          <w:rFonts w:ascii="Times New Roman" w:cs="Times New Roman" w:eastAsia="Times New Roman" w:hAnsi="Times New Roman"/>
          <w:b/>
          <w:bCs/>
          <w:color w:val="000000"/>
          <w:sz w:val="24"/>
          <w:szCs w:val="24"/>
        </w:rPr>
        <w:t xml:space="preserve">Stablecoins.</w:t>
      </w:r>
      <w:r>
        <w:rPr>
          <w:rFonts w:ascii="Times New Roman" w:cs="Times New Roman" w:eastAsia="Times New Roman" w:hAnsi="Times New Roman"/>
          <w:color w:val="000000"/>
          <w:sz w:val="24"/>
          <w:szCs w:val="24"/>
        </w:rPr>
        <w:t xml:space="preserve"> Mantienen paridad con una moneda fiduciaria mediante respaldo o mecanismos algorítmicos. No forman parte de este estudio precisamente por eso: su precio es aproximadamente constante por diseño, no tiene puntos de inflexión que pronosticar, y su serie no aportaría información al problema.</w:t>
      </w:r>
    </w:p>
    <w:p>
      <w:pPr>
        <w:spacing w:after="0" w:line="480" w:lineRule="auto"/>
        <w:ind w:firstLine="720"/>
      </w:pPr>
      <w:r>
        <w:rPr>
          <w:rFonts w:ascii="Times New Roman" w:cs="Times New Roman" w:eastAsia="Times New Roman" w:hAnsi="Times New Roman"/>
          <w:color w:val="000000"/>
          <w:sz w:val="24"/>
          <w:szCs w:val="24"/>
        </w:rPr>
        <w:t xml:space="preserve">La composición de la canasta importa. Las seis series no son seis observaciones independientes del mercado cripto: son cuatro funciones económicas distintas, y esa heterogeneidad es lo que hace que la correlación cruzada entre ellas —sección 6— pueda aportar información en lugar de ser redundancia.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4. Mercado cripto</w:t>
      </w:r>
    </w:p>
    <w:p>
      <w:pPr>
        <w:spacing w:after="0" w:line="480" w:lineRule="auto"/>
        <w:ind w:firstLine="720"/>
      </w:pPr>
      <w:r>
        <w:rPr>
          <w:rFonts w:ascii="Times New Roman" w:cs="Times New Roman" w:eastAsia="Times New Roman" w:hAnsi="Times New Roman"/>
          <w:color w:val="000000"/>
          <w:sz w:val="24"/>
          <w:szCs w:val="24"/>
        </w:rPr>
        <w:t xml:space="preserve">El mercado de criptoactivos se organiza en torno a </w:t>
      </w:r>
      <w:r>
        <w:rPr>
          <w:rFonts w:ascii="Times New Roman" w:cs="Times New Roman" w:eastAsia="Times New Roman" w:hAnsi="Times New Roman"/>
          <w:b/>
          <w:bCs/>
          <w:color w:val="000000"/>
          <w:sz w:val="24"/>
          <w:szCs w:val="24"/>
        </w:rPr>
        <w:t xml:space="preserve">exchanges centralizados</w:t>
      </w:r>
      <w:r>
        <w:rPr>
          <w:rFonts w:ascii="Times New Roman" w:cs="Times New Roman" w:eastAsia="Times New Roman" w:hAnsi="Times New Roman"/>
          <w:color w:val="000000"/>
          <w:sz w:val="24"/>
          <w:szCs w:val="24"/>
        </w:rPr>
        <w:t xml:space="preserve">, que operan libros de órdenes con emparejamiento continuo, y a mercados descentralizados basados en contratos inteligentes. La formación de precios sucede en cada plaza por separado; el arbitraje entre ellas mantiene las cotizaciones alineadas, pero no las hace idénticas. No existe, a diferencia de los mercados de valores regulados, un mecanismo de consolidación que produzca un precio único de referencia.</w:t>
      </w:r>
    </w:p>
    <w:p>
      <w:pPr>
        <w:spacing w:after="0" w:line="480" w:lineRule="auto"/>
        <w:ind w:firstLine="720"/>
      </w:pPr>
      <w:r>
        <w:rPr>
          <w:rFonts w:ascii="Times New Roman" w:cs="Times New Roman" w:eastAsia="Times New Roman" w:hAnsi="Times New Roman"/>
          <w:b/>
          <w:bCs/>
          <w:color w:val="000000"/>
          <w:sz w:val="24"/>
          <w:szCs w:val="24"/>
        </w:rPr>
        <w:t xml:space="preserve">Decisión de fuente y su consecuencia.</w:t>
      </w:r>
      <w:r>
        <w:rPr>
          <w:rFonts w:ascii="Times New Roman" w:cs="Times New Roman" w:eastAsia="Times New Roman" w:hAnsi="Times New Roman"/>
          <w:color w:val="000000"/>
          <w:sz w:val="24"/>
          <w:szCs w:val="24"/>
        </w:rPr>
        <w:t xml:space="preserve"> Los precios de este trabajo provienen de la API pública de Binance. Hay que declararlo explícitamente porque condiciona lo que los resultados significan: son los precios de </w:t>
      </w:r>
      <w:r>
        <w:rPr>
          <w:rFonts w:ascii="Times New Roman" w:cs="Times New Roman" w:eastAsia="Times New Roman" w:hAnsi="Times New Roman"/>
          <w:b/>
          <w:bCs/>
          <w:color w:val="000000"/>
          <w:sz w:val="24"/>
          <w:szCs w:val="24"/>
        </w:rPr>
        <w:t xml:space="preserve">un</w:t>
      </w:r>
      <w:r>
        <w:rPr>
          <w:rFonts w:ascii="Times New Roman" w:cs="Times New Roman" w:eastAsia="Times New Roman" w:hAnsi="Times New Roman"/>
          <w:color w:val="000000"/>
          <w:sz w:val="24"/>
          <w:szCs w:val="24"/>
        </w:rPr>
        <w:t xml:space="preserve"> exchange, no un promedio ponderado del mercado, y por lo tanto incorporan la microestructura particular de esa plaza —su profundidad, su base de usuarios, sus períodos de interrupción—. Un punto de inflexión detectado sobre esta serie es un punto de inflexión en Binance. Dado que Binance concentra una parte sustancial del volumen de las seis parejas contra USDT, es una aproximación razonable al precio de mercado, pero es una aproximación, y así hay que reportarla.</w:t>
      </w:r>
    </w:p>
    <w:p>
      <w:pPr>
        <w:spacing w:after="0" w:line="480" w:lineRule="auto"/>
        <w:ind w:firstLine="720"/>
      </w:pPr>
      <w:r>
        <w:rPr>
          <w:rFonts w:ascii="Times New Roman" w:cs="Times New Roman" w:eastAsia="Times New Roman" w:hAnsi="Times New Roman"/>
          <w:b/>
          <w:bCs/>
          <w:color w:val="000000"/>
          <w:sz w:val="24"/>
          <w:szCs w:val="24"/>
        </w:rPr>
        <w:t xml:space="preserve">Ventana histórica común.</w:t>
      </w:r>
      <w:r>
        <w:rPr>
          <w:rFonts w:ascii="Times New Roman" w:cs="Times New Roman" w:eastAsia="Times New Roman" w:hAnsi="Times New Roman"/>
          <w:color w:val="000000"/>
          <w:sz w:val="24"/>
          <w:szCs w:val="24"/>
        </w:rPr>
        <w:t xml:space="preserve"> El panel del proyecto arranca el </w:t>
      </w:r>
      <w:r>
        <w:rPr>
          <w:rFonts w:ascii="Times New Roman" w:cs="Times New Roman" w:eastAsia="Times New Roman" w:hAnsi="Times New Roman"/>
          <w:b/>
          <w:bCs/>
          <w:color w:val="000000"/>
          <w:sz w:val="24"/>
          <w:szCs w:val="24"/>
        </w:rPr>
        <w:t xml:space="preserve">11 de agosto de 2020</w:t>
      </w:r>
      <w:r>
        <w:rPr>
          <w:rFonts w:ascii="Times New Roman" w:cs="Times New Roman" w:eastAsia="Times New Roman" w:hAnsi="Times New Roman"/>
          <w:color w:val="000000"/>
          <w:sz w:val="24"/>
          <w:szCs w:val="24"/>
        </w:rPr>
        <w:t xml:space="preserve"> y no antes. La razón es que la ventana común está determinada por el activo de listado más reciente: Solana comienza a cotizar en esa fecha. Las coberturas individuales son mucho más amplias —LTC tiene datos desde el 13 de diciembre de 2017 y BTC desde el 17 de agosto de 2017—, pero un panel multivariante exige que las seis series existan simultáneamente en cada instante. Todo lo anterior a esa fecha se descarta por incompleto.</w:t>
      </w:r>
    </w:p>
    <w:p>
      <w:pPr>
        <w:spacing w:after="0" w:line="480" w:lineRule="auto"/>
        <w:ind w:firstLine="720"/>
      </w:pPr>
      <w:r>
        <w:rPr>
          <w:rFonts w:ascii="Times New Roman" w:cs="Times New Roman" w:eastAsia="Times New Roman" w:hAnsi="Times New Roman"/>
          <w:color w:val="000000"/>
          <w:sz w:val="24"/>
          <w:szCs w:val="24"/>
        </w:rPr>
        <w:t xml:space="preserve">El costo de esa decisión es cuantificable. Con velas diarias el panel queda en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para el período 11/08/2020 – 04/08/2026, mientras que la serie individual de LTC tiene 3 157: se sacrifica cerca de un tercio del historial para poder plantear el problema como multivariante. Con velas de 4 horas el mismo período produce </w:t>
      </w:r>
      <w:r>
        <w:rPr>
          <w:rFonts w:ascii="Times New Roman" w:cs="Times New Roman" w:eastAsia="Times New Roman" w:hAnsi="Times New Roman"/>
          <w:b/>
          <w:bCs/>
          <w:color w:val="000000"/>
          <w:sz w:val="24"/>
          <w:szCs w:val="24"/>
        </w:rPr>
        <w:t xml:space="preserve">13 114 observaciones</w:t>
      </w:r>
      <w:r>
        <w:rPr>
          <w:rFonts w:ascii="Times New Roman" w:cs="Times New Roman" w:eastAsia="Times New Roman" w:hAnsi="Times New Roman"/>
          <w:color w:val="000000"/>
          <w:sz w:val="24"/>
          <w:szCs w:val="24"/>
        </w:rPr>
        <w:t xml:space="preserve">, y por eso esa es la granularidad de trabajo. El requisito de simultaneidad se paga en historia, y la granularidad más fina es lo que devuelve el volumen de ejemplos necesario.</w:t>
      </w:r>
    </w:p>
    <w:p>
      <w:pPr>
        <w:spacing w:after="0" w:line="480" w:lineRule="auto"/>
        <w:ind w:firstLine="720"/>
      </w:pPr>
      <w:r>
        <w:rPr>
          <w:rFonts w:ascii="Times New Roman" w:cs="Times New Roman" w:eastAsia="Times New Roman" w:hAnsi="Times New Roman"/>
          <w:color w:val="000000"/>
          <w:sz w:val="24"/>
          <w:szCs w:val="24"/>
        </w:rPr>
        <w:t xml:space="preserve">La cobertura del panel de 4 horas es prácticamente completa: sobre los 13 114 instantes esperados para SOL no hay ningún hueco, y los huecos de los demás activos en su historia completa van de 9 a 16 velas, esto es, menos del 0,1 %. La calidad del dato no es un supuesto: está medida en </w:t>
      </w:r>
      <w:r>
        <w:rPr>
          <w:rFonts w:ascii="Courier New" w:cs="Courier New" w:eastAsia="Courier New" w:hAnsi="Courier New"/>
          <w:color w:val="000000"/>
          <w:sz w:val="22"/>
          <w:szCs w:val="22"/>
        </w:rPr>
        <w:t xml:space="preserve">docs/evidencias/spike-datos-4h.json</w:t>
      </w:r>
      <w:r>
        <w:rPr>
          <w:rFonts w:ascii="Times New Roman" w:cs="Times New Roman" w:eastAsia="Times New Roman" w:hAnsi="Times New Roman"/>
          <w:color w:val="000000"/>
          <w:sz w:val="24"/>
          <w:szCs w:val="24"/>
        </w:rPr>
        <w:t xml:space="preserve">.</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5. Factores que afectan el precio</w:t>
      </w:r>
    </w:p>
    <w:p>
      <w:pPr>
        <w:spacing w:after="0" w:line="480" w:lineRule="auto"/>
        <w:ind w:firstLine="720"/>
      </w:pPr>
      <w:r>
        <w:rPr>
          <w:rFonts w:ascii="Times New Roman" w:cs="Times New Roman" w:eastAsia="Times New Roman" w:hAnsi="Times New Roman"/>
          <w:b/>
          <w:bCs/>
          <w:color w:val="000000"/>
          <w:sz w:val="24"/>
          <w:szCs w:val="24"/>
        </w:rPr>
        <w:t xml:space="preserve">Oferta y demanda con oferta programada.</w:t>
      </w:r>
      <w:r>
        <w:rPr>
          <w:rFonts w:ascii="Times New Roman" w:cs="Times New Roman" w:eastAsia="Times New Roman" w:hAnsi="Times New Roman"/>
          <w:color w:val="000000"/>
          <w:sz w:val="24"/>
          <w:szCs w:val="24"/>
        </w:rPr>
        <w:t xml:space="preserve"> LTC tiene un tope de emisión de 84 millones de unidades y un calendario de reducción de la recompensa por bloque —</w:t>
      </w:r>
      <w:r>
        <w:rPr>
          <w:rFonts w:ascii="Times New Roman" w:cs="Times New Roman" w:eastAsia="Times New Roman" w:hAnsi="Times New Roman"/>
          <w:i/>
          <w:iCs/>
          <w:color w:val="000000"/>
          <w:sz w:val="24"/>
          <w:szCs w:val="24"/>
        </w:rPr>
        <w:t xml:space="preserve">halving</w:t>
      </w:r>
      <w:r>
        <w:rPr>
          <w:rFonts w:ascii="Times New Roman" w:cs="Times New Roman" w:eastAsia="Times New Roman" w:hAnsi="Times New Roman"/>
          <w:color w:val="000000"/>
          <w:sz w:val="24"/>
          <w:szCs w:val="24"/>
        </w:rPr>
        <w:t xml:space="preserve">— aproximadamente cada cuatro años. La oferta futura es conocida de antemano y no responde al precio, de modo que todo el ajuste ocurre por el lado de la demanda. El efecto de los halvings sobre el precio es objeto de debate: al tratarse de un evento anunciado, la hipótesis de mercados eficientes predice que ya está incorporado en la cotización, aunque la evidencia sobre eficiencia en cripto es mixta (Urquhart, 2016).</w:t>
      </w:r>
    </w:p>
    <w:p>
      <w:pPr>
        <w:spacing w:after="0" w:line="480" w:lineRule="auto"/>
        <w:ind w:firstLine="720"/>
      </w:pPr>
      <w:r>
        <w:rPr>
          <w:rFonts w:ascii="Times New Roman" w:cs="Times New Roman" w:eastAsia="Times New Roman" w:hAnsi="Times New Roman"/>
          <w:b/>
          <w:bCs/>
          <w:color w:val="000000"/>
          <w:sz w:val="24"/>
          <w:szCs w:val="24"/>
        </w:rPr>
        <w:t xml:space="preserve">Regulación.</w:t>
      </w:r>
      <w:r>
        <w:rPr>
          <w:rFonts w:ascii="Times New Roman" w:cs="Times New Roman" w:eastAsia="Times New Roman" w:hAnsi="Times New Roman"/>
          <w:color w:val="000000"/>
          <w:sz w:val="24"/>
          <w:szCs w:val="24"/>
        </w:rPr>
        <w:t xml:space="preserve"> Los anuncios regulatorios producen movimientos abruptos y sincronizados en todo el sector. Auer y Claessens (2018) documentan que los precios reaccionan de forma marcada a noticias sobre el tratamiento jurídico de los criptoactivos, con una respuesta diferenciada según el tipo de anuncio. Para nuestro problema esto importa por una razón concreta: los saltos de precio inducidos por noticias son </w:t>
      </w:r>
      <w:r>
        <w:rPr>
          <w:rFonts w:ascii="Times New Roman" w:cs="Times New Roman" w:eastAsia="Times New Roman" w:hAnsi="Times New Roman"/>
          <w:b/>
          <w:bCs/>
          <w:color w:val="000000"/>
          <w:sz w:val="24"/>
          <w:szCs w:val="24"/>
        </w:rPr>
        <w:t xml:space="preserve">exógenos a la serie</w:t>
      </w:r>
      <w:r>
        <w:rPr>
          <w:rFonts w:ascii="Times New Roman" w:cs="Times New Roman" w:eastAsia="Times New Roman" w:hAnsi="Times New Roman"/>
          <w:color w:val="000000"/>
          <w:sz w:val="24"/>
          <w:szCs w:val="24"/>
        </w:rPr>
        <w:t xml:space="preserve">. Ninguna característica construida a partir del histórico de precios puede anticiparlos, y conviene decirlo antes de que lo pregunten: hay una fracción irreducible de los puntos de inflexión que el modelo no puede predecir por construcción.</w:t>
      </w:r>
    </w:p>
    <w:p>
      <w:pPr>
        <w:spacing w:after="0" w:line="480" w:lineRule="auto"/>
        <w:ind w:firstLine="720"/>
      </w:pPr>
      <w:r>
        <w:rPr>
          <w:rFonts w:ascii="Times New Roman" w:cs="Times New Roman" w:eastAsia="Times New Roman" w:hAnsi="Times New Roman"/>
          <w:b/>
          <w:bCs/>
          <w:color w:val="000000"/>
          <w:sz w:val="24"/>
          <w:szCs w:val="24"/>
        </w:rPr>
        <w:t xml:space="preserve">Sentimiento y atención.</w:t>
      </w:r>
      <w:r>
        <w:rPr>
          <w:rFonts w:ascii="Times New Roman" w:cs="Times New Roman" w:eastAsia="Times New Roman" w:hAnsi="Times New Roman"/>
          <w:color w:val="000000"/>
          <w:sz w:val="24"/>
          <w:szCs w:val="24"/>
        </w:rPr>
        <w:t xml:space="preserve"> La ausencia de anclaje fundamental deja más espacio al componente de expectativa, y hay evidencia cuantitativa de ello. Liu y Tsyvinski (2021) muestran que los rendimientos de los criptoactivos no están expuestos a los factores de riesgo de acciones, divisas ni materias primas, ni a las variables macroeconómicas habituales —es decir, que no se les encuentra el anclaje fundamental por ningún lado—, y que en cambio sí resultan predichos de forma robusta por el momento del precio y por medidas de atención del inversor, como el volumen de búsquedas y de publicaciones en redes. Es la confirmación empírica del argumento de la sección 1, y refuerza el planteamiento del proyecto: si los fundamentales no explican el precio, lo que queda por explotar es la dinámica de la propia serie.</w:t>
      </w:r>
    </w:p>
    <w:p>
      <w:pPr>
        <w:spacing w:after="0" w:line="480" w:lineRule="auto"/>
        <w:ind w:firstLine="720"/>
      </w:pPr>
      <w:r>
        <w:rPr>
          <w:rFonts w:ascii="Times New Roman" w:cs="Times New Roman" w:eastAsia="Times New Roman" w:hAnsi="Times New Roman"/>
          <w:b/>
          <w:bCs/>
          <w:color w:val="000000"/>
          <w:sz w:val="24"/>
          <w:szCs w:val="24"/>
        </w:rPr>
        <w:t xml:space="preserve">Flujos institucionales y liquidez.</w:t>
      </w:r>
      <w:r>
        <w:rPr>
          <w:rFonts w:ascii="Times New Roman" w:cs="Times New Roman" w:eastAsia="Times New Roman" w:hAnsi="Times New Roman"/>
          <w:color w:val="000000"/>
          <w:sz w:val="24"/>
          <w:szCs w:val="24"/>
        </w:rPr>
        <w:t xml:space="preserve"> La entrada de vehículos de inversión regulados modificó la base de participantes y, con ella, el régimen de volatilidad. Esto es coherente con la heterocedasticidad medida en nuestra serie: el cociente de 8,8 entre el período más volátil y el más tranquilo no describe un mercado con volatilidad alta y estable, sino uno que </w:t>
      </w:r>
      <w:r>
        <w:rPr>
          <w:rFonts w:ascii="Times New Roman" w:cs="Times New Roman" w:eastAsia="Times New Roman" w:hAnsi="Times New Roman"/>
          <w:b/>
          <w:bCs/>
          <w:color w:val="000000"/>
          <w:sz w:val="24"/>
          <w:szCs w:val="24"/>
        </w:rPr>
        <w:t xml:space="preserve">cambia de régimen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Contagio entre activos.</w:t>
      </w:r>
      <w:r>
        <w:rPr>
          <w:rFonts w:ascii="Times New Roman" w:cs="Times New Roman" w:eastAsia="Times New Roman" w:hAnsi="Times New Roman"/>
          <w:color w:val="000000"/>
          <w:sz w:val="24"/>
          <w:szCs w:val="24"/>
        </w:rPr>
        <w:t xml:space="preserve"> Es el factor que justifica el diseño multivariante de este trabajo, y por eso tiene sección propia. Ji et al. (2019) y Yi et al. (2018) documentan una red densa de transmisión de retornos y de volatilidad entre criptoactivos, con Bitcoin en posición dominante como emisor de choques.</w:t>
      </w:r>
    </w:p>
    <w:p>
      <w:pPr>
        <w:spacing w:after="0" w:line="480" w:lineRule="auto"/>
        <w:ind w:firstLine="720"/>
      </w:pPr>
      <w:r>
        <w:rPr>
          <w:rFonts w:ascii="Times New Roman" w:cs="Times New Roman" w:eastAsia="Times New Roman" w:hAnsi="Times New Roman"/>
          <w:color w:val="000000"/>
          <w:sz w:val="24"/>
          <w:szCs w:val="24"/>
        </w:rPr>
        <w:t xml:space="preserve">La selección de las cinco variables de apoyo que hace el enunciado es consistente con esa literatura: BTC como transmisor sistémico, ETH como segundo motor del sector, SOL como indicador de actividad especulativa en capas 1 de alto rendimiento, XRP por su sensibilidad a lo regulatorio, y ADA como reflejo de la rotación de capital entre plataformas. La sección siguiente contrasta esa expectativa con lo que efectivamente miden nuestros datos.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6. Correlación y dependencia entre activos</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120" w:line="480" w:lineRule="auto"/>
      </w:pPr>
      <w:r>
        <w:rPr>
          <w:rFonts w:ascii="Times New Roman" w:cs="Times New Roman" w:eastAsia="Times New Roman" w:hAnsi="Times New Roman"/>
          <w:i/>
          <w:iCs/>
          <w:color w:val="000000"/>
          <w:sz w:val="24"/>
          <w:szCs w:val="24"/>
        </w:rPr>
        <w:t xml:space="preserve">Matriz de correlación entre las seis criptomonedas, calculada sobre retornos diarios del panel 11/08/2020 – 04/08/2026 (n = 2 185)</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b/>
          <w:bCs/>
          <w:color w:val="000000"/>
          <w:sz w:val="24"/>
          <w:szCs w:val="24"/>
        </w:rPr>
        <w:t xml:space="preserve">Medido sobre retornos:</w:t>
      </w:r>
      <w:r>
        <w:rPr>
          <w:rFonts w:ascii="Times New Roman" w:cs="Times New Roman" w:eastAsia="Times New Roman" w:hAnsi="Times New Roman"/>
          <w:color w:val="000000"/>
          <w:sz w:val="24"/>
          <w:szCs w:val="24"/>
        </w:rPr>
        <w:t xml:space="preserve"> todas las parejas caen entre </w:t>
      </w:r>
      <w:r>
        <w:rPr>
          <w:rFonts w:ascii="Times New Roman" w:cs="Times New Roman" w:eastAsia="Times New Roman" w:hAnsi="Times New Roman"/>
          <w:b/>
          <w:bCs/>
          <w:color w:val="000000"/>
          <w:sz w:val="24"/>
          <w:szCs w:val="24"/>
        </w:rPr>
        <w:t xml:space="preserve">0,475 y 0,806</w:t>
      </w:r>
      <w:r>
        <w:rPr>
          <w:rFonts w:ascii="Times New Roman" w:cs="Times New Roman" w:eastAsia="Times New Roman" w:hAnsi="Times New Roman"/>
          <w:color w:val="000000"/>
          <w:sz w:val="24"/>
          <w:szCs w:val="24"/>
        </w:rPr>
        <w:t xml:space="preserve">, con una media fuera de la diagonal de </w:t>
      </w:r>
      <w:r>
        <w:rPr>
          <w:rFonts w:ascii="Times New Roman" w:cs="Times New Roman" w:eastAsia="Times New Roman" w:hAnsi="Times New Roman"/>
          <w:b/>
          <w:bCs/>
          <w:color w:val="000000"/>
          <w:sz w:val="24"/>
          <w:szCs w:val="24"/>
        </w:rPr>
        <w:t xml:space="preserve">0,625</w:t>
      </w:r>
      <w:r>
        <w:rPr>
          <w:rFonts w:ascii="Times New Roman" w:cs="Times New Roman" w:eastAsia="Times New Roman" w:hAnsi="Times New Roman"/>
          <w:color w:val="000000"/>
          <w:sz w:val="24"/>
          <w:szCs w:val="24"/>
        </w:rPr>
        <w:t xml:space="preserve">. LTC se correlaciona más con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y con </w:t>
      </w:r>
      <w:r>
        <w:rPr>
          <w:rFonts w:ascii="Times New Roman" w:cs="Times New Roman" w:eastAsia="Times New Roman" w:hAnsi="Times New Roman"/>
          <w:b/>
          <w:bCs/>
          <w:color w:val="000000"/>
          <w:sz w:val="24"/>
          <w:szCs w:val="24"/>
        </w:rPr>
        <w:t xml:space="preserve">BTC (0,715)</w:t>
      </w:r>
      <w:r>
        <w:rPr>
          <w:rFonts w:ascii="Times New Roman" w:cs="Times New Roman" w:eastAsia="Times New Roman" w:hAnsi="Times New Roman"/>
          <w:color w:val="000000"/>
          <w:sz w:val="24"/>
          <w:szCs w:val="24"/>
        </w:rPr>
        <w:t xml:space="preserve">, y menos con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M1 desarrolla en su sección la mecánica estadística de la correlación cruzada. Lo que sigue es la interpretación económica.</w:t>
      </w:r>
    </w:p>
    <w:p>
      <w:pPr>
        <w:spacing w:after="0" w:line="480" w:lineRule="auto"/>
        <w:ind w:firstLine="720"/>
      </w:pPr>
      <w:r>
        <w:rPr>
          <w:rFonts w:ascii="Times New Roman" w:cs="Times New Roman" w:eastAsia="Times New Roman" w:hAnsi="Times New Roman"/>
          <w:b/>
          <w:bCs/>
          <w:color w:val="000000"/>
          <w:sz w:val="24"/>
          <w:szCs w:val="24"/>
        </w:rPr>
        <w:t xml:space="preserve">Por qué ETH y BTC encabezan la lista.</w:t>
      </w:r>
      <w:r>
        <w:rPr>
          <w:rFonts w:ascii="Times New Roman" w:cs="Times New Roman" w:eastAsia="Times New Roman" w:hAnsi="Times New Roman"/>
          <w:color w:val="000000"/>
          <w:sz w:val="24"/>
          <w:szCs w:val="24"/>
        </w:rPr>
        <w:t xml:space="preserve"> LTC nació como una variante técnica de Bitcoin y comparte con él la función económica de moneda de pago; se negocia mayoritariamente en las mismas plazas, contra los mismos pares, y ante los mismos flujos de noticias. BTC es además el activo de referencia del sector: Ji et al. (2019) lo identifican como el principal emisor de choques de retorno hacia el resto del mercado, de modo que un movimiento de BTC se propaga a LTC casi por definición. ETH aparece incluso ligeramente por encima porque comparte con LTC el estatus de activo de gran capitalización y alta liquidez, lo que lo convierte en destino habitual de los mismos flujos de entrada y salida del sector.</w:t>
      </w:r>
    </w:p>
    <w:p>
      <w:pPr>
        <w:spacing w:after="0" w:line="480" w:lineRule="auto"/>
        <w:ind w:firstLine="720"/>
      </w:pPr>
      <w:r>
        <w:rPr>
          <w:rFonts w:ascii="Times New Roman" w:cs="Times New Roman" w:eastAsia="Times New Roman" w:hAnsi="Times New Roman"/>
          <w:b/>
          <w:bCs/>
          <w:color w:val="000000"/>
          <w:sz w:val="24"/>
          <w:szCs w:val="24"/>
        </w:rPr>
        <w:t xml:space="preserve">Por qué SOL es la menos correlacionada.</w:t>
      </w:r>
      <w:r>
        <w:rPr>
          <w:rFonts w:ascii="Times New Roman" w:cs="Times New Roman" w:eastAsia="Times New Roman" w:hAnsi="Times New Roman"/>
          <w:color w:val="000000"/>
          <w:sz w:val="24"/>
          <w:szCs w:val="24"/>
        </w:rPr>
        <w:t xml:space="preserve"> SOL es el activo más joven de la canasta y el de perfil más especulativo. Su precio responde en mayor medida a factores propios de su ecosistema —actividad de aplicaciones, incidentes de red, ciclos de narrativa— que no afectan a LTC. Es, en otras palabras, el activo cuya información resulta </w:t>
      </w:r>
      <w:r>
        <w:rPr>
          <w:rFonts w:ascii="Times New Roman" w:cs="Times New Roman" w:eastAsia="Times New Roman" w:hAnsi="Times New Roman"/>
          <w:b/>
          <w:bCs/>
          <w:color w:val="000000"/>
          <w:sz w:val="24"/>
          <w:szCs w:val="24"/>
        </w:rPr>
        <w:t xml:space="preserve">menos redundante</w:t>
      </w:r>
      <w:r>
        <w:rPr>
          <w:rFonts w:ascii="Times New Roman" w:cs="Times New Roman" w:eastAsia="Times New Roman" w:hAnsi="Times New Roman"/>
          <w:color w:val="000000"/>
          <w:sz w:val="24"/>
          <w:szCs w:val="24"/>
        </w:rPr>
        <w:t xml:space="preserve"> respecto de la de LTC, y por eso mismo el candidato más interesante a aportar señal incremental. La medición de importancia de características de la Semana 3 (RF-F4) permitirá contrastar esta hipótesis con un número, en lugar de dejarla como conjetura.</w:t>
      </w:r>
    </w:p>
    <w:p>
      <w:pPr>
        <w:spacing w:after="0" w:line="480" w:lineRule="auto"/>
        <w:ind w:firstLine="720"/>
      </w:pPr>
      <w:r>
        <w:rPr>
          <w:rFonts w:ascii="Times New Roman" w:cs="Times New Roman" w:eastAsia="Times New Roman" w:hAnsi="Times New Roman"/>
          <w:b/>
          <w:bCs/>
          <w:color w:val="000000"/>
          <w:sz w:val="24"/>
          <w:szCs w:val="24"/>
        </w:rPr>
        <w:t xml:space="preserve">Qué significa un mercado con correlaciones de 0,5 a 0,8.</w:t>
      </w:r>
      <w:r>
        <w:rPr>
          <w:rFonts w:ascii="Times New Roman" w:cs="Times New Roman" w:eastAsia="Times New Roman" w:hAnsi="Times New Roman"/>
          <w:color w:val="000000"/>
          <w:sz w:val="24"/>
          <w:szCs w:val="24"/>
        </w:rPr>
        <w:t xml:space="preserve"> Tres consecuencias: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La diversificación dentro del sector es limitada.</w:t>
      </w:r>
      <w:r>
        <w:rPr>
          <w:rFonts w:ascii="Times New Roman" w:cs="Times New Roman" w:eastAsia="Times New Roman" w:hAnsi="Times New Roman"/>
          <w:color w:val="000000"/>
          <w:sz w:val="24"/>
          <w:szCs w:val="24"/>
        </w:rPr>
        <w:t xml:space="preserve"> Una cartera de las seis criptomonedas no es una cartera de seis activos: se comporta aproximadamente como una posición sobre un factor común. Yi et al. (2018) llegan a una conclusión equivalente sobre una muestra de 52 criptomonedas: la red de transmisión de volatilidad entre ellas es densa, de manera que el riesgo no se reparte al añadir más activos del mismo sector. 2. </w:t>
      </w:r>
      <w:r>
        <w:rPr>
          <w:rFonts w:ascii="Times New Roman" w:cs="Times New Roman" w:eastAsia="Times New Roman" w:hAnsi="Times New Roman"/>
          <w:b/>
          <w:bCs/>
          <w:color w:val="000000"/>
          <w:sz w:val="24"/>
          <w:szCs w:val="24"/>
        </w:rPr>
        <w:t xml:space="preserve">El contagio es rápido.</w:t>
      </w:r>
      <w:r>
        <w:rPr>
          <w:rFonts w:ascii="Times New Roman" w:cs="Times New Roman" w:eastAsia="Times New Roman" w:hAnsi="Times New Roman"/>
          <w:color w:val="000000"/>
          <w:sz w:val="24"/>
          <w:szCs w:val="24"/>
        </w:rPr>
        <w:t xml:space="preserve"> Con correlaciones de esa magnitud sobre retornos diarios, un choque en un activo se refleja en los demás dentro de la misma vela. 3. </w:t>
      </w:r>
      <w:r>
        <w:rPr>
          <w:rFonts w:ascii="Times New Roman" w:cs="Times New Roman" w:eastAsia="Times New Roman" w:hAnsi="Times New Roman"/>
          <w:b/>
          <w:bCs/>
          <w:color w:val="000000"/>
          <w:sz w:val="24"/>
          <w:szCs w:val="24"/>
        </w:rPr>
        <w:t xml:space="preserve">Hay información compartida, pero no toda la información lo es.</w:t>
      </w:r>
      <w:r>
        <w:rPr>
          <w:rFonts w:ascii="Times New Roman" w:cs="Times New Roman" w:eastAsia="Times New Roman" w:hAnsi="Times New Roman"/>
          <w:color w:val="000000"/>
          <w:sz w:val="24"/>
          <w:szCs w:val="24"/>
        </w:rPr>
        <w:t xml:space="preserve"> Una correlación media de 0,625 implica que alrededor del 39 % de la varianza es común y el 61 % restante es idiosincrásico. Esa es exactamente la condición que hace útil el enfoque multivariante: si la correlación fuera 0,99, las cinco series de apoyo serían redundantes; si fuera 0,1, no aportarían nada. El valor medido está en el rango donde sí puede aportar.</w:t>
      </w:r>
    </w:p>
    <w:p>
      <w:pPr>
        <w:spacing w:after="0" w:line="480" w:lineRule="auto"/>
        <w:ind w:firstLine="720"/>
      </w:pPr>
      <w:r>
        <w:rPr>
          <w:rFonts w:ascii="Times New Roman" w:cs="Times New Roman" w:eastAsia="Times New Roman" w:hAnsi="Times New Roman"/>
          <w:b/>
          <w:bCs/>
          <w:color w:val="000000"/>
          <w:sz w:val="24"/>
          <w:szCs w:val="24"/>
        </w:rPr>
        <w:t xml:space="preserve">Una advertencia metodológica que conviene declarar nosotros.</w:t>
      </w:r>
      <w:r>
        <w:rPr>
          <w:rFonts w:ascii="Times New Roman" w:cs="Times New Roman" w:eastAsia="Times New Roman" w:hAnsi="Times New Roman"/>
          <w:color w:val="000000"/>
          <w:sz w:val="24"/>
          <w:szCs w:val="24"/>
        </w:rPr>
        <w:t xml:space="preserve"> Sobre precios en </w:t>
      </w:r>
      <w:r>
        <w:rPr>
          <w:rFonts w:ascii="Times New Roman" w:cs="Times New Roman" w:eastAsia="Times New Roman" w:hAnsi="Times New Roman"/>
          <w:b/>
          <w:bCs/>
          <w:color w:val="000000"/>
          <w:sz w:val="24"/>
          <w:szCs w:val="24"/>
        </w:rPr>
        <w:t xml:space="preserve">nivel</w:t>
      </w:r>
      <w:r>
        <w:rPr>
          <w:rFonts w:ascii="Times New Roman" w:cs="Times New Roman" w:eastAsia="Times New Roman" w:hAnsi="Times New Roman"/>
          <w:color w:val="000000"/>
          <w:sz w:val="24"/>
          <w:szCs w:val="24"/>
        </w:rPr>
        <w:t xml:space="preserve"> el rango de correlaciones se dispara a </w:t>
      </w:r>
      <w:r>
        <w:rPr>
          <w:rFonts w:ascii="Times New Roman" w:cs="Times New Roman" w:eastAsia="Times New Roman" w:hAnsi="Times New Roman"/>
          <w:b/>
          <w:bCs/>
          <w:color w:val="000000"/>
          <w:sz w:val="24"/>
          <w:szCs w:val="24"/>
        </w:rPr>
        <w:t xml:space="preserve">0,126 – 0,888</w:t>
      </w:r>
      <w:r>
        <w:rPr>
          <w:rFonts w:ascii="Times New Roman" w:cs="Times New Roman" w:eastAsia="Times New Roman" w:hAnsi="Times New Roman"/>
          <w:color w:val="000000"/>
          <w:sz w:val="24"/>
          <w:szCs w:val="24"/>
        </w:rPr>
        <w:t xml:space="preserve"> y el orden económico se desmorona: la pareja LTC–BTC, que sobre retornos es la segunda más fuerte (0,715), cae a </w:t>
      </w:r>
      <w:r>
        <w:rPr>
          <w:rFonts w:ascii="Times New Roman" w:cs="Times New Roman" w:eastAsia="Times New Roman" w:hAnsi="Times New Roman"/>
          <w:b/>
          <w:bCs/>
          <w:color w:val="000000"/>
          <w:sz w:val="24"/>
          <w:szCs w:val="24"/>
        </w:rPr>
        <w:t xml:space="preserve">0,126</w:t>
      </w:r>
      <w:r>
        <w:rPr>
          <w:rFonts w:ascii="Times New Roman" w:cs="Times New Roman" w:eastAsia="Times New Roman" w:hAnsi="Times New Roman"/>
          <w:color w:val="000000"/>
          <w:sz w:val="24"/>
          <w:szCs w:val="24"/>
        </w:rPr>
        <w:t xml:space="preserve"> en nivel, mientras que LTC–ADA sube de 0,641 a </w:t>
      </w:r>
      <w:r>
        <w:rPr>
          <w:rFonts w:ascii="Times New Roman" w:cs="Times New Roman" w:eastAsia="Times New Roman" w:hAnsi="Times New Roman"/>
          <w:b/>
          <w:bCs/>
          <w:color w:val="000000"/>
          <w:sz w:val="24"/>
          <w:szCs w:val="24"/>
        </w:rPr>
        <w:t xml:space="preserve">0,796</w:t>
      </w:r>
      <w:r>
        <w:rPr>
          <w:rFonts w:ascii="Times New Roman" w:cs="Times New Roman" w:eastAsia="Times New Roman" w:hAnsi="Times New Roman"/>
          <w:color w:val="000000"/>
          <w:sz w:val="24"/>
          <w:szCs w:val="24"/>
        </w:rPr>
        <w:t xml:space="preserve">. La razón es que las seis series son no estacionarias —la prueba ADF no rechaza la raíz unitaria en ninguna de ellas, con p-valores entre 0,059 y 0,483 según midió M1—, y la correlación entre series con tendencia mide la coincidencia de tendencias, no la codependencia de sus movimientos. Es el fenómeno clásico de la regresión espuria (Granger &amp; Newbold, 1974). Toda la correlación cruzada del proyecto se calcula sobre retornos por esta razón, y es una decisión respaldada por medición propia.</w:t>
      </w:r>
    </w:p>
    <w:p>
      <w:pPr>
        <w:spacing w:after="0" w:line="480" w:lineRule="auto"/>
        <w:ind w:firstLine="720"/>
      </w:pPr>
      <w:r>
        <w:rPr>
          <w:rFonts w:ascii="Times New Roman" w:cs="Times New Roman" w:eastAsia="Times New Roman" w:hAnsi="Times New Roman"/>
          <w:b/>
          <w:bCs/>
          <w:color w:val="000000"/>
          <w:sz w:val="24"/>
          <w:szCs w:val="24"/>
        </w:rPr>
        <w:t xml:space="preserve">Control sobre serie construida.</w:t>
      </w:r>
      <w:r>
        <w:rPr>
          <w:rFonts w:ascii="Times New Roman" w:cs="Times New Roman" w:eastAsia="Times New Roman" w:hAnsi="Times New Roman"/>
          <w:color w:val="000000"/>
          <w:sz w:val="24"/>
          <w:szCs w:val="24"/>
        </w:rPr>
        <w:t xml:space="preserve"> Sobre paneles sintéticos generados con correlación objetivo conocida, la medición recupera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cuando pedimos correlación baja y </w:t>
      </w:r>
      <w:r>
        <w:rPr>
          <w:rFonts w:ascii="Times New Roman" w:cs="Times New Roman" w:eastAsia="Times New Roman" w:hAnsi="Times New Roman"/>
          <w:b/>
          <w:bCs/>
          <w:color w:val="000000"/>
          <w:sz w:val="24"/>
          <w:szCs w:val="24"/>
        </w:rPr>
        <w:t xml:space="preserve">0,903</w:t>
      </w:r>
      <w:r>
        <w:rPr>
          <w:rFonts w:ascii="Times New Roman" w:cs="Times New Roman" w:eastAsia="Times New Roman" w:hAnsi="Times New Roman"/>
          <w:color w:val="000000"/>
          <w:sz w:val="24"/>
          <w:szCs w:val="24"/>
        </w:rPr>
        <w:t xml:space="preserve"> cuando pedimos correlación alta. Esto verifica que el procedimiento de medición hace lo que decimos que hace, antes de aplicarlo a datos donde nadie conoce la respuesta.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7. Definición de punto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120" w:line="480" w:lineRule="auto"/>
      </w:pPr>
      <w:r>
        <w:rPr>
          <w:rFonts w:ascii="Times New Roman" w:cs="Times New Roman" w:eastAsia="Times New Roman" w:hAnsi="Times New Roman"/>
          <w:i/>
          <w:iCs/>
          <w:color w:val="000000"/>
          <w:sz w:val="24"/>
          <w:szCs w:val="24"/>
        </w:rPr>
        <w:t xml:space="preserve">Serie construida por nosotros mediante </w:t>
      </w:r>
      <w:r>
        <w:rPr>
          <w:rFonts w:ascii="Courier New" w:cs="Courier New" w:eastAsia="Courier New" w:hAnsi="Courier New"/>
          <w:i/>
          <w:iCs/>
          <w:color w:val="000000"/>
          <w:sz w:val="22"/>
          <w:szCs w:val="22"/>
        </w:rPr>
        <w:t xml:space="preserve">serie_zigzag()</w:t>
      </w:r>
      <w:r>
        <w:rPr>
          <w:rFonts w:ascii="Times New Roman" w:cs="Times New Roman" w:eastAsia="Times New Roman" w:hAnsi="Times New Roman"/>
          <w:i/>
          <w:iCs/>
          <w:color w:val="000000"/>
          <w:sz w:val="24"/>
          <w:szCs w:val="24"/>
        </w:rPr>
        <w:t xml:space="preserve">. Los giros marcados son exactamente los vértices que colocamos al generarla; </w:t>
      </w:r>
      <w:r>
        <w:rPr>
          <w:rFonts w:ascii="Times New Roman" w:cs="Times New Roman" w:eastAsia="Times New Roman" w:hAnsi="Times New Roman"/>
          <w:b/>
          <w:bCs/>
          <w:i/>
          <w:iCs/>
          <w:color w:val="000000"/>
          <w:sz w:val="24"/>
          <w:szCs w:val="24"/>
        </w:rPr>
        <w:t xml:space="preserve">no son datos de mercado</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color w:val="000000"/>
          <w:sz w:val="24"/>
          <w:szCs w:val="24"/>
        </w:rPr>
        <w:t xml:space="preserve">Intuitivamente, un máximo es el punto donde el precio deja de subir y empieza a bajar. El problema es que un precio sube y baja continuamente, a todas las escalas, de modo que la intuición no basta para construir una etiqueta.</w:t>
      </w:r>
    </w:p>
    <w:p>
      <w:pPr>
        <w:spacing w:after="0" w:line="480" w:lineRule="auto"/>
        <w:ind w:firstLine="720"/>
      </w:pPr>
      <w:r>
        <w:rPr>
          <w:rFonts w:ascii="Times New Roman" w:cs="Times New Roman" w:eastAsia="Times New Roman" w:hAnsi="Times New Roman"/>
          <w:b/>
          <w:bCs/>
          <w:color w:val="000000"/>
          <w:sz w:val="24"/>
          <w:szCs w:val="24"/>
        </w:rPr>
        <w:t xml:space="preserve">Un máximo no existe en términos absolutos: existe respecto de una ventana.</w:t>
      </w:r>
      <w:r>
        <w:rPr>
          <w:rFonts w:ascii="Times New Roman" w:cs="Times New Roman" w:eastAsia="Times New Roman" w:hAnsi="Times New Roman"/>
          <w:color w:val="000000"/>
          <w:sz w:val="24"/>
          <w:szCs w:val="24"/>
        </w:rPr>
        <w:t xml:space="preserve"> Considérese la siguiente serie, inventada para ilustrar el punto y sin ninguna relación con datos reales:</w:t>
      </w:r>
    </w:p>
    <w:p>
      <w:pPr>
        <w:spacing w:after="0" w:line="480" w:lineRule="auto"/>
        <w:ind w:firstLine="720"/>
      </w:pPr>
      <w:r>
        <w:rPr>
          <w:rFonts w:ascii="Times New Roman" w:cs="Times New Roman" w:eastAsia="Times New Roman" w:hAnsi="Times New Roman"/>
          <w:color w:val="000000"/>
          <w:sz w:val="24"/>
          <w:szCs w:val="24"/>
        </w:rPr>
        <w:t xml:space="preserve">Mirando un día a cada lado, el día 3 es un máximo: 105 supera a 102 y a 103. Mirando cinco días a cada lado deja de serlo, porque dentro de esa vecindad está el día 6 con 110. El día 3 no cambió; cambió la lupa. </w:t>
      </w:r>
      <w:r>
        <w:rPr>
          <w:rFonts w:ascii="Times New Roman" w:cs="Times New Roman" w:eastAsia="Times New Roman" w:hAnsi="Times New Roman"/>
          <w:b/>
          <w:bCs/>
          <w:color w:val="000000"/>
          <w:sz w:val="24"/>
          <w:szCs w:val="24"/>
        </w:rPr>
        <w:t xml:space="preserve">Las dos lecturas son correctas</w:t>
      </w:r>
      <w:r>
        <w:rPr>
          <w:rFonts w:ascii="Times New Roman" w:cs="Times New Roman" w:eastAsia="Times New Roman" w:hAnsi="Times New Roman"/>
          <w:color w:val="000000"/>
          <w:sz w:val="24"/>
          <w:szCs w:val="24"/>
        </w:rPr>
        <w:t xml:space="preserve">: el día 3 es un giro local pequeño y no es un giro estructural.</w:t>
      </w:r>
    </w:p>
    <w:p>
      <w:pPr>
        <w:spacing w:after="0" w:line="480" w:lineRule="auto"/>
        <w:ind w:firstLine="720"/>
      </w:pPr>
      <w:r>
        <w:rPr>
          <w:rFonts w:ascii="Times New Roman" w:cs="Times New Roman" w:eastAsia="Times New Roman" w:hAnsi="Times New Roman"/>
          <w:color w:val="000000"/>
          <w:sz w:val="24"/>
          <w:szCs w:val="24"/>
        </w:rPr>
        <w:t xml:space="preserve">De aquí se sigue lo esencial de esta sección: no estamos buscando la definición verdadera de máximo, porque no existe. Estamos </w:t>
      </w:r>
      <w:r>
        <w:rPr>
          <w:rFonts w:ascii="Times New Roman" w:cs="Times New Roman" w:eastAsia="Times New Roman" w:hAnsi="Times New Roman"/>
          <w:b/>
          <w:bCs/>
          <w:color w:val="000000"/>
          <w:sz w:val="24"/>
          <w:szCs w:val="24"/>
        </w:rPr>
        <w:t xml:space="preserve">eligiendo a qué escala trabaja el modelo</w:t>
      </w:r>
      <w:r>
        <w:rPr>
          <w:rFonts w:ascii="Times New Roman" w:cs="Times New Roman" w:eastAsia="Times New Roman" w:hAnsi="Times New Roman"/>
          <w:color w:val="000000"/>
          <w:sz w:val="24"/>
          <w:szCs w:val="24"/>
        </w:rPr>
        <w:t xml:space="preserve">, y esa elección hay que justificarla con datos en lugar de adoptarla por convención.</w:t>
      </w:r>
    </w:p>
    <w:p>
      <w:pPr>
        <w:spacing w:after="0" w:line="480" w:lineRule="auto"/>
        <w:ind w:firstLine="720"/>
      </w:pPr>
      <w:r>
        <w:rPr>
          <w:rFonts w:ascii="Times New Roman" w:cs="Times New Roman" w:eastAsia="Times New Roman" w:hAnsi="Times New Roman"/>
          <w:b/>
          <w:bCs/>
          <w:color w:val="000000"/>
          <w:sz w:val="24"/>
          <w:szCs w:val="24"/>
        </w:rPr>
        <w:t xml:space="preserve">Definición operativa adoptada.</w:t>
      </w:r>
      <w:r>
        <w:rPr>
          <w:rFonts w:ascii="Times New Roman" w:cs="Times New Roman" w:eastAsia="Times New Roman" w:hAnsi="Times New Roman"/>
          <w:color w:val="000000"/>
          <w:sz w:val="24"/>
          <w:szCs w:val="24"/>
        </w:rPr>
        <w:t xml:space="preserve"> El proyecto fija la etiqueta en un único lugar (</w:t>
      </w:r>
      <w:r>
        <w:rPr>
          <w:rFonts w:ascii="Courier New" w:cs="Courier New" w:eastAsia="Courier New" w:hAnsi="Courier New"/>
          <w:color w:val="000000"/>
          <w:sz w:val="22"/>
          <w:szCs w:val="22"/>
        </w:rPr>
        <w:t xml:space="preserve">contracts/labeling.py</w:t>
      </w:r>
      <w:r>
        <w:rPr>
          <w:rFonts w:ascii="Times New Roman" w:cs="Times New Roman" w:eastAsia="Times New Roman" w:hAnsi="Times New Roman"/>
          <w:color w:val="000000"/>
          <w:sz w:val="24"/>
          <w:szCs w:val="24"/>
        </w:rPr>
        <w:t xml:space="preserve">) y los cuatro módulos la consumen:</w:t>
      </w:r>
    </w:p>
    <w:p>
      <w:pPr>
        <w:spacing w:after="0" w:line="480" w:lineRule="auto"/>
        <w:ind w:left="720"/>
      </w:pPr>
      <w:r>
        <w:rPr>
          <w:rFonts w:ascii="Times New Roman" w:cs="Times New Roman" w:eastAsia="Times New Roman" w:hAnsi="Times New Roman"/>
          <w:color w:val="000000"/>
          <w:sz w:val="24"/>
          <w:szCs w:val="24"/>
        </w:rPr>
        <w:t xml:space="preserve">Una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si su precio de cierre es estrictamente mayor que el de todas las velas entre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si es estrictamente menor que todas ellas. En cualquier otro caso es </w:t>
      </w:r>
      <w:r>
        <w:rPr>
          <w:rFonts w:ascii="Times New Roman" w:cs="Times New Roman" w:eastAsia="Times New Roman" w:hAnsi="Times New Roman"/>
          <w:b/>
          <w:bCs/>
          <w:color w:val="000000"/>
          <w:sz w:val="24"/>
          <w:szCs w:val="24"/>
        </w:rPr>
        <w:t xml:space="preserve">Zona de 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Dos precisiones que no son cosméticas. Primera: la exigencia de desigualdad </w:t>
      </w:r>
      <w:r>
        <w:rPr>
          <w:rFonts w:ascii="Times New Roman" w:cs="Times New Roman" w:eastAsia="Times New Roman" w:hAnsi="Times New Roman"/>
          <w:b/>
          <w:bCs/>
          <w:color w:val="000000"/>
          <w:sz w:val="24"/>
          <w:szCs w:val="24"/>
        </w:rPr>
        <w:t xml:space="preserve">estricta</w:t>
      </w:r>
      <w:r>
        <w:rPr>
          <w:rFonts w:ascii="Times New Roman" w:cs="Times New Roman" w:eastAsia="Times New Roman" w:hAnsi="Times New Roman"/>
          <w:color w:val="000000"/>
          <w:sz w:val="24"/>
          <w:szCs w:val="24"/>
        </w:rPr>
        <w:t xml:space="preserve"> contra las 2w vecinas —y no simplemente ser igual al máximo de la ventana— es lo que garantiza la propiedad aritmética del párrafo siguiente; admitiendo empates, la propiedad se pierde. Segunda: las primeras y últimas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de la serie quedan </w:t>
      </w:r>
      <w:r>
        <w:rPr>
          <w:rFonts w:ascii="Times New Roman" w:cs="Times New Roman" w:eastAsia="Times New Roman" w:hAnsi="Times New Roman"/>
          <w:b/>
          <w:bCs/>
          <w:color w:val="000000"/>
          <w:sz w:val="24"/>
          <w:szCs w:val="24"/>
        </w:rPr>
        <w:t xml:space="preserve">sin etiqueta</w:t>
      </w:r>
      <w:r>
        <w:rPr>
          <w:rFonts w:ascii="Times New Roman" w:cs="Times New Roman" w:eastAsia="Times New Roman" w:hAnsi="Times New Roman"/>
          <w:color w:val="000000"/>
          <w:sz w:val="24"/>
          <w:szCs w:val="24"/>
        </w:rPr>
        <w:t xml:space="preserve">, no etiquetadas como Continuidad. No tienen ventana completa, así que su clase es desconocida, y desconocida no es lo mismo que neutra: contarlas como Continuidad inflaría artificialmente la clase mayoritaria.</w:t>
      </w:r>
    </w:p>
    <w:p>
      <w:pPr>
        <w:spacing w:after="0" w:line="480" w:lineRule="auto"/>
        <w:ind w:firstLine="720"/>
      </w:pPr>
      <w:r>
        <w:rPr>
          <w:rFonts w:ascii="Times New Roman" w:cs="Times New Roman" w:eastAsia="Times New Roman" w:hAnsi="Times New Roman"/>
          <w:b/>
          <w:bCs/>
          <w:color w:val="000000"/>
          <w:sz w:val="24"/>
          <w:szCs w:val="24"/>
        </w:rPr>
        <w:t xml:space="preserve">Propiedad aritmética: la cota superior del desbalance.</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La demostración es inmediata: si lo estuvieran, cada uno caería dentro de la ventana del otro y, por definición, cada uno tendría que ser estrictamente mayor que el otro, lo cual es imposible. Por lo tanto,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y lo mismo vale para Mínimo.</w:t>
      </w:r>
    </w:p>
    <w:p>
      <w:pPr>
        <w:spacing w:after="0" w:line="480" w:lineRule="auto"/>
        <w:ind w:firstLine="720"/>
      </w:pPr>
      <w:r>
        <w:rPr>
          <w:rFonts w:ascii="Times New Roman" w:cs="Times New Roman" w:eastAsia="Times New Roman" w:hAnsi="Times New Roman"/>
          <w:color w:val="000000"/>
          <w:sz w:val="24"/>
          <w:szCs w:val="24"/>
        </w:rPr>
        <w:t xml:space="preserve">Esto es aritmética, no una medición, y tiene una consecuencia que condiciona todo el proyecto: el desbalance de clases </w:t>
      </w:r>
      <w:r>
        <w:rPr>
          <w:rFonts w:ascii="Times New Roman" w:cs="Times New Roman" w:eastAsia="Times New Roman" w:hAnsi="Times New Roman"/>
          <w:b/>
          <w:bCs/>
          <w:color w:val="000000"/>
          <w:sz w:val="24"/>
          <w:szCs w:val="24"/>
        </w:rPr>
        <w:t xml:space="preserve">está garantizado por la definición de la etiqueta</w:t>
      </w:r>
      <w:r>
        <w:rPr>
          <w:rFonts w:ascii="Times New Roman" w:cs="Times New Roman" w:eastAsia="Times New Roman" w:hAnsi="Times New Roman"/>
          <w:color w:val="000000"/>
          <w:sz w:val="24"/>
          <w:szCs w:val="24"/>
        </w:rPr>
        <w:t xml:space="preserve">, no es un accidente de los datos.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los máximos no pueden superar el 16,7 % de las observaciones;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el 12,5 %. Nuestra medición sobre LTC queda muy por debajo de la cota, como corresponde a un límite superior:</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60" w:line="480" w:lineRule="auto"/>
      </w:pPr>
      <w:r>
        <w:rPr>
          <w:rFonts w:ascii="Times New Roman" w:cs="Times New Roman" w:eastAsia="Times New Roman" w:hAnsi="Times New Roman"/>
          <w:i/>
          <w:iCs/>
          <w:color w:val="000000"/>
          <w:sz w:val="24"/>
          <w:szCs w:val="24"/>
        </w:rPr>
        <w:t xml:space="preserve">Balance de clases por combinación de granularidad y ventana, con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Medido con </w:t>
      </w:r>
      <w:r>
        <w:rPr>
          <w:rFonts w:ascii="Courier New" w:cs="Courier New" w:eastAsia="Courier New" w:hAnsi="Courier New"/>
          <w:i/>
          <w:iCs/>
          <w:color w:val="000000"/>
          <w:sz w:val="22"/>
          <w:szCs w:val="22"/>
        </w:rPr>
        <w:t xml:space="preserve">scripts/spike_datos.py</w:t>
      </w:r>
      <w:r>
        <w:rPr>
          <w:rFonts w:ascii="Times New Roman" w:cs="Times New Roman" w:eastAsia="Times New Roman" w:hAnsi="Times New Roman"/>
          <w:i/>
          <w:iCs/>
          <w:color w:val="000000"/>
          <w:sz w:val="24"/>
          <w:szCs w:val="24"/>
        </w:rPr>
        <w:t xml:space="preserve"> el 5 de agosto de 2026 sobre el panel 11/08/2020 – 05/08/2026</w:t>
      </w:r>
    </w:p>
    <w:tbl>
      <w:tblPr>
        <w:tblW w:type="dxa" w:w="9360"/>
        <w:tblBorders>
          <w:top w:val="none"/>
          <w:left w:val="none"/>
          <w:bottom w:val="none"/>
          <w:right w:val="none"/>
          <w:insideH w:val="none"/>
          <w:insideV w:val="none"/>
        </w:tblBorders>
      </w:tblPr>
      <w:tblGrid>
        <w:gridCol w:w="1337"/>
        <w:gridCol w:w="1337"/>
        <w:gridCol w:w="1337"/>
        <w:gridCol w:w="1337"/>
        <w:gridCol w:w="1337"/>
        <w:gridCol w:w="1337"/>
        <w:gridCol w:w="1338"/>
      </w:tblGrid>
      <w:tr>
        <w:trPr>
          <w:tblHeader/>
        </w:trPr>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Courier New" w:cs="Courier New" w:eastAsia="Courier New" w:hAnsi="Courier New"/>
                <w:color w:val="000000"/>
                <w:sz w:val="20"/>
                <w:szCs w:val="20"/>
              </w:rPr>
              <w:t xml:space="preserve">w</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Cota teórica por clase extrema</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Mínimo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Continuidad</w:t>
            </w:r>
          </w:p>
        </w:tc>
        <w:tc>
          <w:tcPr>
            <w:tcW w:type="dxa" w:w="1338"/>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Clase minoritaria en entrenamiento</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10,46 %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79,17 %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149</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4,47 %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90,93 %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3,51 %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93,12 %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53</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80,19 %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884</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6,15 %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87,45 %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557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4,63 %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420</w:t>
            </w:r>
          </w:p>
        </w:tc>
      </w:tr>
      <w:tr>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93,38 %</w:t>
            </w:r>
          </w:p>
        </w:tc>
        <w:tc>
          <w:tcPr>
            <w:tcW w:type="dxa" w:w="1338"/>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299</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spike-datos-1d.json</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spike-datos-4h.json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lectura de la tabla explica una decisión de diseño del proyecto. El criterio se fijó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medir: elegir el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más grande que deje al menos 300 ejemplos de la clase minoritaria en el conjunto de entrenamiento —un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grande detecta giros más significativos, y el piso de 300 garantiza que el modelo tenga de dónde aprender—. Con velas diarias </w:t>
      </w:r>
      <w:r>
        <w:rPr>
          <w:rFonts w:ascii="Times New Roman" w:cs="Times New Roman" w:eastAsia="Times New Roman" w:hAnsi="Times New Roman"/>
          <w:b/>
          <w:bCs/>
          <w:color w:val="000000"/>
          <w:sz w:val="24"/>
          <w:szCs w:val="24"/>
        </w:rPr>
        <w:t xml:space="preserve">ninguna combinación cumple el criterio</w:t>
      </w:r>
      <w:r>
        <w:rPr>
          <w:rFonts w:ascii="Times New Roman" w:cs="Times New Roman" w:eastAsia="Times New Roman" w:hAnsi="Times New Roman"/>
          <w:color w:val="000000"/>
          <w:sz w:val="24"/>
          <w:szCs w:val="24"/>
        </w:rPr>
        <w:t xml:space="preserve">: la mejor deja 149 ejemplos, la mitad del piso. Con velas de 4 horas,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es el mayor que lo cumple, con 420. Esa es la razón por la que el panel de trabajo es el de 4 horas, y es una razón medida, no una preferencia.</w:t>
      </w:r>
    </w:p>
    <w:p>
      <w:pPr>
        <w:spacing w:after="0" w:line="480" w:lineRule="auto"/>
        <w:ind w:firstLine="720"/>
      </w:pPr>
      <w:r>
        <w:rPr>
          <w:rFonts w:ascii="Times New Roman" w:cs="Times New Roman" w:eastAsia="Times New Roman" w:hAnsi="Times New Roman"/>
          <w:b/>
          <w:bCs/>
          <w:color w:val="000000"/>
          <w:sz w:val="24"/>
          <w:szCs w:val="24"/>
        </w:rPr>
        <w:t xml:space="preserve">El horizonte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 independiente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mientras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 un giro,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con cuánta anticipación</w:t>
      </w:r>
      <w:r>
        <w:rPr>
          <w:rFonts w:ascii="Times New Roman" w:cs="Times New Roman" w:eastAsia="Times New Roman" w:hAnsi="Times New Roman"/>
          <w:color w:val="000000"/>
          <w:sz w:val="24"/>
          <w:szCs w:val="24"/>
        </w:rPr>
        <w:t xml:space="preserve"> se anuncia. El modelo observa la información disponible hasta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responde qué etiqueta corresponderá a la vela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latencia real del sistema.</w:t>
      </w:r>
      <w:r>
        <w:rPr>
          <w:rFonts w:ascii="Times New Roman" w:cs="Times New Roman" w:eastAsia="Times New Roman" w:hAnsi="Times New Roman"/>
          <w:color w:val="000000"/>
          <w:sz w:val="24"/>
          <w:szCs w:val="24"/>
        </w:rPr>
        <w:t xml:space="preserve"> Aquí hay un punto que conviene declarar antes de que lo pregunten. Para saber si la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observar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de modo que su etiqueta </w:t>
      </w:r>
      <w:r>
        <w:rPr>
          <w:rFonts w:ascii="Times New Roman" w:cs="Times New Roman" w:eastAsia="Times New Roman" w:hAnsi="Times New Roman"/>
          <w:b/>
          <w:bCs/>
          <w:color w:val="000000"/>
          <w:sz w:val="24"/>
          <w:szCs w:val="24"/>
        </w:rPr>
        <w:t xml:space="preserve">no se conoce hasta </w:t>
      </w:r>
      <w:r>
        <w:rPr>
          <w:rFonts w:ascii="Courier New" w:cs="Courier New" w:eastAsia="Courier New" w:hAnsi="Courier New"/>
          <w:b/>
          <w:bCs/>
          <w:color w:val="000000"/>
          <w:sz w:val="22"/>
          <w:szCs w:val="22"/>
        </w:rPr>
        <w:t xml:space="preserve">t+w</w:t>
      </w:r>
      <w:r>
        <w:rPr>
          <w:rFonts w:ascii="Times New Roman" w:cs="Times New Roman" w:eastAsia="Times New Roman" w:hAnsi="Times New Roman"/>
          <w:color w:val="000000"/>
          <w:sz w:val="24"/>
          <w:szCs w:val="24"/>
        </w:rPr>
        <w:t xml:space="preserve">. Si estamos parados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predecimos la etiqueta de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 esa etiqueta no existirá hasta </w:t>
      </w:r>
      <w:r>
        <w:rPr>
          <w:rFonts w:ascii="Courier New" w:cs="Courier New" w:eastAsia="Courier New" w:hAnsi="Courier New"/>
          <w:color w:val="000000"/>
          <w:sz w:val="22"/>
          <w:szCs w:val="22"/>
        </w:rPr>
        <w:t xml:space="preserve">t+h+w</w:t>
      </w:r>
      <w:r>
        <w:rPr>
          <w:rFonts w:ascii="Times New Roman" w:cs="Times New Roman" w:eastAsia="Times New Roman" w:hAnsi="Times New Roman"/>
          <w:color w:val="000000"/>
          <w:sz w:val="24"/>
          <w:szCs w:val="24"/>
        </w:rPr>
        <w:t xml:space="preserve">. La anticipación efectiva del sistema es por lo tanto de </w:t>
      </w:r>
      <w:r>
        <w:rPr>
          <w:rFonts w:ascii="Courier New" w:cs="Courier New" w:eastAsia="Courier New" w:hAnsi="Courier New"/>
          <w:b/>
          <w:bCs/>
          <w:color w:val="000000"/>
          <w:sz w:val="22"/>
          <w:szCs w:val="22"/>
        </w:rPr>
        <w:t xml:space="preserve">h+w</w:t>
      </w:r>
      <w:r>
        <w:rPr>
          <w:rFonts w:ascii="Times New Roman" w:cs="Times New Roman" w:eastAsia="Times New Roman" w:hAnsi="Times New Roman"/>
          <w:b/>
          <w:bCs/>
          <w:color w:val="000000"/>
          <w:sz w:val="24"/>
          <w:szCs w:val="24"/>
        </w:rPr>
        <w:t xml:space="preserve"> velas, no de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color w:val="000000"/>
          <w:sz w:val="24"/>
          <w:szCs w:val="24"/>
        </w:rPr>
        <w:t xml:space="preserve">, y reportar solo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sería engañoso. El proyecto expone esta cantidad como una función explícita (</w:t>
      </w:r>
      <w:r>
        <w:rPr>
          <w:rFonts w:ascii="Courier New" w:cs="Courier New" w:eastAsia="Courier New" w:hAnsi="Courier New"/>
          <w:color w:val="000000"/>
          <w:sz w:val="22"/>
          <w:szCs w:val="22"/>
        </w:rPr>
        <w:t xml:space="preserve">latencia_real(w, h)</w:t>
      </w:r>
      <w:r>
        <w:rPr>
          <w:rFonts w:ascii="Times New Roman" w:cs="Times New Roman" w:eastAsia="Times New Roman" w:hAnsi="Times New Roman"/>
          <w:color w:val="000000"/>
          <w:sz w:val="24"/>
          <w:szCs w:val="24"/>
        </w:rPr>
        <w:t xml:space="preserve">) para que el número entre al informe calculado y no estimado.</w:t>
      </w:r>
    </w:p>
    <w:p>
      <w:pPr>
        <w:spacing w:after="0" w:line="480" w:lineRule="auto"/>
        <w:ind w:firstLine="720"/>
      </w:pPr>
      <w:r>
        <w:rPr>
          <w:rFonts w:ascii="Times New Roman" w:cs="Times New Roman" w:eastAsia="Times New Roman" w:hAnsi="Times New Roman"/>
          <w:color w:val="000000"/>
          <w:sz w:val="24"/>
          <w:szCs w:val="24"/>
        </w:rPr>
        <w:t xml:space="preserve">De esta propiedad se desprende además el riesgo técnico más serio del proyecto. Como la etiqueta se construye mirando el futuro, es fácil contaminar las características con información posterior al instante de predicción sin darse cuenta. Es el riesgo R4 del PRD, y es particularmente peligroso porque </w:t>
      </w:r>
      <w:r>
        <w:rPr>
          <w:rFonts w:ascii="Times New Roman" w:cs="Times New Roman" w:eastAsia="Times New Roman" w:hAnsi="Times New Roman"/>
          <w:b/>
          <w:bCs/>
          <w:color w:val="000000"/>
          <w:sz w:val="24"/>
          <w:szCs w:val="24"/>
        </w:rPr>
        <w:t xml:space="preserve">no se manifiesta como un error</w:t>
      </w:r>
      <w:r>
        <w:rPr>
          <w:rFonts w:ascii="Times New Roman" w:cs="Times New Roman" w:eastAsia="Times New Roman" w:hAnsi="Times New Roman"/>
          <w:color w:val="000000"/>
          <w:sz w:val="24"/>
          <w:szCs w:val="24"/>
        </w:rPr>
        <w:t xml:space="preserve">: produce métricas excelentes y un sistema inservible. La literatura de aprendizaje automático aplicado a finanzas insiste en este punto (López de Prado, 2018), y por eso el proyecto lo trata con una prueba automática obligatoria (RF-E2) y con un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cada frontera de la partición temporal (Bergmeir &amp; Benítez, 2012).</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8. Cómo encontrar puntos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120" w:line="480" w:lineRule="auto"/>
      </w:pPr>
      <w:r>
        <w:rPr>
          <w:rFonts w:ascii="Times New Roman" w:cs="Times New Roman" w:eastAsia="Times New Roman" w:hAnsi="Times New Roman"/>
          <w:i/>
          <w:iCs/>
          <w:color w:val="000000"/>
          <w:sz w:val="24"/>
          <w:szCs w:val="24"/>
        </w:rPr>
        <w:t xml:space="preserve">Últimas 250 velas diarias de LTC con los giros detectados por el criterio de ventana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color w:val="000000"/>
          <w:sz w:val="24"/>
          <w:szCs w:val="24"/>
        </w:rPr>
        <w:t xml:space="preserve">Existen dos enfoques, y contrastarlos aclara qué estamos haciendo y qué estamos dejando fuera.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8.1 Estructura de mercado (HH, HL, LH, LL)</w:t>
      </w:r>
    </w:p>
    <w:p>
      <w:pPr>
        <w:spacing w:after="0" w:line="480" w:lineRule="auto"/>
        <w:ind w:firstLine="720"/>
      </w:pPr>
      <w:r>
        <w:rPr>
          <w:rFonts w:ascii="Times New Roman" w:cs="Times New Roman" w:eastAsia="Times New Roman" w:hAnsi="Times New Roman"/>
          <w:color w:val="000000"/>
          <w:sz w:val="24"/>
          <w:szCs w:val="24"/>
        </w:rPr>
        <w:t xml:space="preserve">Es el enfoque clásico del análisis técnico y el que muestra la figura del enunciado. Se identifican máximos y mínimos sucesivos y se clasifican como </w:t>
      </w:r>
      <w:r>
        <w:rPr>
          <w:rFonts w:ascii="Times New Roman" w:cs="Times New Roman" w:eastAsia="Times New Roman" w:hAnsi="Times New Roman"/>
          <w:i/>
          <w:iCs/>
          <w:color w:val="000000"/>
          <w:sz w:val="24"/>
          <w:szCs w:val="24"/>
        </w:rPr>
        <w:t xml:space="preserve">higher high</w:t>
      </w:r>
      <w:r>
        <w:rPr>
          <w:rFonts w:ascii="Times New Roman" w:cs="Times New Roman" w:eastAsia="Times New Roman" w:hAnsi="Times New Roman"/>
          <w:color w:val="000000"/>
          <w:sz w:val="24"/>
          <w:szCs w:val="24"/>
        </w:rPr>
        <w:t xml:space="preserve"> (HH), </w:t>
      </w:r>
      <w:r>
        <w:rPr>
          <w:rFonts w:ascii="Times New Roman" w:cs="Times New Roman" w:eastAsia="Times New Roman" w:hAnsi="Times New Roman"/>
          <w:i/>
          <w:iCs/>
          <w:color w:val="000000"/>
          <w:sz w:val="24"/>
          <w:szCs w:val="24"/>
        </w:rPr>
        <w:t xml:space="preserve">higher low</w:t>
      </w:r>
      <w:r>
        <w:rPr>
          <w:rFonts w:ascii="Times New Roman" w:cs="Times New Roman" w:eastAsia="Times New Roman" w:hAnsi="Times New Roman"/>
          <w:color w:val="000000"/>
          <w:sz w:val="24"/>
          <w:szCs w:val="24"/>
        </w:rPr>
        <w:t xml:space="preserve"> (HL), </w:t>
      </w:r>
      <w:r>
        <w:rPr>
          <w:rFonts w:ascii="Times New Roman" w:cs="Times New Roman" w:eastAsia="Times New Roman" w:hAnsi="Times New Roman"/>
          <w:i/>
          <w:iCs/>
          <w:color w:val="000000"/>
          <w:sz w:val="24"/>
          <w:szCs w:val="24"/>
        </w:rPr>
        <w:t xml:space="preserve">lower high</w:t>
      </w:r>
      <w:r>
        <w:rPr>
          <w:rFonts w:ascii="Times New Roman" w:cs="Times New Roman" w:eastAsia="Times New Roman" w:hAnsi="Times New Roman"/>
          <w:color w:val="000000"/>
          <w:sz w:val="24"/>
          <w:szCs w:val="24"/>
        </w:rPr>
        <w:t xml:space="preserve"> (LH) y </w:t>
      </w:r>
      <w:r>
        <w:rPr>
          <w:rFonts w:ascii="Times New Roman" w:cs="Times New Roman" w:eastAsia="Times New Roman" w:hAnsi="Times New Roman"/>
          <w:i/>
          <w:iCs/>
          <w:color w:val="000000"/>
          <w:sz w:val="24"/>
          <w:szCs w:val="24"/>
        </w:rPr>
        <w:t xml:space="preserve">lower low</w:t>
      </w:r>
      <w:r>
        <w:rPr>
          <w:rFonts w:ascii="Times New Roman" w:cs="Times New Roman" w:eastAsia="Times New Roman" w:hAnsi="Times New Roman"/>
          <w:color w:val="000000"/>
          <w:sz w:val="24"/>
          <w:szCs w:val="24"/>
        </w:rPr>
        <w:t xml:space="preserve"> (LL). Una secuencia de HH y HL describe una tendencia alcista; una de LH y LL, una bajista. El cambio de tendencia se señala cuando la secuencia se rompe: en una tendencia alcista, el primer máximo que no supera al anterior (LH), seguido de un mínimo que perfora al anterior (LL), marca el giro (Murphy, 1999).</w:t>
      </w:r>
    </w:p>
    <w:p>
      <w:pPr>
        <w:spacing w:after="0" w:line="480" w:lineRule="auto"/>
        <w:ind w:firstLine="720"/>
      </w:pPr>
      <w:r>
        <w:rPr>
          <w:rFonts w:ascii="Times New Roman" w:cs="Times New Roman" w:eastAsia="Times New Roman" w:hAnsi="Times New Roman"/>
          <w:color w:val="000000"/>
          <w:sz w:val="24"/>
          <w:szCs w:val="24"/>
        </w:rPr>
        <w:t xml:space="preserve">Su virtud es que incorpora el contexto de la tendencia: no pregunta solo si un punto es un extremo local, sino si ese extremo rompe una estructura. Su limitación es decisiva para un trabajo cuantitativo: </w:t>
      </w:r>
      <w:r>
        <w:rPr>
          <w:rFonts w:ascii="Times New Roman" w:cs="Times New Roman" w:eastAsia="Times New Roman" w:hAnsi="Times New Roman"/>
          <w:b/>
          <w:bCs/>
          <w:color w:val="000000"/>
          <w:sz w:val="24"/>
          <w:szCs w:val="24"/>
        </w:rPr>
        <w:t xml:space="preserve">depende del criterio del observador</w:t>
      </w:r>
      <w:r>
        <w:rPr>
          <w:rFonts w:ascii="Times New Roman" w:cs="Times New Roman" w:eastAsia="Times New Roman" w:hAnsi="Times New Roman"/>
          <w:color w:val="000000"/>
          <w:sz w:val="24"/>
          <w:szCs w:val="24"/>
        </w:rPr>
        <w:t xml:space="preserve">. Qué oscilación cuenta como un máximo relevante y cuál es ruido no está definido por el método, y dos analistas pueden etiquetar la misma serie de forma distinta. Sin una regla explícita no hay verdad de referencia reproducible, y sin verdad de referencia no hay aprendizaje supervisado posible.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8.2 Criterio automático de ventana</w:t>
      </w:r>
    </w:p>
    <w:p>
      <w:pPr>
        <w:spacing w:after="0" w:line="480" w:lineRule="auto"/>
        <w:ind w:firstLine="720"/>
      </w:pPr>
      <w:r>
        <w:rPr>
          <w:rFonts w:ascii="Times New Roman" w:cs="Times New Roman" w:eastAsia="Times New Roman" w:hAnsi="Times New Roman"/>
          <w:color w:val="000000"/>
          <w:sz w:val="24"/>
          <w:szCs w:val="24"/>
        </w:rPr>
        <w:t xml:space="preserve">Es el que adopta el proyecto y el que quedó definido en la sección 7. Sus ventajas son las que le faltan al anterior: es </w:t>
      </w:r>
      <w:r>
        <w:rPr>
          <w:rFonts w:ascii="Times New Roman" w:cs="Times New Roman" w:eastAsia="Times New Roman" w:hAnsi="Times New Roman"/>
          <w:b/>
          <w:bCs/>
          <w:color w:val="000000"/>
          <w:sz w:val="24"/>
          <w:szCs w:val="24"/>
        </w:rPr>
        <w:t xml:space="preserve">reproducible</w:t>
      </w:r>
      <w:r>
        <w:rPr>
          <w:rFonts w:ascii="Times New Roman" w:cs="Times New Roman" w:eastAsia="Times New Roman" w:hAnsi="Times New Roman"/>
          <w:color w:val="000000"/>
          <w:sz w:val="24"/>
          <w:szCs w:val="24"/>
        </w:rPr>
        <w:t xml:space="preserve"> —la misma serie produce siempre las mismas etiquetas—, es </w:t>
      </w:r>
      <w:r>
        <w:rPr>
          <w:rFonts w:ascii="Times New Roman" w:cs="Times New Roman" w:eastAsia="Times New Roman" w:hAnsi="Times New Roman"/>
          <w:b/>
          <w:bCs/>
          <w:color w:val="000000"/>
          <w:sz w:val="24"/>
          <w:szCs w:val="24"/>
        </w:rPr>
        <w:t xml:space="preserve">auditable</w:t>
      </w:r>
      <w:r>
        <w:rPr>
          <w:rFonts w:ascii="Times New Roman" w:cs="Times New Roman" w:eastAsia="Times New Roman" w:hAnsi="Times New Roman"/>
          <w:color w:val="000000"/>
          <w:sz w:val="24"/>
          <w:szCs w:val="24"/>
        </w:rPr>
        <w:t xml:space="preserve"> —cabe en una función con pruebas— y es </w:t>
      </w:r>
      <w:r>
        <w:rPr>
          <w:rFonts w:ascii="Times New Roman" w:cs="Times New Roman" w:eastAsia="Times New Roman" w:hAnsi="Times New Roman"/>
          <w:b/>
          <w:bCs/>
          <w:color w:val="000000"/>
          <w:sz w:val="24"/>
          <w:szCs w:val="24"/>
        </w:rPr>
        <w:t xml:space="preserve">explícito</w:t>
      </w:r>
      <w:r>
        <w:rPr>
          <w:rFonts w:ascii="Times New Roman" w:cs="Times New Roman" w:eastAsia="Times New Roman" w:hAnsi="Times New Roman"/>
          <w:color w:val="000000"/>
          <w:sz w:val="24"/>
          <w:szCs w:val="24"/>
        </w:rPr>
        <w:t xml:space="preserve"> en su escala, porque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está a la vista.</w:t>
      </w:r>
    </w:p>
    <w:p>
      <w:pPr>
        <w:spacing w:after="0" w:line="480" w:lineRule="auto"/>
        <w:ind w:firstLine="720"/>
      </w:pPr>
      <w:r>
        <w:rPr>
          <w:rFonts w:ascii="Times New Roman" w:cs="Times New Roman" w:eastAsia="Times New Roman" w:hAnsi="Times New Roman"/>
          <w:color w:val="000000"/>
          <w:sz w:val="24"/>
          <w:szCs w:val="24"/>
        </w:rPr>
        <w:t xml:space="preserve">Su costo es que exige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y que ignora el contexto de tendencia: trata por igual un máximo en medio de una tendencia alcista y uno que marca su final. Es un intercambio consciente, y la elección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con criterio medido (Tabla 1) es lo que impide que se convierta en arbitrariedad.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8.3 Validación del detector sobre una serie donde conocemos la respuesta</w:t>
      </w:r>
    </w:p>
    <w:p>
      <w:pPr>
        <w:spacing w:after="0" w:line="480" w:lineRule="auto"/>
        <w:ind w:firstLine="720"/>
      </w:pPr>
      <w:r>
        <w:rPr>
          <w:rFonts w:ascii="Times New Roman" w:cs="Times New Roman" w:eastAsia="Times New Roman" w:hAnsi="Times New Roman"/>
          <w:color w:val="000000"/>
          <w:sz w:val="24"/>
          <w:szCs w:val="24"/>
        </w:rPr>
        <w:t xml:space="preserve">El argumento que sostiene todo lo demás es el siguiente: </w:t>
      </w:r>
      <w:r>
        <w:rPr>
          <w:rFonts w:ascii="Times New Roman" w:cs="Times New Roman" w:eastAsia="Times New Roman" w:hAnsi="Times New Roman"/>
          <w:b/>
          <w:bCs/>
          <w:color w:val="000000"/>
          <w:sz w:val="24"/>
          <w:szCs w:val="24"/>
        </w:rPr>
        <w:t xml:space="preserve">antes de creerle al detector sobre datos donde nadie sabe la verdad, hay que verificar que encuentra lo que tiene que encontrar sobre una serie donde la verdad la pusimos nosotros.</w:t>
      </w:r>
    </w:p>
    <w:p>
      <w:pPr>
        <w:spacing w:after="0" w:line="480" w:lineRule="auto"/>
        <w:ind w:firstLine="720"/>
      </w:pPr>
      <w:r>
        <w:rPr>
          <w:rFonts w:ascii="Times New Roman" w:cs="Times New Roman" w:eastAsia="Times New Roman" w:hAnsi="Times New Roman"/>
          <w:color w:val="000000"/>
          <w:sz w:val="24"/>
          <w:szCs w:val="24"/>
        </w:rPr>
        <w:t xml:space="preserve">Sobre la serie construida de la Figura 9 —lineal a tramos, con vértices colocados por construcción— el detector encontró </w:t>
      </w:r>
      <w:r>
        <w:rPr>
          <w:rFonts w:ascii="Times New Roman" w:cs="Times New Roman" w:eastAsia="Times New Roman" w:hAnsi="Times New Roman"/>
          <w:b/>
          <w:bCs/>
          <w:color w:val="000000"/>
          <w:sz w:val="24"/>
          <w:szCs w:val="24"/>
        </w:rPr>
        <w:t xml:space="preserve">18 de 18</w:t>
      </w:r>
      <w:r>
        <w:rPr>
          <w:rFonts w:ascii="Times New Roman" w:cs="Times New Roman" w:eastAsia="Times New Roman" w:hAnsi="Times New Roman"/>
          <w:color w:val="000000"/>
          <w:sz w:val="24"/>
          <w:szCs w:val="24"/>
        </w:rPr>
        <w:t xml:space="preserve"> vértices, exactamente y sin ningún falso positivo. Esta comprobación no dice nada sobre el mercado: dice que la implementación del etiquetador es correcta, y eso es una condición previa a cualquier otra afirmación del proyecto.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8.4 A qué nivel de ruido se rompe el etiquetado</w:t>
      </w:r>
    </w:p>
    <w:p>
      <w:pPr>
        <w:spacing w:after="0" w:line="480" w:lineRule="auto"/>
        <w:ind w:firstLine="720"/>
      </w:pPr>
      <w:r>
        <w:rPr>
          <w:rFonts w:ascii="Times New Roman" w:cs="Times New Roman" w:eastAsia="Times New Roman" w:hAnsi="Times New Roman"/>
          <w:color w:val="000000"/>
          <w:sz w:val="24"/>
          <w:szCs w:val="24"/>
        </w:rPr>
        <w:t xml:space="preserve">La comprobación anterior deja abierta la pregunta incómoda: </w:t>
      </w:r>
      <w:r>
        <w:rPr>
          <w:rFonts w:ascii="Times New Roman" w:cs="Times New Roman" w:eastAsia="Times New Roman" w:hAnsi="Times New Roman"/>
          <w:i/>
          <w:iCs/>
          <w:color w:val="000000"/>
          <w:sz w:val="24"/>
          <w:szCs w:val="24"/>
        </w:rPr>
        <w:t xml:space="preserve">¿cómo saben que sus etiquetas no son ruido?</w:t>
      </w:r>
      <w:r>
        <w:rPr>
          <w:rFonts w:ascii="Times New Roman" w:cs="Times New Roman" w:eastAsia="Times New Roman" w:hAnsi="Times New Roman"/>
          <w:color w:val="000000"/>
          <w:sz w:val="24"/>
          <w:szCs w:val="24"/>
        </w:rPr>
        <w:t xml:space="preserve"> Una serie lineal a tramos sin ruido es un caso fácil. La pregunta relevante es cuánto ruido tolera el detector antes de empezar a inventar giros que no existen. Es una medición que se puede hacer, y la hicimos (issue S1-M2-01).</w:t>
      </w:r>
    </w:p>
    <w:p>
      <w:pPr>
        <w:spacing w:after="0" w:line="480" w:lineRule="auto"/>
        <w:ind w:firstLine="720"/>
      </w:pPr>
      <w:r>
        <w:rPr>
          <w:rFonts w:ascii="Times New Roman" w:cs="Times New Roman" w:eastAsia="Times New Roman" w:hAnsi="Times New Roman"/>
          <w:b/>
          <w:bCs/>
          <w:color w:val="000000"/>
          <w:sz w:val="24"/>
          <w:szCs w:val="24"/>
        </w:rPr>
        <w:t xml:space="preserve">Diseño del experimento.</w:t>
      </w:r>
      <w:r>
        <w:rPr>
          <w:rFonts w:ascii="Times New Roman" w:cs="Times New Roman" w:eastAsia="Times New Roman" w:hAnsi="Times New Roman"/>
          <w:color w:val="000000"/>
          <w:sz w:val="24"/>
          <w:szCs w:val="24"/>
        </w:rPr>
        <w:t xml:space="preserve"> Se generan series de 800 velas con </w:t>
      </w:r>
      <w:r>
        <w:rPr>
          <w:rFonts w:ascii="Courier New" w:cs="Courier New" w:eastAsia="Courier New" w:hAnsi="Courier New"/>
          <w:color w:val="000000"/>
          <w:sz w:val="22"/>
          <w:szCs w:val="22"/>
        </w:rPr>
        <w:t xml:space="preserve">serie_zigzag(w = 7)</w:t>
      </w:r>
      <w:r>
        <w:rPr>
          <w:rFonts w:ascii="Times New Roman" w:cs="Times New Roman" w:eastAsia="Times New Roman" w:hAnsi="Times New Roman"/>
          <w:color w:val="000000"/>
          <w:sz w:val="24"/>
          <w:szCs w:val="24"/>
        </w:rPr>
        <w:t xml:space="preserve">, con los vértices colocados por construcción, y se les suma ruido gaussiano de desviación estándar creciente. La verdad de referencia se toma de los vértices de la serie </w:t>
      </w:r>
      <w:r>
        <w:rPr>
          <w:rFonts w:ascii="Times New Roman" w:cs="Times New Roman" w:eastAsia="Times New Roman" w:hAnsi="Times New Roman"/>
          <w:b/>
          <w:bCs/>
          <w:color w:val="000000"/>
          <w:sz w:val="24"/>
          <w:szCs w:val="24"/>
        </w:rPr>
        <w:t xml:space="preserve">limpia</w:t>
      </w:r>
      <w:r>
        <w:rPr>
          <w:rFonts w:ascii="Times New Roman" w:cs="Times New Roman" w:eastAsia="Times New Roman" w:hAnsi="Times New Roman"/>
          <w:color w:val="000000"/>
          <w:sz w:val="24"/>
          <w:szCs w:val="24"/>
        </w:rPr>
        <w:t xml:space="preserve">, no de la salida del etiquetador —de lo contrario la prueba compararía la función consigo misma y pasaría siempre—, y la detección se evalúa sobre la serie </w:t>
      </w:r>
      <w:r>
        <w:rPr>
          <w:rFonts w:ascii="Times New Roman" w:cs="Times New Roman" w:eastAsia="Times New Roman" w:hAnsi="Times New Roman"/>
          <w:b/>
          <w:bCs/>
          <w:color w:val="000000"/>
          <w:sz w:val="24"/>
          <w:szCs w:val="24"/>
        </w:rPr>
        <w:t xml:space="preserve">ruidosa</w:t>
      </w:r>
      <w:r>
        <w:rPr>
          <w:rFonts w:ascii="Times New Roman" w:cs="Times New Roman" w:eastAsia="Times New Roman" w:hAnsi="Times New Roman"/>
          <w:color w:val="000000"/>
          <w:sz w:val="24"/>
          <w:szCs w:val="24"/>
        </w:rPr>
        <w:t xml:space="preserve">. Ambas comparten vértices y alturas por construcción, lo que hace válida la comparación. Cada nivel de ruido se promedia sobre </w:t>
      </w:r>
      <w:r>
        <w:rPr>
          <w:rFonts w:ascii="Times New Roman" w:cs="Times New Roman" w:eastAsia="Times New Roman" w:hAnsi="Times New Roman"/>
          <w:b/>
          <w:bCs/>
          <w:color w:val="000000"/>
          <w:sz w:val="24"/>
          <w:szCs w:val="24"/>
        </w:rPr>
        <w:t xml:space="preserve">diez semillas</w:t>
      </w:r>
      <w:r>
        <w:rPr>
          <w:rFonts w:ascii="Times New Roman" w:cs="Times New Roman" w:eastAsia="Times New Roman" w:hAnsi="Times New Roman"/>
          <w:color w:val="000000"/>
          <w:sz w:val="24"/>
          <w:szCs w:val="24"/>
        </w:rPr>
        <w:t xml:space="preserve">, porque una sola serie no distingue el efecto del ruido del azar de esa serie concreta. En total, 498 giros verdaderos por nivel.</w:t>
      </w:r>
    </w:p>
    <w:p>
      <w:pPr>
        <w:spacing w:after="0" w:line="480" w:lineRule="auto"/>
        <w:ind w:firstLine="720"/>
      </w:pPr>
      <w:r>
        <w:rPr>
          <w:rFonts w:ascii="Times New Roman" w:cs="Times New Roman" w:eastAsia="Times New Roman" w:hAnsi="Times New Roman"/>
          <w:b/>
          <w:bCs/>
          <w:color w:val="000000"/>
          <w:sz w:val="24"/>
          <w:szCs w:val="24"/>
        </w:rPr>
        <w:t xml:space="preserve">Cómo se expresa el ruido.</w:t>
      </w:r>
      <w:r>
        <w:rPr>
          <w:rFonts w:ascii="Times New Roman" w:cs="Times New Roman" w:eastAsia="Times New Roman" w:hAnsi="Times New Roman"/>
          <w:color w:val="000000"/>
          <w:sz w:val="24"/>
          <w:szCs w:val="24"/>
        </w:rPr>
        <w:t xml:space="preserve"> No en unidades absolutas, sino </w:t>
      </w:r>
      <w:r>
        <w:rPr>
          <w:rFonts w:ascii="Times New Roman" w:cs="Times New Roman" w:eastAsia="Times New Roman" w:hAnsi="Times New Roman"/>
          <w:b/>
          <w:bCs/>
          <w:color w:val="000000"/>
          <w:sz w:val="24"/>
          <w:szCs w:val="24"/>
        </w:rPr>
        <w:t xml:space="preserve">relativo al cambio típico de precio entre dos velas consecutivas</w:t>
      </w:r>
      <w:r>
        <w:rPr>
          <w:rFonts w:ascii="Times New Roman" w:cs="Times New Roman" w:eastAsia="Times New Roman" w:hAnsi="Times New Roman"/>
          <w:color w:val="000000"/>
          <w:sz w:val="24"/>
          <w:szCs w:val="24"/>
        </w:rPr>
        <w:t xml:space="preserve"> de la serie limpia. Un σ de 0,5 es enorme en una serie que se mueve 0,2 por vela e irrelevante en una que se mueve 20; el cociente es lo que hace la medición comparable con cualquier otra serie.</w:t>
      </w:r>
    </w:p>
    <w:p>
      <w:pPr>
        <w:spacing w:after="0" w:line="480" w:lineRule="auto"/>
        <w:ind w:firstLine="720"/>
      </w:pPr>
      <w:r>
        <w:rPr>
          <w:rFonts w:ascii="Times New Roman" w:cs="Times New Roman" w:eastAsia="Times New Roman" w:hAnsi="Times New Roman"/>
          <w:b/>
          <w:bCs/>
          <w:color w:val="000000"/>
          <w:sz w:val="24"/>
          <w:szCs w:val="24"/>
        </w:rPr>
        <w:t xml:space="preserve">Se miden dos cosas distintas a propósito.</w:t>
      </w:r>
      <w:r>
        <w:rPr>
          <w:rFonts w:ascii="Times New Roman" w:cs="Times New Roman" w:eastAsia="Times New Roman" w:hAnsi="Times New Roman"/>
          <w:color w:val="000000"/>
          <w:sz w:val="24"/>
          <w:szCs w:val="24"/>
        </w:rPr>
        <w:t xml:space="preserve"> Perder un giro no es lo mismo que detectarlo corrido una vela. Por eso se reportan la detección </w:t>
      </w:r>
      <w:r>
        <w:rPr>
          <w:rFonts w:ascii="Times New Roman" w:cs="Times New Roman" w:eastAsia="Times New Roman" w:hAnsi="Times New Roman"/>
          <w:b/>
          <w:bCs/>
          <w:color w:val="000000"/>
          <w:sz w:val="24"/>
          <w:szCs w:val="24"/>
        </w:rPr>
        <w:t xml:space="preserve">exacta</w:t>
      </w:r>
      <w:r>
        <w:rPr>
          <w:rFonts w:ascii="Times New Roman" w:cs="Times New Roman" w:eastAsia="Times New Roman" w:hAnsi="Times New Roman"/>
          <w:color w:val="000000"/>
          <w:sz w:val="24"/>
          <w:szCs w:val="24"/>
        </w:rPr>
        <w:t xml:space="preserve"> —el giro cae en la vela precisa— y la detección </w:t>
      </w:r>
      <w:r>
        <w:rPr>
          <w:rFonts w:ascii="Times New Roman" w:cs="Times New Roman" w:eastAsia="Times New Roman" w:hAnsi="Times New Roman"/>
          <w:b/>
          <w:bCs/>
          <w:color w:val="000000"/>
          <w:sz w:val="24"/>
          <w:szCs w:val="24"/>
        </w:rPr>
        <w:t xml:space="preserve">con tolerancia de una vela</w:t>
      </w:r>
      <w:r>
        <w:rPr>
          <w:rFonts w:ascii="Times New Roman" w:cs="Times New Roman" w:eastAsia="Times New Roman" w:hAnsi="Times New Roman"/>
          <w:color w:val="000000"/>
          <w:sz w:val="24"/>
          <w:szCs w:val="24"/>
        </w:rPr>
        <w:t xml:space="preserve">. Una sola métrica no puede separar los dos fallos, y la diferencia entre ambas resultó ser el hallazgo principal.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Sensibilidad del etiquetador al ruido. Serie construida de 800 velas, </w:t>
      </w:r>
      <w:r>
        <w:rPr>
          <w:rFonts w:ascii="Courier New" w:cs="Courier New" w:eastAsia="Courier New" w:hAnsi="Courier New"/>
          <w:i/>
          <w:iCs/>
          <w:color w:val="000000"/>
          <w:sz w:val="22"/>
          <w:szCs w:val="22"/>
        </w:rPr>
        <w:t xml:space="preserve">w = 7</w:t>
      </w:r>
      <w:r>
        <w:rPr>
          <w:rFonts w:ascii="Times New Roman" w:cs="Times New Roman" w:eastAsia="Times New Roman" w:hAnsi="Times New Roman"/>
          <w:i/>
          <w:iCs/>
          <w:color w:val="000000"/>
          <w:sz w:val="24"/>
          <w:szCs w:val="24"/>
        </w:rPr>
        <w:t xml:space="preserve">, promedio de 10 semillas por nivel (498 giros verdaderos en cada uno). La fila σ = 0,70 proviene del barrido fino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σ</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Ruido relativo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(tolerancia 1 vela)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(vela exacta)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falsos por giro verdadero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0,25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0,70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0,960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0,150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0,669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0,325</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0,467</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m2-ruido-etiquetado.json</w:t>
      </w:r>
      <w:r>
        <w:rPr>
          <w:rFonts w:ascii="Times New Roman" w:cs="Times New Roman" w:eastAsia="Times New Roman" w:hAnsi="Times New Roman"/>
          <w:color w:val="000000"/>
          <w:sz w:val="24"/>
          <w:szCs w:val="24"/>
        </w:rPr>
        <w:t xml:space="preserve">, regenerable con </w:t>
      </w:r>
      <w:r>
        <w:rPr>
          <w:rFonts w:ascii="Courier New" w:cs="Courier New" w:eastAsia="Courier New" w:hAnsi="Courier New"/>
          <w:color w:val="000000"/>
          <w:sz w:val="22"/>
          <w:szCs w:val="22"/>
        </w:rPr>
        <w:t xml:space="preserve">uv run python -m src.sintetico.sensibilidad</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120" w:line="480" w:lineRule="auto"/>
      </w:pPr>
      <w:r>
        <w:rPr>
          <w:rFonts w:ascii="Times New Roman" w:cs="Times New Roman" w:eastAsia="Times New Roman" w:hAnsi="Times New Roman"/>
          <w:i/>
          <w:iCs/>
          <w:color w:val="000000"/>
          <w:sz w:val="24"/>
          <w:szCs w:val="24"/>
        </w:rPr>
        <w:t xml:space="preserve">Izquierda: fracción de giros verdaderos recuperados, con y sin tolerancia de una vela. Derecha: giros falsos por giro verdadero. </w:t>
      </w:r>
      <w:r>
        <w:rPr>
          <w:rFonts w:ascii="Times New Roman" w:cs="Times New Roman" w:eastAsia="Times New Roman" w:hAnsi="Times New Roman"/>
          <w:b/>
          <w:bCs/>
          <w:i/>
          <w:iCs/>
          <w:color w:val="000000"/>
          <w:sz w:val="24"/>
          <w:szCs w:val="24"/>
        </w:rPr>
        <w:t xml:space="preserve">Serie construida por nosotros; no es Litecoin.</w:t>
      </w:r>
    </w:p>
    <w:p>
      <w:pPr>
        <w:spacing w:after="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812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12</w:t>
      </w:r>
    </w:p>
    <w:p>
      <w:pPr>
        <w:keepNext/>
        <w:spacing w:after="120" w:line="480" w:lineRule="auto"/>
      </w:pPr>
      <w:r>
        <w:rPr>
          <w:rFonts w:ascii="Times New Roman" w:cs="Times New Roman" w:eastAsia="Times New Roman" w:hAnsi="Times New Roman"/>
          <w:i/>
          <w:iCs/>
          <w:color w:val="000000"/>
          <w:sz w:val="24"/>
          <w:szCs w:val="24"/>
        </w:rPr>
        <w:t xml:space="preserve">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2</w:t>
      </w:r>
    </w:p>
    <w:p>
      <w:pPr>
        <w:spacing w:after="120"/>
        <w:jc w:val="center"/>
      </w:pPr>
      <w:r>
        <w:drawing>
          <wp:inline distT="0" distB="0" distL="0" distR="0">
            <wp:extent cx="5715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053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Tres resultados, en orden de importancia:</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El umbral de aparición de giros falsos está en un ruido relativo de 0,50.</w:t>
      </w:r>
      <w:r>
        <w:rPr>
          <w:rFonts w:ascii="Times New Roman" w:cs="Times New Roman" w:eastAsia="Times New Roman" w:hAnsi="Times New Roman"/>
          <w:color w:val="000000"/>
          <w:sz w:val="24"/>
          <w:szCs w:val="24"/>
        </w:rPr>
        <w:t xml:space="preserve"> Hasta un σ equivalente al 36 % del movimiento típico por vela, el detector recupera los 498 giros verdaderos sin inventar ni uno solo. El primer falso positivo aparece cuando σ alcanza aproximadamente </w:t>
      </w:r>
      <w:r>
        <w:rPr>
          <w:rFonts w:ascii="Times New Roman" w:cs="Times New Roman" w:eastAsia="Times New Roman" w:hAnsi="Times New Roman"/>
          <w:b/>
          <w:bCs/>
          <w:color w:val="000000"/>
          <w:sz w:val="24"/>
          <w:szCs w:val="24"/>
        </w:rPr>
        <w:t xml:space="preserve">la mitad del movimiento por vela</w:t>
      </w:r>
      <w:r>
        <w:rPr>
          <w:rFonts w:ascii="Times New Roman" w:cs="Times New Roman" w:eastAsia="Times New Roman" w:hAnsi="Times New Roman"/>
          <w:color w:val="000000"/>
          <w:sz w:val="24"/>
          <w:szCs w:val="24"/>
        </w:rPr>
        <w:t xml:space="preserve">. Ese es el número que responde la pregunta del título. 2. </w:t>
      </w:r>
      <w:r>
        <w:rPr>
          <w:rFonts w:ascii="Times New Roman" w:cs="Times New Roman" w:eastAsia="Times New Roman" w:hAnsi="Times New Roman"/>
          <w:b/>
          <w:bCs/>
          <w:color w:val="000000"/>
          <w:sz w:val="24"/>
          <w:szCs w:val="24"/>
        </w:rPr>
        <w:t xml:space="preserve">La detección exacta se degrada mucho antes que la detección del giro.</w:t>
      </w:r>
      <w:r>
        <w:rPr>
          <w:rFonts w:ascii="Times New Roman" w:cs="Times New Roman" w:eastAsia="Times New Roman" w:hAnsi="Times New Roman"/>
          <w:color w:val="000000"/>
          <w:sz w:val="24"/>
          <w:szCs w:val="24"/>
        </w:rPr>
        <w:t xml:space="preserve"> Con un ruido relativo de 0,36 el detector sigue encontrando el 100 % de los giros, pero solo el 94,4 % cae en la vela exacta. Con ruido relativo 0,72 encuentra el 96,0 % de los giros y acierta la vela en apenas el 72,9 % de los casos. </w:t>
      </w:r>
      <w:r>
        <w:rPr>
          <w:rFonts w:ascii="Times New Roman" w:cs="Times New Roman" w:eastAsia="Times New Roman" w:hAnsi="Times New Roman"/>
          <w:b/>
          <w:bCs/>
          <w:color w:val="000000"/>
          <w:sz w:val="24"/>
          <w:szCs w:val="24"/>
        </w:rPr>
        <w:t xml:space="preserve">El fallo dominante en régimen de ruido moderado no es perder giros: es correrlos de lugar.</w:t>
      </w:r>
      <w:r>
        <w:rPr>
          <w:rFonts w:ascii="Times New Roman" w:cs="Times New Roman" w:eastAsia="Times New Roman" w:hAnsi="Times New Roman"/>
          <w:color w:val="000000"/>
          <w:sz w:val="24"/>
          <w:szCs w:val="24"/>
        </w:rPr>
        <w:t xml:space="preserve"> Tiene una implicación directa para el proyecto: evaluar el modelo exigiendo la vela exacta puede penalizar como error lo que es un desplazamiento de una vela, y conviene tenerlo presente al leer la matriz de confusión. 3. </w:t>
      </w:r>
      <w:r>
        <w:rPr>
          <w:rFonts w:ascii="Times New Roman" w:cs="Times New Roman" w:eastAsia="Times New Roman" w:hAnsi="Times New Roman"/>
          <w:b/>
          <w:bCs/>
          <w:color w:val="000000"/>
          <w:sz w:val="24"/>
          <w:szCs w:val="24"/>
        </w:rPr>
        <w:t xml:space="preserve">La degradación es gradual, no catastrófica.</w:t>
      </w:r>
      <w:r>
        <w:rPr>
          <w:rFonts w:ascii="Times New Roman" w:cs="Times New Roman" w:eastAsia="Times New Roman" w:hAnsi="Times New Roman"/>
          <w:color w:val="000000"/>
          <w:sz w:val="24"/>
          <w:szCs w:val="24"/>
        </w:rPr>
        <w:t xml:space="preserve"> Incluso con σ casi tres veces el movimiento típico por vela, el detector todavía recupera el 66,9 % de los giros. No hay un punto donde el etiquetado deje de funcionar de golpe; hay una pendiente. Como contraste, la confusión de tipo —marcar un máximo donde había un mínimo, el peor error posible— aparece </w:t>
      </w:r>
      <w:r>
        <w:rPr>
          <w:rFonts w:ascii="Times New Roman" w:cs="Times New Roman" w:eastAsia="Times New Roman" w:hAnsi="Times New Roman"/>
          <w:b/>
          <w:bCs/>
          <w:color w:val="000000"/>
          <w:sz w:val="24"/>
          <w:szCs w:val="24"/>
        </w:rPr>
        <w:t xml:space="preserve">una sola vez en los 3 486 giros evaluados</w:t>
      </w:r>
      <w:r>
        <w:rPr>
          <w:rFonts w:ascii="Times New Roman" w:cs="Times New Roman" w:eastAsia="Times New Roman" w:hAnsi="Times New Roman"/>
          <w:color w:val="000000"/>
          <w:sz w:val="24"/>
          <w:szCs w:val="24"/>
        </w:rPr>
        <w:t xml:space="preserve">, y solo en el nivel de ruido más alto.</w:t>
      </w:r>
    </w:p>
    <w:p>
      <w:pPr>
        <w:spacing w:after="0" w:line="480" w:lineRule="auto"/>
        <w:ind w:firstLine="720"/>
      </w:pPr>
      <w:r>
        <w:rPr>
          <w:rFonts w:ascii="Times New Roman" w:cs="Times New Roman" w:eastAsia="Times New Roman" w:hAnsi="Times New Roman"/>
          <w:b/>
          <w:bCs/>
          <w:color w:val="000000"/>
          <w:sz w:val="24"/>
          <w:szCs w:val="24"/>
        </w:rPr>
        <w:t xml:space="preserve">Cómo hay que leer esto.</w:t>
      </w:r>
      <w:r>
        <w:rPr>
          <w:rFonts w:ascii="Times New Roman" w:cs="Times New Roman" w:eastAsia="Times New Roman" w:hAnsi="Times New Roman"/>
          <w:color w:val="000000"/>
          <w:sz w:val="24"/>
          <w:szCs w:val="24"/>
        </w:rPr>
        <w:t xml:space="preserve"> La serie es lineal a tramos con ruido gaussiano: </w:t>
      </w:r>
      <w:r>
        <w:rPr>
          <w:rFonts w:ascii="Times New Roman" w:cs="Times New Roman" w:eastAsia="Times New Roman" w:hAnsi="Times New Roman"/>
          <w:b/>
          <w:bCs/>
          <w:color w:val="000000"/>
          <w:sz w:val="24"/>
          <w:szCs w:val="24"/>
        </w:rPr>
        <w:t xml:space="preserve">no es Litecoin</w:t>
      </w:r>
      <w:r>
        <w:rPr>
          <w:rFonts w:ascii="Times New Roman" w:cs="Times New Roman" w:eastAsia="Times New Roman" w:hAnsi="Times New Roman"/>
          <w:color w:val="000000"/>
          <w:sz w:val="24"/>
          <w:szCs w:val="24"/>
        </w:rPr>
        <w:t xml:space="preserve">. No tiene heterocedasticidad, ni colas pesadas, ni saltos, y su relación señal-ruido la fijamos nosotros. Estos números </w:t>
      </w:r>
      <w:r>
        <w:rPr>
          <w:rFonts w:ascii="Times New Roman" w:cs="Times New Roman" w:eastAsia="Times New Roman" w:hAnsi="Times New Roman"/>
          <w:b/>
          <w:bCs/>
          <w:color w:val="000000"/>
          <w:sz w:val="24"/>
          <w:szCs w:val="24"/>
        </w:rPr>
        <w:t xml:space="preserve">caracterizan al etiquetador</w:t>
      </w:r>
      <w:r>
        <w:rPr>
          <w:rFonts w:ascii="Times New Roman" w:cs="Times New Roman" w:eastAsia="Times New Roman" w:hAnsi="Times New Roman"/>
          <w:color w:val="000000"/>
          <w:sz w:val="24"/>
          <w:szCs w:val="24"/>
        </w:rPr>
        <w:t xml:space="preserve">, no al mercado, y no permiten afirmar que un porcentaje determinado de las etiquetas de LTC sea correcto. Lo que sí permiten afirmar —y es lo que aporta a la defensa del trabajo— es que el etiquetador tiene un régimen medido de funcionamiento correcto, que ese régimen está expresado en una magnitud comparable entre series, y que su modo de fallo dominante está identificado: desplaza antes de perder, y prácticamente nunca invierte el tipo.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Métricas de Evaluación para Puntos de Inflexión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S1-M2-06</w:t>
      </w:r>
    </w:p>
    <w:p>
      <w:pPr>
        <w:spacing w:after="0" w:line="480" w:lineRule="auto"/>
        <w:ind w:firstLine="720"/>
      </w:pPr>
      <w:r>
        <w:rPr>
          <w:rFonts w:ascii="Times New Roman" w:cs="Times New Roman" w:eastAsia="Times New Roman" w:hAnsi="Times New Roman"/>
          <w:color w:val="000000"/>
          <w:sz w:val="24"/>
          <w:szCs w:val="24"/>
        </w:rPr>
        <w:t xml:space="preserve">Es el noveno punto del bloque de criptoactivos del enunciado. Va en archivo aparte porque tiene evidencia propia y da para una sección completa.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1. El problema que hay que explicar antes que nada</w:t>
      </w:r>
    </w:p>
    <w:p>
      <w:pPr>
        <w:keepNext/>
        <w:spacing w:after="0" w:before="240" w:line="480" w:lineRule="auto"/>
      </w:pPr>
      <w:r>
        <w:rPr>
          <w:rFonts w:ascii="Times New Roman" w:cs="Times New Roman" w:eastAsia="Times New Roman" w:hAnsi="Times New Roman"/>
          <w:b/>
          <w:bCs/>
          <w:color w:val="000000"/>
          <w:sz w:val="24"/>
          <w:szCs w:val="24"/>
        </w:rPr>
        <w:t xml:space="preserve">Figura 13</w:t>
      </w:r>
    </w:p>
    <w:p>
      <w:pPr>
        <w:keepNext/>
        <w:spacing w:after="120" w:line="480" w:lineRule="auto"/>
      </w:pPr>
      <w:r>
        <w:rPr>
          <w:rFonts w:ascii="Times New Roman" w:cs="Times New Roman" w:eastAsia="Times New Roman" w:hAnsi="Times New Roman"/>
          <w:i/>
          <w:iCs/>
          <w:color w:val="000000"/>
          <w:sz w:val="24"/>
          <w:szCs w:val="24"/>
        </w:rPr>
        <w:t xml:space="preserve">Distribución de las tres clases en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sobre velas diarias (n = 2 175 velas con etiqueta definida)</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718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Balance de clases sobre la serie completa,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141</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Zona de Continuidad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1 891</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clases están desbalanceadas </w:t>
      </w:r>
      <w:r>
        <w:rPr>
          <w:rFonts w:ascii="Times New Roman" w:cs="Times New Roman" w:eastAsia="Times New Roman" w:hAnsi="Times New Roman"/>
          <w:b/>
          <w:bCs/>
          <w:color w:val="000000"/>
          <w:sz w:val="24"/>
          <w:szCs w:val="24"/>
        </w:rPr>
        <w:t xml:space="preserve">por construcción, no por accidente de los datos</w:t>
      </w:r>
      <w:r>
        <w:rPr>
          <w:rFonts w:ascii="Times New Roman" w:cs="Times New Roman" w:eastAsia="Times New Roman" w:hAnsi="Times New Roman"/>
          <w:color w:val="000000"/>
          <w:sz w:val="24"/>
          <w:szCs w:val="24"/>
        </w:rPr>
        <w:t xml:space="preserve">. Como se demostró en la sección 7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—cada uno caería en la ventana del otro y cada uno tendría que ser estrictamente mayor que el otro—, de modo que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esa cota aritmética es del 16,67 % por clase extrema, y la medición sobre LTC da 6,58 %: bastante por debajo, como corresponde a un límite superior.</w:t>
      </w:r>
    </w:p>
    <w:p>
      <w:pPr>
        <w:spacing w:after="0" w:line="480" w:lineRule="auto"/>
        <w:ind w:firstLine="720"/>
      </w:pPr>
      <w:r>
        <w:rPr>
          <w:rFonts w:ascii="Times New Roman" w:cs="Times New Roman" w:eastAsia="Times New Roman" w:hAnsi="Times New Roman"/>
          <w:color w:val="000000"/>
          <w:sz w:val="24"/>
          <w:szCs w:val="24"/>
        </w:rPr>
        <w:t xml:space="preserve">La distinción importa porque cambia qué se puede hacer al respecto. Un desbalance accidental —una muestra mal recogida— se corrige recogiendo mejor. Este desbalance </w:t>
      </w:r>
      <w:r>
        <w:rPr>
          <w:rFonts w:ascii="Times New Roman" w:cs="Times New Roman" w:eastAsia="Times New Roman" w:hAnsi="Times New Roman"/>
          <w:b/>
          <w:bCs/>
          <w:color w:val="000000"/>
          <w:sz w:val="24"/>
          <w:szCs w:val="24"/>
        </w:rPr>
        <w:t xml:space="preserve">no se puede corregir sin cambiar la definición del problema</w:t>
      </w:r>
      <w:r>
        <w:rPr>
          <w:rFonts w:ascii="Times New Roman" w:cs="Times New Roman" w:eastAsia="Times New Roman" w:hAnsi="Times New Roman"/>
          <w:color w:val="000000"/>
          <w:sz w:val="24"/>
          <w:szCs w:val="24"/>
        </w:rPr>
        <w:t xml:space="preserve">: bajar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produciría más ejemplos extremos, pero serían giros más pequeños, es decir, otro problema.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 elegir simultáneamente la escala del fenómeno y el grado de desbalance, y las dos cosas se deciden juntas o no se deciden.</w:t>
      </w:r>
    </w:p>
    <w:p>
      <w:pPr>
        <w:spacing w:after="0" w:line="480" w:lineRule="auto"/>
        <w:ind w:firstLine="720"/>
      </w:pPr>
      <w:r>
        <w:rPr>
          <w:rFonts w:ascii="Times New Roman" w:cs="Times New Roman" w:eastAsia="Times New Roman" w:hAnsi="Times New Roman"/>
          <w:color w:val="000000"/>
          <w:sz w:val="24"/>
          <w:szCs w:val="24"/>
        </w:rPr>
        <w:t xml:space="preserve">La consecuencia práctica es que el desbalance no es un obstáculo que haya que quitar antes de medir: es una propiedad permanente del problema, y las métricas tienen que elegirse sabiendo que va a estar ahí en todas las evaluaciones (He &amp; Garcia, 2009).</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2. Por qué la exactitud no sirve: medido, no argumentado</w:t>
      </w:r>
    </w:p>
    <w:p>
      <w:pPr>
        <w:keepNext/>
        <w:spacing w:after="0" w:before="240" w:line="480" w:lineRule="auto"/>
      </w:pPr>
      <w:r>
        <w:rPr>
          <w:rFonts w:ascii="Times New Roman" w:cs="Times New Roman" w:eastAsia="Times New Roman" w:hAnsi="Times New Roman"/>
          <w:b/>
          <w:bCs/>
          <w:color w:val="000000"/>
          <w:sz w:val="24"/>
          <w:szCs w:val="24"/>
        </w:rPr>
        <w:t xml:space="preserve">Figura 14</w:t>
      </w:r>
    </w:p>
    <w:p>
      <w:pPr>
        <w:keepNext/>
        <w:spacing w:after="120" w:line="480" w:lineRule="auto"/>
      </w:pPr>
      <w:r>
        <w:rPr>
          <w:rFonts w:ascii="Times New Roman" w:cs="Times New Roman" w:eastAsia="Times New Roman" w:hAnsi="Times New Roman"/>
          <w:i/>
          <w:iCs/>
          <w:color w:val="000000"/>
          <w:sz w:val="24"/>
          <w:szCs w:val="24"/>
        </w:rPr>
        <w:t xml:space="preserve">Matriz de confusión del </w:t>
      </w:r>
      <w:r>
        <w:rPr>
          <w:rFonts w:ascii="Times New Roman" w:cs="Times New Roman" w:eastAsia="Times New Roman" w:hAnsi="Times New Roman"/>
          <w:i/>
          <w:iCs/>
          <w:color w:val="000000"/>
          <w:sz w:val="24"/>
          <w:szCs w:val="24"/>
        </w:rPr>
        <w:t xml:space="preserve">baseline</w:t>
      </w:r>
      <w:r>
        <w:rPr>
          <w:rFonts w:ascii="Times New Roman" w:cs="Times New Roman" w:eastAsia="Times New Roman" w:hAnsi="Times New Roman"/>
          <w:i/>
          <w:iCs/>
          <w:color w:val="000000"/>
          <w:sz w:val="24"/>
          <w:szCs w:val="24"/>
        </w:rPr>
        <w:t xml:space="preserve"> trivial —el modelo que siempre responde "Zona de Continuidad"— sobre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p>
      <w:pPr>
        <w:spacing w:after="12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4291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Medido sobre la serie completa de LTC, </w:t>
      </w:r>
      <w:r>
        <w:rPr>
          <w:rFonts w:ascii="Courier New" w:cs="Courier New" w:eastAsia="Courier New" w:hAnsi="Courier New"/>
          <w:b/>
          <w:bCs/>
          <w:color w:val="000000"/>
          <w:sz w:val="22"/>
          <w:szCs w:val="22"/>
        </w:rPr>
        <w:t xml:space="preserve">w = 5</w:t>
      </w:r>
      <w:r>
        <w:rPr>
          <w:rFonts w:ascii="Times New Roman" w:cs="Times New Roman" w:eastAsia="Times New Roman" w:hAnsi="Times New Roman"/>
          <w:b/>
          <w:bCs/>
          <w:color w:val="000000"/>
          <w:sz w:val="24"/>
          <w:szCs w:val="24"/>
        </w:rPr>
        <w:t xml:space="preserve">, velas diarias (n = 2 175):</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Rendimiento del baseline trivial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Baseline trivial</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Exactitud</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0,869</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0,310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Precisión direccional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Máximo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Mínimo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Continuidad</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0,930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Este es el resultado más importante de la sección y conviene decirlo sin rodeos.</w:t>
      </w:r>
    </w:p>
    <w:p>
      <w:pPr>
        <w:spacing w:after="0" w:line="480" w:lineRule="auto"/>
        <w:ind w:firstLine="720"/>
      </w:pPr>
      <w:r>
        <w:rPr>
          <w:rFonts w:ascii="Times New Roman" w:cs="Times New Roman" w:eastAsia="Times New Roman" w:hAnsi="Times New Roman"/>
          <w:color w:val="000000"/>
          <w:sz w:val="24"/>
          <w:szCs w:val="24"/>
        </w:rPr>
        <w:t xml:space="preserve">Un modelo que </w:t>
      </w:r>
      <w:r>
        <w:rPr>
          <w:rFonts w:ascii="Times New Roman" w:cs="Times New Roman" w:eastAsia="Times New Roman" w:hAnsi="Times New Roman"/>
          <w:b/>
          <w:bCs/>
          <w:color w:val="000000"/>
          <w:sz w:val="24"/>
          <w:szCs w:val="24"/>
        </w:rPr>
        <w:t xml:space="preserve">no detecta ni un solo punto de inflexión</w:t>
      </w:r>
      <w:r>
        <w:rPr>
          <w:rFonts w:ascii="Times New Roman" w:cs="Times New Roman" w:eastAsia="Times New Roman" w:hAnsi="Times New Roman"/>
          <w:color w:val="000000"/>
          <w:sz w:val="24"/>
          <w:szCs w:val="24"/>
        </w:rPr>
        <w:t xml:space="preserve"> —que es literalmente lo único que este proyecto tiene que hacer— alcanza un </w:t>
      </w:r>
      <w:r>
        <w:rPr>
          <w:rFonts w:ascii="Times New Roman" w:cs="Times New Roman" w:eastAsia="Times New Roman" w:hAnsi="Times New Roman"/>
          <w:b/>
          <w:bCs/>
          <w:color w:val="000000"/>
          <w:sz w:val="24"/>
          <w:szCs w:val="24"/>
        </w:rPr>
        <w:t xml:space="preserve">86,9 % de exactitud</w:t>
      </w:r>
      <w:r>
        <w:rPr>
          <w:rFonts w:ascii="Times New Roman" w:cs="Times New Roman" w:eastAsia="Times New Roman" w:hAnsi="Times New Roman"/>
          <w:color w:val="000000"/>
          <w:sz w:val="24"/>
          <w:szCs w:val="24"/>
        </w:rPr>
        <w:t xml:space="preserve">. Si el informe reportara exactitud, ese modelo parecería razonablemente bueno. Es la trampa completa del desbalance en un solo número: la clase mayoritaria es tan dominante que ignorarla todo el resto sale barato.</w:t>
      </w:r>
    </w:p>
    <w:p>
      <w:pPr>
        <w:spacing w:after="0" w:line="480" w:lineRule="auto"/>
        <w:ind w:firstLine="720"/>
      </w:pPr>
      <w:r>
        <w:rPr>
          <w:rFonts w:ascii="Times New Roman" w:cs="Times New Roman" w:eastAsia="Times New Roman" w:hAnsi="Times New Roman"/>
          <w:color w:val="000000"/>
          <w:sz w:val="24"/>
          <w:szCs w:val="24"/>
        </w:rPr>
        <w:t xml:space="preserve">Las otras dos métricas lo desenmascaran de inmediato: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F1 macro = 0,310.</w:t>
      </w:r>
      <w:r>
        <w:rPr>
          <w:rFonts w:ascii="Times New Roman" w:cs="Times New Roman" w:eastAsia="Times New Roman" w:hAnsi="Times New Roman"/>
          <w:color w:val="000000"/>
          <w:sz w:val="24"/>
          <w:szCs w:val="24"/>
        </w:rPr>
        <w:t xml:space="preserve"> Como promedia las tres clases con igual peso, los ceros de Máximo y Mínimo arrastran el promedio hacia abajo. El 0,310 es esencialmente 0,930 / 3.</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 direccional = 0,000.</w:t>
      </w:r>
      <w:r>
        <w:rPr>
          <w:rFonts w:ascii="Times New Roman" w:cs="Times New Roman" w:eastAsia="Times New Roman" w:hAnsi="Times New Roman"/>
          <w:color w:val="000000"/>
          <w:sz w:val="24"/>
          <w:szCs w:val="24"/>
        </w:rPr>
        <w:t xml:space="preserve"> De los 284 puntos de inflexión reales de la serie no acertó ninguno, porque no anunció ninguno.</w:t>
      </w:r>
    </w:p>
    <w:p>
      <w:pPr>
        <w:spacing w:after="0" w:line="480" w:lineRule="auto"/>
        <w:ind w:firstLine="720"/>
      </w:pPr>
      <w:r>
        <w:rPr>
          <w:rFonts w:ascii="Times New Roman" w:cs="Times New Roman" w:eastAsia="Times New Roman" w:hAnsi="Times New Roman"/>
          <w:color w:val="000000"/>
          <w:sz w:val="24"/>
          <w:szCs w:val="24"/>
        </w:rPr>
        <w:t xml:space="preserve">Es exactamente el tipo de resultado que conviene poner nosotros en el informe antes de que lo pregunten en la exposición.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Un contraste que lo deja más claro todavía</w:t>
      </w:r>
    </w:p>
    <w:p>
      <w:pPr>
        <w:spacing w:after="0" w:line="480" w:lineRule="auto"/>
        <w:ind w:firstLine="720"/>
      </w:pPr>
      <w:r>
        <w:rPr>
          <w:rFonts w:ascii="Times New Roman" w:cs="Times New Roman" w:eastAsia="Times New Roman" w:hAnsi="Times New Roman"/>
          <w:color w:val="000000"/>
          <w:sz w:val="24"/>
          <w:szCs w:val="24"/>
        </w:rPr>
        <w:t xml:space="preserve">La exactitud no solo infla al modelo inútil: </w:t>
      </w:r>
      <w:r>
        <w:rPr>
          <w:rFonts w:ascii="Times New Roman" w:cs="Times New Roman" w:eastAsia="Times New Roman" w:hAnsi="Times New Roman"/>
          <w:b/>
          <w:bCs/>
          <w:color w:val="000000"/>
          <w:sz w:val="24"/>
          <w:szCs w:val="24"/>
        </w:rPr>
        <w:t xml:space="preserve">puede ordenar los modelos al revés</w:t>
      </w:r>
      <w:r>
        <w:rPr>
          <w:rFonts w:ascii="Times New Roman" w:cs="Times New Roman" w:eastAsia="Times New Roman" w:hAnsi="Times New Roman"/>
          <w:color w:val="000000"/>
          <w:sz w:val="24"/>
          <w:szCs w:val="24"/>
        </w:rPr>
        <w:t xml:space="preserve">. Para mostrarlo se midieron los tres baselines obligatorios (RF-V2) sobre el </w:t>
      </w:r>
      <w:r>
        <w:rPr>
          <w:rFonts w:ascii="Times New Roman" w:cs="Times New Roman" w:eastAsia="Times New Roman" w:hAnsi="Times New Roman"/>
          <w:b/>
          <w:bCs/>
          <w:color w:val="000000"/>
          <w:sz w:val="24"/>
          <w:szCs w:val="24"/>
        </w:rPr>
        <w:t xml:space="preserve">bloque de prueba</w:t>
      </w:r>
      <w:r>
        <w:rPr>
          <w:rFonts w:ascii="Times New Roman" w:cs="Times New Roman" w:eastAsia="Times New Roman" w:hAnsi="Times New Roman"/>
          <w:color w:val="000000"/>
          <w:sz w:val="24"/>
          <w:szCs w:val="24"/>
        </w:rPr>
        <w:t xml:space="preserve"> —el último 15 % cronológico de la serie, con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la frontera—, que es la partición contra la que se evaluarán los modelos reales:</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Los tres baselines sobre el bloque de prueba (11/09/2025 – 04/08/2026),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1170"/>
        <w:gridCol w:w="1170"/>
        <w:gridCol w:w="1170"/>
        <w:gridCol w:w="1170"/>
        <w:gridCol w:w="1170"/>
        <w:gridCol w:w="1170"/>
        <w:gridCol w:w="1170"/>
        <w:gridCol w:w="1170"/>
      </w:tblGrid>
      <w:tr>
        <w:trPr>
          <w:tblHeader/>
        </w:trPr>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Exactitud</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Continuidad</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Trivial (siempre Continuidad)</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Mayoritario</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Aleatorio (semilla 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0,716</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0,065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0,835</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docs/evidencias/m2-baselines.json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Léase la tabla por columnas y el punto salta a la vista. </w:t>
      </w:r>
      <w:r>
        <w:rPr>
          <w:rFonts w:ascii="Times New Roman" w:cs="Times New Roman" w:eastAsia="Times New Roman" w:hAnsi="Times New Roman"/>
          <w:b/>
          <w:bCs/>
          <w:color w:val="000000"/>
          <w:sz w:val="24"/>
          <w:szCs w:val="24"/>
        </w:rPr>
        <w:t xml:space="preserve">Por exactitud, el baseline trivial le gana al aleatorio por 14 puntos porcentuales. Por F1 macro, el aleatorio le gana al trivial.</w:t>
      </w:r>
      <w:r>
        <w:rPr>
          <w:rFonts w:ascii="Times New Roman" w:cs="Times New Roman" w:eastAsia="Times New Roman" w:hAnsi="Times New Roman"/>
          <w:color w:val="000000"/>
          <w:sz w:val="24"/>
          <w:szCs w:val="24"/>
        </w:rPr>
        <w:t xml:space="preserve"> Las dos métricas ordenan los mismos dos modelos en sentidos opuestos.</w:t>
      </w:r>
    </w:p>
    <w:p>
      <w:pPr>
        <w:spacing w:after="0" w:line="480" w:lineRule="auto"/>
        <w:ind w:firstLine="720"/>
      </w:pPr>
      <w:r>
        <w:rPr>
          <w:rFonts w:ascii="Times New Roman" w:cs="Times New Roman" w:eastAsia="Times New Roman" w:hAnsi="Times New Roman"/>
          <w:color w:val="000000"/>
          <w:sz w:val="24"/>
          <w:szCs w:val="24"/>
        </w:rPr>
        <w:t xml:space="preserve">La razón es que el baseline aleatorio, por puro azar, anuncia algunos giros y acierta unos pocos —precisión direccional de 0,065, es decir, 3 de los 46 extremos reales del bloque—, mientras que el trivial nunca anuncia ninguno y acierta cero. En términos del problema que nos pusieron, adivinar al azar es preferible a no intentarlo; la exactitud dice lo contrario. </w:t>
      </w:r>
      <w:r>
        <w:rPr>
          <w:rFonts w:ascii="Times New Roman" w:cs="Times New Roman" w:eastAsia="Times New Roman" w:hAnsi="Times New Roman"/>
          <w:b/>
          <w:bCs/>
          <w:color w:val="000000"/>
          <w:sz w:val="24"/>
          <w:szCs w:val="24"/>
        </w:rPr>
        <w:t xml:space="preserve">Si la métrica de decisión del proyecto fuera la exactitud, el proyecto premiaría al modelo que no hace nada.</w:t>
      </w:r>
    </w:p>
    <w:p>
      <w:pPr>
        <w:spacing w:after="0" w:line="480" w:lineRule="auto"/>
        <w:ind w:firstLine="720"/>
      </w:pPr>
      <w:r>
        <w:rPr>
          <w:rFonts w:ascii="Times New Roman" w:cs="Times New Roman" w:eastAsia="Times New Roman" w:hAnsi="Times New Roman"/>
          <w:color w:val="000000"/>
          <w:sz w:val="24"/>
          <w:szCs w:val="24"/>
        </w:rPr>
        <w:t xml:space="preserve">Dos observaciones más sobre la tabla, por honestidad:</w:t>
      </w:r>
    </w:p>
    <w:p>
      <w:pPr>
        <w:spacing w:after="0" w:line="480" w:lineRule="auto"/>
        <w:ind w:left="720"/>
      </w:pPr>
      <w:r>
        <w:rPr>
          <w:rFonts w:ascii="Times New Roman" w:cs="Times New Roman" w:eastAsia="Times New Roman" w:hAnsi="Times New Roman"/>
          <w:color w:val="000000"/>
          <w:sz w:val="24"/>
          <w:szCs w:val="24"/>
        </w:rPr>
        <w:t xml:space="preserve">• El baseline </w:t>
      </w:r>
      <w:r>
        <w:rPr>
          <w:rFonts w:ascii="Times New Roman" w:cs="Times New Roman" w:eastAsia="Times New Roman" w:hAnsi="Times New Roman"/>
          <w:b/>
          <w:bCs/>
          <w:color w:val="000000"/>
          <w:sz w:val="24"/>
          <w:szCs w:val="24"/>
        </w:rPr>
        <w:t xml:space="preserve">mayoritario da exactamente lo mismo que el trivial</w:t>
      </w:r>
      <w:r>
        <w:rPr>
          <w:rFonts w:ascii="Times New Roman" w:cs="Times New Roman" w:eastAsia="Times New Roman" w:hAnsi="Times New Roman"/>
          <w:color w:val="000000"/>
          <w:sz w:val="24"/>
          <w:szCs w:val="24"/>
        </w:rPr>
        <w:t xml:space="preserve">, y no es casualidad: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la clase más frecuente en entrenamiento es Continuidad, así que ambos aprenden a responder lo mismo. Se mantienen separados porque si alguna combinación de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 cambiara la clase dominante, el mayoritario lo reflejaría y el trivial no.</w:t>
      </w:r>
    </w:p>
    <w:p>
      <w:pPr>
        <w:spacing w:after="0" w:line="480" w:lineRule="auto"/>
        <w:ind w:left="720"/>
      </w:pPr>
      <w:r>
        <w:rPr>
          <w:rFonts w:ascii="Times New Roman" w:cs="Times New Roman" w:eastAsia="Times New Roman" w:hAnsi="Times New Roman"/>
          <w:color w:val="000000"/>
          <w:sz w:val="24"/>
          <w:szCs w:val="24"/>
        </w:rPr>
        <w:t xml:space="preserve">• El baseline aleatorio tiene </w:t>
      </w:r>
      <w:r>
        <w:rPr>
          <w:rFonts w:ascii="Times New Roman" w:cs="Times New Roman" w:eastAsia="Times New Roman" w:hAnsi="Times New Roman"/>
          <w:b/>
          <w:bCs/>
          <w:color w:val="000000"/>
          <w:sz w:val="24"/>
          <w:szCs w:val="24"/>
        </w:rPr>
        <w:t xml:space="preserve">F1 de Máximo igual a 0,000</w:t>
      </w:r>
      <w:r>
        <w:rPr>
          <w:rFonts w:ascii="Times New Roman" w:cs="Times New Roman" w:eastAsia="Times New Roman" w:hAnsi="Times New Roman"/>
          <w:color w:val="000000"/>
          <w:sz w:val="24"/>
          <w:szCs w:val="24"/>
        </w:rPr>
        <w:t xml:space="preserve">: acertó algún mínimo por azar, pero ningún máximo. Con 24 máximos reales en 320 velas, ese resultado es esperable y recuerda que un número obtenido de una sola semilla tiene varianza.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3. Las métricas que sí usamos</w:t>
      </w:r>
    </w:p>
    <w:p>
      <w:pPr>
        <w:spacing w:after="0" w:line="480" w:lineRule="auto"/>
        <w:ind w:firstLine="720"/>
      </w:pPr>
      <w:r>
        <w:rPr>
          <w:rFonts w:ascii="Times New Roman" w:cs="Times New Roman" w:eastAsia="Times New Roman" w:hAnsi="Times New Roman"/>
          <w:color w:val="000000"/>
          <w:sz w:val="24"/>
          <w:szCs w:val="24"/>
        </w:rPr>
        <w:t xml:space="preserve">Todas provienen de una única función compartida, </w:t>
      </w:r>
      <w:r>
        <w:rPr>
          <w:rFonts w:ascii="Courier New" w:cs="Courier New" w:eastAsia="Courier New" w:hAnsi="Courier New"/>
          <w:color w:val="000000"/>
          <w:sz w:val="22"/>
          <w:szCs w:val="22"/>
        </w:rPr>
        <w:t xml:space="preserve">contracts/metrics.py::evaluar</w:t>
      </w:r>
      <w:r>
        <w:rPr>
          <w:rFonts w:ascii="Times New Roman" w:cs="Times New Roman" w:eastAsia="Times New Roman" w:hAnsi="Times New Roman"/>
          <w:color w:val="000000"/>
          <w:sz w:val="24"/>
          <w:szCs w:val="24"/>
        </w:rPr>
        <w:t xml:space="preserve"> (RF-V1). Que haya una sola implementación no es burocracia: si dos personas calcularan el F1 con criterios distintos, la comparación entre el modelo fundacional y el avanzado —que es la conclusión central del proyecto— dejaría de ser una comparación.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3.1 F1-Score por clase</w:t>
      </w:r>
    </w:p>
    <w:p>
      <w:pPr>
        <w:spacing w:after="0" w:line="480" w:lineRule="auto"/>
        <w:ind w:firstLine="720"/>
      </w:pPr>
      <w:r>
        <w:rPr>
          <w:rFonts w:ascii="Times New Roman" w:cs="Times New Roman" w:eastAsia="Times New Roman" w:hAnsi="Times New Roman"/>
          <w:color w:val="000000"/>
          <w:sz w:val="24"/>
          <w:szCs w:val="24"/>
        </w:rPr>
        <w:t xml:space="preserve">El F1 combina dos preguntas distintas sobre una misma clase: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w:t>
      </w:r>
      <w:r>
        <w:rPr>
          <w:rFonts w:ascii="Times New Roman" w:cs="Times New Roman" w:eastAsia="Times New Roman" w:hAnsi="Times New Roman"/>
          <w:color w:val="000000"/>
          <w:sz w:val="24"/>
          <w:szCs w:val="24"/>
        </w:rPr>
        <w:t xml:space="preserve"> de todos los giros que el modelo anunció, ¿cuántos eran de verdad giros? Mide cuánto cuesta creerle cuando habla.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i/>
          <w:iCs/>
          <w:color w:val="000000"/>
          <w:sz w:val="24"/>
          <w:szCs w:val="24"/>
        </w:rPr>
        <w:t xml:space="preserve">Exhaustividad (</w:t>
      </w:r>
      <w:r>
        <w:rPr>
          <w:rFonts w:ascii="Times New Roman" w:cs="Times New Roman" w:eastAsia="Times New Roman" w:hAnsi="Times New Roman"/>
          <w:color w:val="000000"/>
          <w:sz w:val="24"/>
          <w:szCs w:val="24"/>
        </w:rPr>
        <w:t xml:space="preserve">recall</w:t>
      </w:r>
      <w:r>
        <w:rPr>
          <w:rFonts w:ascii="Times New Roman" w:cs="Times New Roman" w:eastAsia="Times New Roman" w:hAnsi="Times New Roman"/>
          <w:i/>
          <w:iCs/>
          <w:color w:val="000000"/>
          <w:sz w:val="24"/>
          <w:szCs w:val="24"/>
        </w:rPr>
        <w:t xml:space="preserve">):</w:t>
      </w:r>
      <w:r>
        <w:rPr>
          <w:rFonts w:ascii="Times New Roman" w:cs="Times New Roman" w:eastAsia="Times New Roman" w:hAnsi="Times New Roman"/>
          <w:color w:val="000000"/>
          <w:sz w:val="24"/>
          <w:szCs w:val="24"/>
        </w:rPr>
        <w:t xml:space="preserve">* de todos los giros que de verdad ocurrieron, ¿cuántos anunció? Mide cuánto se pierde.</w:t>
      </w:r>
    </w:p>
    <w:p>
      <w:pPr>
        <w:spacing w:after="0" w:line="480" w:lineRule="auto"/>
        <w:ind w:firstLine="720"/>
      </w:pPr>
      <w:r>
        <w:rPr>
          <w:rFonts w:ascii="Times New Roman" w:cs="Times New Roman" w:eastAsia="Times New Roman" w:hAnsi="Times New Roman"/>
          <w:color w:val="000000"/>
          <w:sz w:val="24"/>
          <w:szCs w:val="24"/>
        </w:rPr>
        <w:t xml:space="preserve">El F1 es su </w:t>
      </w:r>
      <w:r>
        <w:rPr>
          <w:rFonts w:ascii="Times New Roman" w:cs="Times New Roman" w:eastAsia="Times New Roman" w:hAnsi="Times New Roman"/>
          <w:b/>
          <w:bCs/>
          <w:color w:val="000000"/>
          <w:sz w:val="24"/>
          <w:szCs w:val="24"/>
        </w:rPr>
        <w:t xml:space="preserve">media armónica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F1 = 2·P·R / (P+R)</w:t>
      </w:r>
      <w:r>
        <w:rPr>
          <w:rFonts w:ascii="Times New Roman" w:cs="Times New Roman" w:eastAsia="Times New Roman" w:hAnsi="Times New Roman"/>
          <w:color w:val="000000"/>
          <w:sz w:val="24"/>
          <w:szCs w:val="24"/>
        </w:rPr>
        <w:t xml:space="preserve">. Se usa la media armónica y no la aritmética porque la armónica está dominada por el término más pequeño y por lo tanto </w:t>
      </w:r>
      <w:r>
        <w:rPr>
          <w:rFonts w:ascii="Times New Roman" w:cs="Times New Roman" w:eastAsia="Times New Roman" w:hAnsi="Times New Roman"/>
          <w:b/>
          <w:bCs/>
          <w:color w:val="000000"/>
          <w:sz w:val="24"/>
          <w:szCs w:val="24"/>
        </w:rPr>
        <w:t xml:space="preserve">castiga el desequilibrio entre las dos</w:t>
      </w:r>
      <w:r>
        <w:rPr>
          <w:rFonts w:ascii="Times New Roman" w:cs="Times New Roman" w:eastAsia="Times New Roman" w:hAnsi="Times New Roman"/>
          <w:color w:val="000000"/>
          <w:sz w:val="24"/>
          <w:szCs w:val="24"/>
        </w:rPr>
        <w:t xml:space="preserve">.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exactamente la que hace falta.</w:t>
      </w:r>
    </w:p>
    <w:p>
      <w:pPr>
        <w:spacing w:after="0" w:line="480" w:lineRule="auto"/>
        <w:ind w:firstLine="720"/>
      </w:pPr>
      <w:r>
        <w:rPr>
          <w:rFonts w:ascii="Times New Roman" w:cs="Times New Roman" w:eastAsia="Times New Roman" w:hAnsi="Times New Roman"/>
          <w:color w:val="000000"/>
          <w:sz w:val="24"/>
          <w:szCs w:val="24"/>
        </w:rPr>
        <w:t xml:space="preserve">Reportarlo </w:t>
      </w:r>
      <w:r>
        <w:rPr>
          <w:rFonts w:ascii="Times New Roman" w:cs="Times New Roman" w:eastAsia="Times New Roman" w:hAnsi="Times New Roman"/>
          <w:b/>
          <w:bCs/>
          <w:color w:val="000000"/>
          <w:sz w:val="24"/>
          <w:szCs w:val="24"/>
        </w:rPr>
        <w:t xml:space="preserve">por clase</w:t>
      </w:r>
      <w:r>
        <w:rPr>
          <w:rFonts w:ascii="Times New Roman" w:cs="Times New Roman" w:eastAsia="Times New Roman" w:hAnsi="Times New Roman"/>
          <w:color w:val="000000"/>
          <w:sz w:val="24"/>
          <w:szCs w:val="24"/>
        </w:rPr>
        <w:t xml:space="preserve"> y no solo agregado es indispensable aquí, porque las tres clases tienen dificultades muy distintas: Continuidad es fácil por abundancia, y Máximo y Mínimo son el objetivo real del trabajo. En la Tabla 4 se ve que el número agregado esconde dos ceros.</w:t>
      </w:r>
    </w:p>
    <w:p>
      <w:pPr>
        <w:spacing w:after="0" w:line="480" w:lineRule="auto"/>
        <w:ind w:firstLine="720"/>
      </w:pPr>
      <w:r>
        <w:rPr>
          <w:rFonts w:ascii="Times New Roman" w:cs="Times New Roman" w:eastAsia="Times New Roman" w:hAnsi="Times New Roman"/>
          <w:color w:val="000000"/>
          <w:sz w:val="24"/>
          <w:szCs w:val="24"/>
        </w:rPr>
        <w:t xml:space="preserve">Que el par precisión-exhaustividad sea el adecuado para este problema no es una preferencia: Saito y Rehmsmeier (2015) muestran que, con clases fuertemente desbalanceadas, las medidas construidas sobre precisión y exhaustividad reflejan el rendimiento sobre la clase rara mucho mejor que las basadas en la tasa de falsos positivos, porque esta última se diluye contra una clase mayoritaria muy grande. Con un 90,7 % de Continuidad, ese es exactamente nuestro caso.</w:t>
      </w:r>
    </w:p>
    <w:p>
      <w:pPr>
        <w:spacing w:after="0" w:line="480" w:lineRule="auto"/>
        <w:ind w:firstLine="720"/>
      </w:pPr>
      <w:r>
        <w:rPr>
          <w:rFonts w:ascii="Times New Roman" w:cs="Times New Roman" w:eastAsia="Times New Roman" w:hAnsi="Times New Roman"/>
          <w:b/>
          <w:bCs/>
          <w:color w:val="000000"/>
          <w:sz w:val="24"/>
          <w:szCs w:val="24"/>
        </w:rPr>
        <w:t xml:space="preserve">Una limitación del F1 que conviene declarar nosotros.</w:t>
      </w:r>
      <w:r>
        <w:rPr>
          <w:rFonts w:ascii="Times New Roman" w:cs="Times New Roman" w:eastAsia="Times New Roman" w:hAnsi="Times New Roman"/>
          <w:color w:val="000000"/>
          <w:sz w:val="24"/>
          <w:szCs w:val="24"/>
        </w:rPr>
        <w:t xml:space="preserve"> El F1 ignora los verdaderos negativos y no es simétrico entre las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que se nos solicitó; queda anotado como limitación conocida y no como algo que se nos haya pasado.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3.2 F1 macro, y por qué no ponderado</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es el promedio simple de los tres F1 por clase. El </w:t>
      </w:r>
      <w:r>
        <w:rPr>
          <w:rFonts w:ascii="Times New Roman" w:cs="Times New Roman" w:eastAsia="Times New Roman" w:hAnsi="Times New Roman"/>
          <w:b/>
          <w:bCs/>
          <w:color w:val="000000"/>
          <w:sz w:val="24"/>
          <w:szCs w:val="24"/>
        </w:rPr>
        <w:t xml:space="preserve">F1 ponderado</w:t>
      </w:r>
      <w:r>
        <w:rPr>
          <w:rFonts w:ascii="Times New Roman" w:cs="Times New Roman" w:eastAsia="Times New Roman" w:hAnsi="Times New Roman"/>
          <w:color w:val="000000"/>
          <w:sz w:val="24"/>
          <w:szCs w:val="24"/>
        </w:rPr>
        <w:t xml:space="preserve"> promedia pesando cada clase por su frecuencia.</w:t>
      </w:r>
    </w:p>
    <w:p>
      <w:pPr>
        <w:spacing w:after="0" w:line="480" w:lineRule="auto"/>
        <w:ind w:firstLine="720"/>
      </w:pPr>
      <w:r>
        <w:rPr>
          <w:rFonts w:ascii="Times New Roman" w:cs="Times New Roman" w:eastAsia="Times New Roman" w:hAnsi="Times New Roman"/>
          <w:color w:val="000000"/>
          <w:sz w:val="24"/>
          <w:szCs w:val="24"/>
        </w:rPr>
        <w:t xml:space="preserve">La elección es macro y es deliberada. Con la distribución de la Tabla 3, el ponderado le daría a Continuidad un peso del 87 % del total, de modo que </w:t>
      </w:r>
      <w:r>
        <w:rPr>
          <w:rFonts w:ascii="Times New Roman" w:cs="Times New Roman" w:eastAsia="Times New Roman" w:hAnsi="Times New Roman"/>
          <w:b/>
          <w:bCs/>
          <w:color w:val="000000"/>
          <w:sz w:val="24"/>
          <w:szCs w:val="24"/>
        </w:rPr>
        <w:t xml:space="preserve">premiaría acertar precisamente la clase que un modelo inútil acierta bien</w:t>
      </w:r>
      <w:r>
        <w:rPr>
          <w:rFonts w:ascii="Times New Roman" w:cs="Times New Roman" w:eastAsia="Times New Roman" w:hAnsi="Times New Roman"/>
          <w:color w:val="000000"/>
          <w:sz w:val="24"/>
          <w:szCs w:val="24"/>
        </w:rPr>
        <w:t xml:space="preserve">. El baseline trivial tendría un F1 ponderado de aproximadamente 0,81 —el 87 % de 0,930— frente a su F1 macro de 0,310. La misma predicción, dos números que cuentan historias opuestas.</w:t>
      </w:r>
    </w:p>
    <w:p>
      <w:pPr>
        <w:spacing w:after="0" w:line="480" w:lineRule="auto"/>
        <w:ind w:firstLine="720"/>
      </w:pPr>
      <w:r>
        <w:rPr>
          <w:rFonts w:ascii="Times New Roman" w:cs="Times New Roman" w:eastAsia="Times New Roman" w:hAnsi="Times New Roman"/>
          <w:color w:val="000000"/>
          <w:sz w:val="24"/>
          <w:szCs w:val="24"/>
        </w:rPr>
        <w:t xml:space="preserve">El macro tiene el efecto contrario y es el que corresponde: al dar igual peso a las tres clases, un modelo solo puede obtener un buen valor si aprende algo sobre las clases raras. Es la recomendación estándar cuando las clases minoritarias son las de interés (Sokolova &amp; Lapalme, 2009; He &amp; Garcia, 2009).</w:t>
      </w:r>
    </w:p>
    <w:p>
      <w:pPr>
        <w:spacing w:after="0" w:line="480" w:lineRule="auto"/>
        <w:ind w:firstLine="720"/>
      </w:pPr>
      <w:r>
        <w:rPr>
          <w:rFonts w:ascii="Times New Roman" w:cs="Times New Roman" w:eastAsia="Times New Roman" w:hAnsi="Times New Roman"/>
          <w:color w:val="000000"/>
          <w:sz w:val="24"/>
          <w:szCs w:val="24"/>
        </w:rPr>
        <w:t xml:space="preserve">Hay además un argumento formal contra los promedios ponderados por prevalencia. Farhadpour et al. (2024) muestran que, en clasificación multiclase de etiqueta única, el F1 micro-promediado es </w:t>
      </w:r>
      <w:r>
        <w:rPr>
          <w:rFonts w:ascii="Times New Roman" w:cs="Times New Roman" w:eastAsia="Times New Roman" w:hAnsi="Times New Roman"/>
          <w:b/>
          <w:bCs/>
          <w:color w:val="000000"/>
          <w:sz w:val="24"/>
          <w:szCs w:val="24"/>
        </w:rPr>
        <w:t xml:space="preserve">matemáticamente idéntico a la exactitud global</w:t>
      </w:r>
      <w:r>
        <w:rPr>
          <w:rFonts w:ascii="Times New Roman" w:cs="Times New Roman" w:eastAsia="Times New Roman" w:hAnsi="Times New Roman"/>
          <w:color w:val="000000"/>
          <w:sz w:val="24"/>
          <w:szCs w:val="24"/>
        </w:rPr>
        <w:t xml:space="preserve">, de modo que reportarlo no agrega ninguna información sobre lo que la exactitud ya dice; y advierten que los promedios ponderados por la frecuencia de cada clase quedan dominados por las mayoritarias. Aplicado a este proyecto: el promedio ponderado hereda el mismo defecto que la Tabla 4 le demuestra a la exactitud. El macro es la única de las tres variantes que puede ordenar los modelos por lo que nos importa.</w:t>
      </w:r>
    </w:p>
    <w:p>
      <w:pPr>
        <w:spacing w:after="0" w:line="480" w:lineRule="auto"/>
        <w:ind w:firstLine="720"/>
      </w:pPr>
      <w:r>
        <w:rPr>
          <w:rFonts w:ascii="Times New Roman" w:cs="Times New Roman" w:eastAsia="Times New Roman" w:hAnsi="Times New Roman"/>
          <w:b/>
          <w:bCs/>
          <w:color w:val="000000"/>
          <w:sz w:val="24"/>
          <w:szCs w:val="24"/>
        </w:rPr>
        <w:t xml:space="preserve">Lo que hay que declarar como costo:</w:t>
      </w:r>
      <w:r>
        <w:rPr>
          <w:rFonts w:ascii="Times New Roman" w:cs="Times New Roman" w:eastAsia="Times New Roman" w:hAnsi="Times New Roman"/>
          <w:color w:val="000000"/>
          <w:sz w:val="24"/>
          <w:szCs w:val="24"/>
        </w:rPr>
        <w:t xml:space="preserve"> el macro tiene mayor varianza. Con 24 máximos en el bloque de prueba, unos pocos aciertos o fallos mueven el F1 de esa clase de forma apreciable, y como el macro pesa esa clase a un tercio, el ruido se propaga al número final. Por eso la comparación entre modelos del proyecto exige un margen mínimo (</w:t>
      </w:r>
      <w:r>
        <w:rPr>
          <w:rFonts w:ascii="Courier New" w:cs="Courier New" w:eastAsia="Courier New" w:hAnsi="Courier New"/>
          <w:color w:val="000000"/>
          <w:sz w:val="22"/>
          <w:szCs w:val="22"/>
        </w:rPr>
        <w:t xml:space="preserve">DELTA_F1_DECISIVO = 0,02</w:t>
      </w:r>
      <w:r>
        <w:rPr>
          <w:rFonts w:ascii="Times New Roman" w:cs="Times New Roman" w:eastAsia="Times New Roman" w:hAnsi="Times New Roman"/>
          <w:color w:val="000000"/>
          <w:sz w:val="24"/>
          <w:szCs w:val="24"/>
        </w:rPr>
        <w:t xml:space="preserve">) fijado antes de medir, en lugar de declarar ganador a cualquier diferencia positiva.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3.3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Definición adoptada:</w:t>
      </w:r>
      <w:r>
        <w:rPr>
          <w:rFonts w:ascii="Times New Roman" w:cs="Times New Roman" w:eastAsia="Times New Roman" w:hAnsi="Times New Roman"/>
          <w:color w:val="000000"/>
          <w:sz w:val="24"/>
          <w:szCs w:val="24"/>
        </w:rPr>
        <w:t xml:space="preserve"> de todas las velas que de verdad fueron Máximo o Mínimo, qué fracción se anunció con el tipo correcto. Las velas de Continuidad se ignoran, porque acertar "aquí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Esta definición es nuestra y hay que decirlo.</w:t>
      </w:r>
      <w:r>
        <w:rPr>
          <w:rFonts w:ascii="Times New Roman" w:cs="Times New Roman" w:eastAsia="Times New Roman" w:hAnsi="Times New Roman"/>
          <w:color w:val="000000"/>
          <w:sz w:val="24"/>
          <w:szCs w:val="24"/>
        </w:rPr>
        <w:t xml:space="preserve"> El enunciado pide Precisión Direccional sin precisar qué significa en un problema de clasificación de tres clases; el término proviene de la literatura de pronóstico de series,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 Declarar una ambigüedad del enunciado y explicar cómo se resolvió suma en el criterio de análisis de la rúbrica; dejarla tapada, resta.</w:t>
      </w:r>
    </w:p>
    <w:p>
      <w:pPr>
        <w:spacing w:after="0" w:line="480" w:lineRule="auto"/>
        <w:ind w:firstLine="720"/>
      </w:pPr>
      <w:r>
        <w:rPr>
          <w:rFonts w:ascii="Times New Roman" w:cs="Times New Roman" w:eastAsia="Times New Roman" w:hAnsi="Times New Roman"/>
          <w:color w:val="000000"/>
          <w:sz w:val="24"/>
          <w:szCs w:val="24"/>
        </w:rPr>
        <w:t xml:space="preserve">Dos propiedades de la implementación que conviene explicar: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Devuelve </w:t>
      </w:r>
      <w:r>
        <w:rPr>
          <w:rFonts w:ascii="Courier New" w:cs="Courier New" w:eastAsia="Courier New" w:hAnsi="Courier New"/>
          <w:b/>
          <w:bCs/>
          <w:color w:val="000000"/>
          <w:sz w:val="22"/>
          <w:szCs w:val="22"/>
        </w:rPr>
        <w:t xml:space="preserve">NaN</w:t>
      </w:r>
      <w:r>
        <w:rPr>
          <w:rFonts w:ascii="Times New Roman" w:cs="Times New Roman" w:eastAsia="Times New Roman" w:hAnsi="Times New Roman"/>
          <w:b/>
          <w:bCs/>
          <w:color w:val="000000"/>
          <w:sz w:val="24"/>
          <w:szCs w:val="24"/>
        </w:rPr>
        <w:t xml:space="preserve">, no 0,0, cuando en el período evaluado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en realidad es ausencia de evidencia.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Es ciega a los falsos positivos.</w:t>
      </w:r>
      <w:r>
        <w:rPr>
          <w:rFonts w:ascii="Times New Roman" w:cs="Times New Roman" w:eastAsia="Times New Roman" w:hAnsi="Times New Roman"/>
          <w:color w:val="000000"/>
          <w:sz w:val="24"/>
          <w:szCs w:val="24"/>
        </w:rPr>
        <w:t xml:space="preserve"> Un modelo que anunciara "Máximo" en todas las velas obtendría una precisión direccional cercana a 0,50 —acertaría todos los máximos reales y ningún mínimo; sobre el bloque de prueba serían 24 de 46, esto es 0,52— pese a ser inservible. Por eso la precisión direccional </w:t>
      </w:r>
      <w:r>
        <w:rPr>
          <w:rFonts w:ascii="Times New Roman" w:cs="Times New Roman" w:eastAsia="Times New Roman" w:hAnsi="Times New Roman"/>
          <w:b/>
          <w:bCs/>
          <w:color w:val="000000"/>
          <w:sz w:val="24"/>
          <w:szCs w:val="24"/>
        </w:rPr>
        <w:t xml:space="preserve">nunca se reporta sola</w:t>
      </w:r>
      <w:r>
        <w:rPr>
          <w:rFonts w:ascii="Times New Roman" w:cs="Times New Roman" w:eastAsia="Times New Roman" w:hAnsi="Times New Roman"/>
          <w:color w:val="000000"/>
          <w:sz w:val="24"/>
          <w:szCs w:val="24"/>
        </w:rPr>
        <w:t xml:space="preserve">: acompaña al F1 macro, que sí penaliza los falsos positivos. Es una métrica que responde "cuando hay un giro, ¿le acertamos al tipo?", y esa pregunta solo tiene sentido junto a "¿cuántas veces lo anuncia cuando no lo hay?".</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3.4 Matriz de confusión</w:t>
      </w:r>
    </w:p>
    <w:p>
      <w:pPr>
        <w:spacing w:after="0" w:line="480" w:lineRule="auto"/>
        <w:ind w:firstLine="720"/>
      </w:pPr>
      <w:r>
        <w:rPr>
          <w:rFonts w:ascii="Times New Roman" w:cs="Times New Roman" w:eastAsia="Times New Roman" w:hAnsi="Times New Roman"/>
          <w:color w:val="000000"/>
          <w:sz w:val="24"/>
          <w:szCs w:val="24"/>
        </w:rPr>
        <w:t xml:space="preserve">Es la única de las cuatro que muestra </w:t>
      </w:r>
      <w:r>
        <w:rPr>
          <w:rFonts w:ascii="Times New Roman" w:cs="Times New Roman" w:eastAsia="Times New Roman" w:hAnsi="Times New Roman"/>
          <w:b/>
          <w:bCs/>
          <w:color w:val="000000"/>
          <w:sz w:val="24"/>
          <w:szCs w:val="24"/>
        </w:rPr>
        <w:t xml:space="preserve">qué tipo</w:t>
      </w:r>
      <w:r>
        <w:rPr>
          <w:rFonts w:ascii="Times New Roman" w:cs="Times New Roman" w:eastAsia="Times New Roman" w:hAnsi="Times New Roman"/>
          <w:color w:val="000000"/>
          <w:sz w:val="24"/>
          <w:szCs w:val="24"/>
        </w:rPr>
        <w:t xml:space="preserve"> de error comete el modelo, y en este problema los tipos de error no son equivalentes: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extremo con Continuidad</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detección</w:t>
      </w:r>
      <w:r>
        <w:rPr>
          <w:rFonts w:ascii="Times New Roman" w:cs="Times New Roman" w:eastAsia="Times New Roman" w:hAnsi="Times New Roman"/>
          <w:color w:val="000000"/>
          <w:sz w:val="24"/>
          <w:szCs w:val="24"/>
        </w:rPr>
        <w:t xml:space="preserve">: el sistema se quedó callado cuando había algo que anunciar. Cuesta una oportunidad.</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Máximo con un Mínimo</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dirección</w:t>
      </w:r>
      <w:r>
        <w:rPr>
          <w:rFonts w:ascii="Times New Roman" w:cs="Times New Roman" w:eastAsia="Times New Roman" w:hAnsi="Times New Roman"/>
          <w:color w:val="000000"/>
          <w:sz w:val="24"/>
          <w:szCs w:val="24"/>
        </w:rPr>
        <w:t xml:space="preserve">: el sistema anunció lo contrario de lo que pasaba. En una aplicación real, esa es la diferencia entre no operar y operar en el sentido equivocado.</w:t>
      </w:r>
    </w:p>
    <w:p>
      <w:pPr>
        <w:spacing w:after="0" w:line="480" w:lineRule="auto"/>
        <w:ind w:firstLine="720"/>
      </w:pPr>
      <w:r>
        <w:rPr>
          <w:rFonts w:ascii="Times New Roman" w:cs="Times New Roman" w:eastAsia="Times New Roman" w:hAnsi="Times New Roman"/>
          <w:color w:val="000000"/>
          <w:sz w:val="24"/>
          <w:szCs w:val="24"/>
        </w:rPr>
        <w:t xml:space="preserve">Ningún número agregado distingue esos dos casos; la matriz sí. En la Figura 14 se ve que el baseline trivial concentra todos sus errores en la columna de Continuidad: 24 máximos y 22 mínimos clasificados como "no pasa nada". No comete ni un solo error de dirección, porque nunca anuncia dirección alguna.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3.5 Exactitud</w:t>
      </w:r>
    </w:p>
    <w:p>
      <w:pPr>
        <w:spacing w:after="0" w:line="480" w:lineRule="auto"/>
        <w:ind w:firstLine="720"/>
      </w:pPr>
      <w:r>
        <w:rPr>
          <w:rFonts w:ascii="Times New Roman" w:cs="Times New Roman" w:eastAsia="Times New Roman" w:hAnsi="Times New Roman"/>
          <w:color w:val="000000"/>
          <w:sz w:val="24"/>
          <w:szCs w:val="24"/>
        </w:rPr>
        <w:t xml:space="preserve">Se reporta, pero </w:t>
      </w:r>
      <w:r>
        <w:rPr>
          <w:rFonts w:ascii="Times New Roman" w:cs="Times New Roman" w:eastAsia="Times New Roman" w:hAnsi="Times New Roman"/>
          <w:b/>
          <w:bCs/>
          <w:color w:val="000000"/>
          <w:sz w:val="24"/>
          <w:szCs w:val="24"/>
        </w:rPr>
        <w:t xml:space="preserve">solo para mostrar por qué no sirve</w:t>
      </w:r>
      <w:r>
        <w:rPr>
          <w:rFonts w:ascii="Times New Roman" w:cs="Times New Roman" w:eastAsia="Times New Roman" w:hAnsi="Times New Roman"/>
          <w:color w:val="000000"/>
          <w:sz w:val="24"/>
          <w:szCs w:val="24"/>
        </w:rPr>
        <w:t xml:space="preserve">. Las Tablas 4 y 3 son el argumento completo, y tenerlo medido en el informe es más convincente que argumentarlo.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4. Una advertencia sobre cómo leer la matriz de confusión de este problema</w:t>
      </w:r>
    </w:p>
    <w:p>
      <w:pPr>
        <w:spacing w:after="0" w:line="480" w:lineRule="auto"/>
        <w:ind w:firstLine="720"/>
      </w:pPr>
      <w:r>
        <w:rPr>
          <w:rFonts w:ascii="Times New Roman" w:cs="Times New Roman" w:eastAsia="Times New Roman" w:hAnsi="Times New Roman"/>
          <w:color w:val="000000"/>
          <w:sz w:val="24"/>
          <w:szCs w:val="24"/>
        </w:rPr>
        <w:t xml:space="preserve">La medición de sensibilidad al ruido de la sección 8.4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arrojó un resultado que condiciona la lectura de todas las métricas anteriores: </w:t>
      </w:r>
      <w:r>
        <w:rPr>
          <w:rFonts w:ascii="Times New Roman" w:cs="Times New Roman" w:eastAsia="Times New Roman" w:hAnsi="Times New Roman"/>
          <w:b/>
          <w:bCs/>
          <w:color w:val="000000"/>
          <w:sz w:val="24"/>
          <w:szCs w:val="24"/>
        </w:rPr>
        <w:t xml:space="preserve">el modo de fallo dominante del etiquetado bajo ruido no es perder giros, es correrlos una vela de lugar</w:t>
      </w:r>
      <w:r>
        <w:rPr>
          <w:rFonts w:ascii="Times New Roman" w:cs="Times New Roman" w:eastAsia="Times New Roman" w:hAnsi="Times New Roman"/>
          <w:color w:val="000000"/>
          <w:sz w:val="24"/>
          <w:szCs w:val="24"/>
        </w:rPr>
        <w:t xml:space="preserve">. Con un ruido equivalente al 72 % del movimiento típico por vela, el detector encuentra el 96,0 % de los giros verdaderos pero solo el 72,9 % cae en la vela exacta.</w:t>
      </w:r>
    </w:p>
    <w:p>
      <w:pPr>
        <w:spacing w:after="0" w:line="480" w:lineRule="auto"/>
        <w:ind w:firstLine="720"/>
      </w:pPr>
      <w:r>
        <w:rPr>
          <w:rFonts w:ascii="Times New Roman" w:cs="Times New Roman" w:eastAsia="Times New Roman" w:hAnsi="Times New Roman"/>
          <w:color w:val="000000"/>
          <w:sz w:val="24"/>
          <w:szCs w:val="24"/>
        </w:rPr>
        <w:t xml:space="preserve">Las cuatro métricas de esta sección evalúan vela a vela, sin ninguna tolerancia temporal. Eso significa que un modelo que anuncie un máximo una vela antes o después del real será penalizado igual que uno que no lo anuncie nunca: la matriz de confusión lo registrará como un falso positivo en Máximo más un falso negativo en Máximo. </w:t>
      </w:r>
      <w:r>
        <w:rPr>
          <w:rFonts w:ascii="Times New Roman" w:cs="Times New Roman" w:eastAsia="Times New Roman" w:hAnsi="Times New Roman"/>
          <w:b/>
          <w:bCs/>
          <w:color w:val="000000"/>
          <w:sz w:val="24"/>
          <w:szCs w:val="24"/>
        </w:rPr>
        <w:t xml:space="preserve">Conviene tenerlo presente al interpretar los resultados y decirlo explícitamente en el informe</w:t>
      </w:r>
      <w:r>
        <w:rPr>
          <w:rFonts w:ascii="Times New Roman" w:cs="Times New Roman" w:eastAsia="Times New Roman" w:hAnsi="Times New Roman"/>
          <w:color w:val="000000"/>
          <w:sz w:val="24"/>
          <w:szCs w:val="24"/>
        </w:rPr>
        <w:t xml:space="preserve">, porque la diferencia entre "el modelo no detecta los giros" y "el modelo los detecta con un desfase de una vela" es enorme en términos prácticos y nula en términos de F1.</w:t>
      </w:r>
    </w:p>
    <w:p>
      <w:pPr>
        <w:spacing w:after="0" w:line="480" w:lineRule="auto"/>
        <w:ind w:firstLine="720"/>
      </w:pPr>
      <w:r>
        <w:rPr>
          <w:rFonts w:ascii="Times New Roman" w:cs="Times New Roman" w:eastAsia="Times New Roman" w:hAnsi="Times New Roman"/>
          <w:color w:val="000000"/>
          <w:sz w:val="24"/>
          <w:szCs w:val="24"/>
        </w:rPr>
        <w:t xml:space="preserve">No proponemos cambiar las métricas: el enunciado pide estas y la comparación entre modelos tiene que hacerse sobre una definición fija. Lo que proponemos es </w:t>
      </w:r>
      <w:r>
        <w:rPr>
          <w:rFonts w:ascii="Times New Roman" w:cs="Times New Roman" w:eastAsia="Times New Roman" w:hAnsi="Times New Roman"/>
          <w:b/>
          <w:bCs/>
          <w:color w:val="000000"/>
          <w:sz w:val="24"/>
          <w:szCs w:val="24"/>
        </w:rPr>
        <w:t xml:space="preserve">reportar además, como análisis complementario, la distribución del desfase temporal de las detecciones</w:t>
      </w:r>
      <w:r>
        <w:rPr>
          <w:rFonts w:ascii="Times New Roman" w:cs="Times New Roman" w:eastAsia="Times New Roman" w:hAnsi="Times New Roman"/>
          <w:color w:val="000000"/>
          <w:sz w:val="24"/>
          <w:szCs w:val="24"/>
        </w:rPr>
        <w:t xml:space="preserve">, que es información que las cuatro métricas oficiales no pueden expresar.</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5. El baseline como piso obligatorio</w:t>
      </w:r>
    </w:p>
    <w:p>
      <w:pPr>
        <w:spacing w:after="0" w:line="480" w:lineRule="auto"/>
        <w:ind w:firstLine="720"/>
      </w:pPr>
      <w:r>
        <w:rPr>
          <w:rFonts w:ascii="Times New Roman" w:cs="Times New Roman" w:eastAsia="Times New Roman" w:hAnsi="Times New Roman"/>
          <w:color w:val="000000"/>
          <w:sz w:val="24"/>
          <w:szCs w:val="24"/>
        </w:rPr>
        <w:t xml:space="preserve">El criterio de decisión del proyecto, fijado antes de ver ningún resultado:</w:t>
      </w:r>
    </w:p>
    <w:p>
      <w:pPr>
        <w:spacing w:after="0" w:line="480" w:lineRule="auto"/>
        <w:ind w:left="720"/>
      </w:pPr>
      <w:r>
        <w:rPr>
          <w:rFonts w:ascii="Times New Roman" w:cs="Times New Roman" w:eastAsia="Times New Roman" w:hAnsi="Times New Roman"/>
          <w:b/>
          <w:bCs/>
          <w:color w:val="000000"/>
          <w:sz w:val="24"/>
          <w:szCs w:val="24"/>
        </w:rPr>
        <w:t xml:space="preserve">Todo modelo se compara contra los tres baselines, y si no supera al mejor de ellos en F1 macro por al menos </w:t>
      </w:r>
      <w:r>
        <w:rPr>
          <w:rFonts w:ascii="Courier New" w:cs="Courier New" w:eastAsia="Courier New" w:hAnsi="Courier New"/>
          <w:b/>
          <w:bCs/>
          <w:color w:val="000000"/>
          <w:sz w:val="22"/>
          <w:szCs w:val="22"/>
        </w:rPr>
        <w:t xml:space="preserve">DELTA_F1_DECISIVO = 0,02</w:t>
      </w:r>
      <w:r>
        <w:rPr>
          <w:rFonts w:ascii="Times New Roman" w:cs="Times New Roman" w:eastAsia="Times New Roman" w:hAnsi="Times New Roman"/>
          <w:b/>
          <w:bCs/>
          <w:color w:val="000000"/>
          <w:sz w:val="24"/>
          <w:szCs w:val="24"/>
        </w:rPr>
        <w:t xml:space="preserve">, no aporta nada</w:t>
      </w:r>
      <w:r>
        <w:rPr>
          <w:rFonts w:ascii="Times New Roman" w:cs="Times New Roman" w:eastAsia="Times New Roman" w:hAnsi="Times New Roman"/>
          <w:color w:val="000000"/>
          <w:sz w:val="24"/>
          <w:szCs w:val="24"/>
        </w:rPr>
        <w:t xml:space="preserve"> —por mucho que su exactitud impresione en una lámina.</w:t>
      </w:r>
    </w:p>
    <w:p>
      <w:pPr>
        <w:spacing w:after="0" w:line="480" w:lineRule="auto"/>
        <w:ind w:firstLine="720"/>
      </w:pPr>
      <w:r>
        <w:rPr>
          <w:rFonts w:ascii="Times New Roman" w:cs="Times New Roman" w:eastAsia="Times New Roman" w:hAnsi="Times New Roman"/>
          <w:color w:val="000000"/>
          <w:sz w:val="24"/>
          <w:szCs w:val="24"/>
        </w:rPr>
        <w:t xml:space="preserve">Los tres baselines existen porque cada uno descarta una explicación alternativa distinta del resultado de un modelo: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Trivial</w:t>
      </w:r>
      <w:r>
        <w:rPr>
          <w:rFonts w:ascii="Times New Roman" w:cs="Times New Roman" w:eastAsia="Times New Roman" w:hAnsi="Times New Roman"/>
          <w:color w:val="000000"/>
          <w:sz w:val="24"/>
          <w:szCs w:val="24"/>
        </w:rPr>
        <w:t xml:space="preserve"> (siempre Continuidad): descarta que el modelo esté simplemente explotando el desbalance.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Mayoritario</w:t>
      </w:r>
      <w:r>
        <w:rPr>
          <w:rFonts w:ascii="Times New Roman" w:cs="Times New Roman" w:eastAsia="Times New Roman" w:hAnsi="Times New Roman"/>
          <w:color w:val="000000"/>
          <w:sz w:val="24"/>
          <w:szCs w:val="24"/>
        </w:rPr>
        <w:t xml:space="preserve"> (la clase más frecuente del entrenamiento): descarta lo mismo sin asumir de antemano cuál es la clase dominante, de modo que sigue siendo válido si se cambia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Aleatorio</w:t>
      </w:r>
      <w:r>
        <w:rPr>
          <w:rFonts w:ascii="Times New Roman" w:cs="Times New Roman" w:eastAsia="Times New Roman" w:hAnsi="Times New Roman"/>
          <w:color w:val="000000"/>
          <w:sz w:val="24"/>
          <w:szCs w:val="24"/>
        </w:rPr>
        <w:t xml:space="preserve"> (respetando las frecuencias de clase): descarta que los aciertos del modelo sobre las clases raras se expliquen por la frecuencia con que las anuncia. Es el más exigente de los tres en F1 macro, como muestra la Tabla 5, y por eso es el que hay que superar.</w:t>
      </w:r>
    </w:p>
    <w:p>
      <w:pPr>
        <w:spacing w:after="0" w:line="480" w:lineRule="auto"/>
        <w:ind w:firstLine="720"/>
      </w:pPr>
      <w:r>
        <w:rPr>
          <w:rFonts w:ascii="Times New Roman" w:cs="Times New Roman" w:eastAsia="Times New Roman" w:hAnsi="Times New Roman"/>
          <w:color w:val="000000"/>
          <w:sz w:val="24"/>
          <w:szCs w:val="24"/>
        </w:rPr>
        <w:t xml:space="preserve">Que el aleatorio resulte ser el piso más alto en F1 macro (0,320 contra 0,308 del trivial) es en sí mismo un resultado útil: </w:t>
      </w:r>
      <w:r>
        <w:rPr>
          <w:rFonts w:ascii="Times New Roman" w:cs="Times New Roman" w:eastAsia="Times New Roman" w:hAnsi="Times New Roman"/>
          <w:b/>
          <w:bCs/>
          <w:color w:val="000000"/>
          <w:sz w:val="24"/>
          <w:szCs w:val="24"/>
        </w:rPr>
        <w:t xml:space="preserve">fija la vara en el número correcto</w:t>
      </w:r>
      <w:r>
        <w:rPr>
          <w:rFonts w:ascii="Times New Roman" w:cs="Times New Roman" w:eastAsia="Times New Roman" w:hAnsi="Times New Roman"/>
          <w:color w:val="000000"/>
          <w:sz w:val="24"/>
          <w:szCs w:val="24"/>
        </w:rPr>
        <w:t xml:space="preserve">. Un modelo que reportara un F1 macro de 0,31 habría superado al baseline trivial y no habría demostrado nada.</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marco teórico desarrollado permite extraer cuatro conclusiones que condicionan de manera directa el diseño del modelo, y que se enuncian aquí porque no son consecuencia de la literatura consultada sino de las mediciones realizadas sobre los datos del proyecto.</w:t>
      </w:r>
    </w:p>
    <w:p>
      <w:pPr>
        <w:spacing w:after="0" w:line="480" w:lineRule="auto"/>
        <w:ind w:firstLine="720"/>
      </w:pPr>
      <w:r>
        <w:rPr>
          <w:rFonts w:ascii="Times New Roman" w:cs="Times New Roman" w:eastAsia="Times New Roman" w:hAnsi="Times New Roman"/>
          <w:b/>
          <w:bCs/>
          <w:color w:val="000000"/>
          <w:sz w:val="24"/>
          <w:szCs w:val="24"/>
        </w:rPr>
        <w:t xml:space="preserve">Primera. La transformación a retornos no es una convención, sino una consecuencia medida.</w:t>
      </w:r>
      <w:r>
        <w:rPr>
          <w:rFonts w:ascii="Times New Roman" w:cs="Times New Roman" w:eastAsia="Times New Roman" w:hAnsi="Times New Roman"/>
          <w:color w:val="000000"/>
          <w:sz w:val="24"/>
          <w:szCs w:val="24"/>
        </w:rPr>
        <w:t xml:space="preserve"> Ninguna de las seis series rechaza la hipótesis de raíz unitaria al trabajar sobre precios en nivel, mientras que las seis la rechazan al hacerlo sobre retornos. La autocorrelación en el primer rezago pasa de 0,991 sobre niveles a −0,036 sobre retornos, lo que confirma el mismo hecho desde un ángulo distinto. En consecuencia, las características del modelo se construyen sobre retornos y sobre estadísticos normalizados por ventana, y no sobre magnitudes absolutas de precio.</w:t>
      </w:r>
    </w:p>
    <w:p>
      <w:pPr>
        <w:spacing w:after="0" w:line="480" w:lineRule="auto"/>
        <w:ind w:firstLine="720"/>
      </w:pPr>
      <w:r>
        <w:rPr>
          <w:rFonts w:ascii="Times New Roman" w:cs="Times New Roman" w:eastAsia="Times New Roman" w:hAnsi="Times New Roman"/>
          <w:b/>
          <w:bCs/>
          <w:color w:val="000000"/>
          <w:sz w:val="24"/>
          <w:szCs w:val="24"/>
        </w:rPr>
        <w:t xml:space="preserve">Segunda. La ausencia de autocorrelación lineal en los retornos justifica el enfoque del proyecto.</w:t>
      </w:r>
      <w:r>
        <w:rPr>
          <w:rFonts w:ascii="Times New Roman" w:cs="Times New Roman" w:eastAsia="Times New Roman" w:hAnsi="Times New Roman"/>
          <w:color w:val="000000"/>
          <w:sz w:val="24"/>
          <w:szCs w:val="24"/>
        </w:rP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pPr>
        <w:spacing w:after="0" w:line="480" w:lineRule="auto"/>
        <w:ind w:firstLine="720"/>
      </w:pPr>
      <w:r>
        <w:rPr>
          <w:rFonts w:ascii="Times New Roman" w:cs="Times New Roman" w:eastAsia="Times New Roman" w:hAnsi="Times New Roman"/>
          <w:b/>
          <w:bCs/>
          <w:color w:val="000000"/>
          <w:sz w:val="24"/>
          <w:szCs w:val="24"/>
        </w:rPr>
        <w:t xml:space="preserve">Tercera. La dependencia entre criptoactivos existe, pero debe medirse sobre retornos.</w:t>
      </w:r>
      <w:r>
        <w:rPr>
          <w:rFonts w:ascii="Times New Roman" w:cs="Times New Roman" w:eastAsia="Times New Roman" w:hAnsi="Times New Roman"/>
          <w:color w:val="000000"/>
          <w:sz w:val="24"/>
          <w:szCs w:val="24"/>
        </w:rPr>
        <w:t xml:space="preserve"> Calculada sobre precios en nivel, la correlación entre pares recorre un rango de 0,126 a 0,888 y produce un ordenamiento económicamente implausible, al atribuir a Litecoin una relación casi nula con Bitcoin. Calculada sobre retornos, el rango se estrecha a 0,475–0,806 y el ordenamiento resulta coherente con la estructura del mercado. La magnitud de esas correlaciones es lo que justifica que el problema se plantee como multivariante: si Litecoin se moviera de forma independiente, las cinco variables de apoyo serían redundantes.</w:t>
      </w:r>
    </w:p>
    <w:p>
      <w:pPr>
        <w:spacing w:after="0" w:line="480" w:lineRule="auto"/>
        <w:ind w:firstLine="720"/>
      </w:pPr>
      <w:r>
        <w:rPr>
          <w:rFonts w:ascii="Times New Roman" w:cs="Times New Roman" w:eastAsia="Times New Roman" w:hAnsi="Times New Roman"/>
          <w:b/>
          <w:bCs/>
          <w:color w:val="000000"/>
          <w:sz w:val="24"/>
          <w:szCs w:val="24"/>
        </w:rPr>
        <w:t xml:space="preserve">Cuarta. El desbalance de clases es estructural y determina la elección de las métricas.</w:t>
      </w:r>
      <w:r>
        <w:rPr>
          <w:rFonts w:ascii="Times New Roman" w:cs="Times New Roman" w:eastAsia="Times New Roman" w:hAnsi="Times New Roman"/>
          <w:color w:val="000000"/>
          <w:sz w:val="24"/>
          <w:szCs w:val="24"/>
        </w:rPr>
        <w:t xml:space="preserve"> Puesto que dos máximos no pueden situarse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observaciones de distancia, a lo sumo una de cada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color w:val="000000"/>
          <w:sz w:val="24"/>
          <w:szCs w:val="24"/>
        </w:rPr>
        <w:t xml:space="preserve">Tres advertencias que conviene explicitar, y que se retomarán en las entregas siguientes.</w:t>
      </w:r>
    </w:p>
    <w:p>
      <w:pPr>
        <w:spacing w:after="0" w:line="480" w:lineRule="auto"/>
        <w:ind w:firstLine="720"/>
      </w:pPr>
      <w:r>
        <w:rPr>
          <w:rFonts w:ascii="Times New Roman" w:cs="Times New Roman" w:eastAsia="Times New Roman" w:hAnsi="Times New Roman"/>
          <w:color w:val="000000"/>
          <w:sz w:val="24"/>
          <w:szCs w:val="24"/>
        </w:rP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la escala del fenómeno estudiado es una elección metodológica y no una propiedad del mercado.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Trabajo siguiente</w:t>
      </w:r>
    </w:p>
    <w:p>
      <w:pPr>
        <w:spacing w:after="0" w:line="480" w:lineRule="auto"/>
        <w:ind w:firstLine="720"/>
      </w:pPr>
      <w:r>
        <w:rPr>
          <w:rFonts w:ascii="Times New Roman" w:cs="Times New Roman" w:eastAsia="Times New Roman" w:hAnsi="Times New Roman"/>
          <w:color w:val="000000"/>
          <w:sz w:val="24"/>
          <w:szCs w:val="24"/>
        </w:rP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decisiones sobre granularidad de las observaciones y sobre los parámetros que definen el punto de inflexión se documentan en esa entrega, por corresponder a la etapa de extracción de datos del procedimiento.</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Auer, R., &amp; Claessens, S. (2018). Regulating cryptocurrencies: Assessing market reactions. </w:t>
      </w:r>
      <w:r>
        <w:rPr>
          <w:rFonts w:ascii="Times New Roman" w:cs="Times New Roman" w:eastAsia="Times New Roman" w:hAnsi="Times New Roman"/>
          <w:i/>
          <w:iCs/>
          <w:color w:val="000000"/>
          <w:sz w:val="24"/>
          <w:szCs w:val="24"/>
        </w:rPr>
        <w:t xml:space="preserve">BIS Quarterly Review</w:t>
      </w:r>
      <w:r>
        <w:rPr>
          <w:rFonts w:ascii="Times New Roman" w:cs="Times New Roman" w:eastAsia="Times New Roman" w:hAnsi="Times New Roman"/>
          <w:color w:val="000000"/>
          <w:sz w:val="24"/>
          <w:szCs w:val="24"/>
        </w:rPr>
        <w:t xml:space="preserve">, septiembre, 51–65.</w:t>
      </w:r>
    </w:p>
    <w:p>
      <w:pPr>
        <w:spacing w:after="0" w:line="480" w:lineRule="auto"/>
        <w:ind w:left="720" w:hanging="720"/>
      </w:pPr>
      <w:r>
        <w:rPr>
          <w:rFonts w:ascii="Times New Roman" w:cs="Times New Roman" w:eastAsia="Times New Roman" w:hAnsi="Times New Roman"/>
          <w:color w:val="000000"/>
          <w:sz w:val="24"/>
          <w:szCs w:val="24"/>
        </w:rPr>
        <w:t xml:space="preserve">Baur, D. G., Hong, K., &amp; Lee, A. D. (2018). Bitcoin: Medium of exchange or speculative assets? </w:t>
      </w:r>
      <w:r>
        <w:rPr>
          <w:rFonts w:ascii="Times New Roman" w:cs="Times New Roman" w:eastAsia="Times New Roman" w:hAnsi="Times New Roman"/>
          <w:i/>
          <w:iCs/>
          <w:color w:val="000000"/>
          <w:sz w:val="24"/>
          <w:szCs w:val="24"/>
        </w:rPr>
        <w:t xml:space="preserve">Journal of International Financial Markets, Institutions and Money, 54</w:t>
      </w:r>
      <w:r>
        <w:rPr>
          <w:rFonts w:ascii="Times New Roman" w:cs="Times New Roman" w:eastAsia="Times New Roman" w:hAnsi="Times New Roman"/>
          <w:color w:val="000000"/>
          <w:sz w:val="24"/>
          <w:szCs w:val="24"/>
        </w:rPr>
        <w:t xml:space="preserve">, 177–189. https://doi.org/10.1016/j.intfin.2017.12.004</w:t>
      </w:r>
    </w:p>
    <w:p>
      <w:pPr>
        <w:spacing w:after="0" w:line="480" w:lineRule="auto"/>
        <w:ind w:left="720" w:hanging="720"/>
      </w:pPr>
      <w:r>
        <w:rPr>
          <w:rFonts w:ascii="Times New Roman" w:cs="Times New Roman" w:eastAsia="Times New Roman" w:hAnsi="Times New Roman"/>
          <w:color w:val="000000"/>
          <w:sz w:val="24"/>
          <w:szCs w:val="24"/>
        </w:rPr>
        <w:t xml:space="preserve">Bergmeir, C., &amp; Benítez, J. M. (2012). On the use of cross-validation for time series predictor evaluation. </w:t>
      </w:r>
      <w:r>
        <w:rPr>
          <w:rFonts w:ascii="Times New Roman" w:cs="Times New Roman" w:eastAsia="Times New Roman" w:hAnsi="Times New Roman"/>
          <w:i/>
          <w:iCs/>
          <w:color w:val="000000"/>
          <w:sz w:val="24"/>
          <w:szCs w:val="24"/>
        </w:rPr>
        <w:t xml:space="preserve">Information Sciences, 191</w:t>
      </w:r>
      <w:r>
        <w:rPr>
          <w:rFonts w:ascii="Times New Roman" w:cs="Times New Roman" w:eastAsia="Times New Roman" w:hAnsi="Times New Roman"/>
          <w:color w:val="000000"/>
          <w:sz w:val="24"/>
          <w:szCs w:val="24"/>
        </w:rPr>
        <w:t xml:space="preserve">, 192–213. https://doi.org/10.1016/j.ins.2011.12.028</w:t>
      </w:r>
    </w:p>
    <w:p>
      <w:pPr>
        <w:spacing w:after="0" w:line="480" w:lineRule="auto"/>
        <w:ind w:left="720" w:hanging="720"/>
      </w:pPr>
      <w:r>
        <w:rPr>
          <w:rFonts w:ascii="Times New Roman" w:cs="Times New Roman" w:eastAsia="Times New Roman" w:hAnsi="Times New Roman"/>
          <w:color w:val="000000"/>
          <w:sz w:val="24"/>
          <w:szCs w:val="24"/>
        </w:rPr>
        <w:t xml:space="preserve">Blaskowitz, O., &amp; Herwartz, H. (2011). On economic evaluation of directional forecasts. </w:t>
      </w:r>
      <w:r>
        <w:rPr>
          <w:rFonts w:ascii="Times New Roman" w:cs="Times New Roman" w:eastAsia="Times New Roman" w:hAnsi="Times New Roman"/>
          <w:i/>
          <w:iCs/>
          <w:color w:val="000000"/>
          <w:sz w:val="24"/>
          <w:szCs w:val="24"/>
        </w:rPr>
        <w:t xml:space="preserve">International Journal of Forecasting, 27</w:t>
      </w:r>
      <w:r>
        <w:rPr>
          <w:rFonts w:ascii="Times New Roman" w:cs="Times New Roman" w:eastAsia="Times New Roman" w:hAnsi="Times New Roman"/>
          <w:color w:val="000000"/>
          <w:sz w:val="24"/>
          <w:szCs w:val="24"/>
        </w:rPr>
        <w:t xml:space="preserve">(4), 1058–1065. https://doi.org/10.1016/j.ijforecast.2010.07.002</w:t>
      </w:r>
    </w:p>
    <w:p>
      <w:pPr>
        <w:spacing w:after="0" w:line="480" w:lineRule="auto"/>
        <w:ind w:left="720" w:hanging="720"/>
      </w:pPr>
      <w:r>
        <w:rPr>
          <w:rFonts w:ascii="Times New Roman" w:cs="Times New Roman" w:eastAsia="Times New Roman" w:hAnsi="Times New Roman"/>
          <w:color w:val="000000"/>
          <w:sz w:val="24"/>
          <w:szCs w:val="24"/>
        </w:rPr>
        <w:t xml:space="preserve">Böhme, R., Christin, N., Edelman, B., &amp; Moore, T. (2015). Bitcoin: Economics, technology, and governance. </w:t>
      </w:r>
      <w:r>
        <w:rPr>
          <w:rFonts w:ascii="Times New Roman" w:cs="Times New Roman" w:eastAsia="Times New Roman" w:hAnsi="Times New Roman"/>
          <w:i/>
          <w:iCs/>
          <w:color w:val="000000"/>
          <w:sz w:val="24"/>
          <w:szCs w:val="24"/>
        </w:rPr>
        <w:t xml:space="preserve">Journal of Economic Perspectives, 29</w:t>
      </w:r>
      <w:r>
        <w:rPr>
          <w:rFonts w:ascii="Times New Roman" w:cs="Times New Roman" w:eastAsia="Times New Roman" w:hAnsi="Times New Roman"/>
          <w:color w:val="000000"/>
          <w:sz w:val="24"/>
          <w:szCs w:val="24"/>
        </w:rPr>
        <w:t xml:space="preserve">(2), 213–238. https://doi.org/10.1257/jep.29.2.213</w:t>
      </w:r>
    </w:p>
    <w:p>
      <w:pPr>
        <w:spacing w:after="0" w:line="480" w:lineRule="auto"/>
        <w:ind w:left="720" w:hanging="720"/>
      </w:pPr>
      <w:r>
        <w:rPr>
          <w:rFonts w:ascii="Times New Roman" w:cs="Times New Roman" w:eastAsia="Times New Roman" w:hAnsi="Times New Roman"/>
          <w:color w:val="000000"/>
          <w:sz w:val="24"/>
          <w:szCs w:val="24"/>
        </w:rPr>
        <w:t xml:space="preserve">Caporale, G. M., &amp; Zekokh, T. (2019). Modelling volatility of cryptocurrencies using Markov-Switching GARCH models. </w:t>
      </w:r>
      <w:r>
        <w:rPr>
          <w:rFonts w:ascii="Times New Roman" w:cs="Times New Roman" w:eastAsia="Times New Roman" w:hAnsi="Times New Roman"/>
          <w:i/>
          <w:iCs/>
          <w:color w:val="000000"/>
          <w:sz w:val="24"/>
          <w:szCs w:val="24"/>
        </w:rPr>
        <w:t xml:space="preserve">Research in International Business and Finance, 48</w:t>
      </w:r>
      <w:r>
        <w:rPr>
          <w:rFonts w:ascii="Times New Roman" w:cs="Times New Roman" w:eastAsia="Times New Roman" w:hAnsi="Times New Roman"/>
          <w:color w:val="000000"/>
          <w:sz w:val="24"/>
          <w:szCs w:val="24"/>
        </w:rPr>
        <w:t xml:space="preserve">, 143–155. https://doi.org/10.1016/j.ribaf.2018.12.009</w:t>
      </w:r>
    </w:p>
    <w:p>
      <w:pPr>
        <w:spacing w:after="0" w:line="480" w:lineRule="auto"/>
        <w:ind w:left="720" w:hanging="720"/>
      </w:pPr>
      <w:r>
        <w:rPr>
          <w:rFonts w:ascii="Times New Roman" w:cs="Times New Roman" w:eastAsia="Times New Roman" w:hAnsi="Times New Roman"/>
          <w:color w:val="000000"/>
          <w:sz w:val="24"/>
          <w:szCs w:val="24"/>
        </w:rPr>
        <w:t xml:space="preserve">Chicco, D., &amp; Jurman, G. (2020). The advantages of the Matthews correlation coefficient (MCC) over F1 score and accuracy in binary classification evaluation. </w:t>
      </w:r>
      <w:r>
        <w:rPr>
          <w:rFonts w:ascii="Times New Roman" w:cs="Times New Roman" w:eastAsia="Times New Roman" w:hAnsi="Times New Roman"/>
          <w:i/>
          <w:iCs/>
          <w:color w:val="000000"/>
          <w:sz w:val="24"/>
          <w:szCs w:val="24"/>
        </w:rPr>
        <w:t xml:space="preserve">BMC Genomics, 21</w:t>
      </w:r>
      <w:r>
        <w:rPr>
          <w:rFonts w:ascii="Times New Roman" w:cs="Times New Roman" w:eastAsia="Times New Roman" w:hAnsi="Times New Roman"/>
          <w:color w:val="000000"/>
          <w:sz w:val="24"/>
          <w:szCs w:val="24"/>
        </w:rPr>
        <w:t xml:space="preserve">(1), Artículo 6. https://doi.org/10.1186/s12864-019-6413-7</w:t>
      </w:r>
    </w:p>
    <w:p>
      <w:pPr>
        <w:spacing w:after="0" w:line="480" w:lineRule="auto"/>
        <w:ind w:left="720" w:hanging="720"/>
      </w:pPr>
      <w:r>
        <w:rPr>
          <w:rFonts w:ascii="Times New Roman" w:cs="Times New Roman" w:eastAsia="Times New Roman" w:hAnsi="Times New Roman"/>
          <w:color w:val="000000"/>
          <w:sz w:val="24"/>
          <w:szCs w:val="24"/>
        </w:rPr>
        <w:t xml:space="preserve">Farhadpour, S., Warner, T. A., &amp; Maxwell, A. E. (2024). Selecting and interpreting multiclass loss and accuracy assessment metrics for classifications with class imbalance: Guidance and best practices. </w:t>
      </w:r>
      <w:r>
        <w:rPr>
          <w:rFonts w:ascii="Times New Roman" w:cs="Times New Roman" w:eastAsia="Times New Roman" w:hAnsi="Times New Roman"/>
          <w:i/>
          <w:iCs/>
          <w:color w:val="000000"/>
          <w:sz w:val="24"/>
          <w:szCs w:val="24"/>
        </w:rPr>
        <w:t xml:space="preserve">Remote Sensing, 16</w:t>
      </w:r>
      <w:r>
        <w:rPr>
          <w:rFonts w:ascii="Times New Roman" w:cs="Times New Roman" w:eastAsia="Times New Roman" w:hAnsi="Times New Roman"/>
          <w:color w:val="000000"/>
          <w:sz w:val="24"/>
          <w:szCs w:val="24"/>
        </w:rPr>
        <w:t xml:space="preserve">(3), Artículo 533. https://doi.org/10.3390/rs16030533</w:t>
      </w:r>
    </w:p>
    <w:p>
      <w:pPr>
        <w:spacing w:after="0" w:line="480" w:lineRule="auto"/>
        <w:ind w:left="720" w:hanging="720"/>
      </w:pPr>
      <w:r>
        <w:rPr>
          <w:rFonts w:ascii="Times New Roman" w:cs="Times New Roman" w:eastAsia="Times New Roman" w:hAnsi="Times New Roman"/>
          <w:color w:val="000000"/>
          <w:sz w:val="24"/>
          <w:szCs w:val="24"/>
        </w:rPr>
        <w:t xml:space="preserve">Financial Action Task Force. (2021). </w:t>
      </w:r>
      <w:r>
        <w:rPr>
          <w:rFonts w:ascii="Times New Roman" w:cs="Times New Roman" w:eastAsia="Times New Roman" w:hAnsi="Times New Roman"/>
          <w:i/>
          <w:iCs/>
          <w:color w:val="000000"/>
          <w:sz w:val="24"/>
          <w:szCs w:val="24"/>
        </w:rPr>
        <w:t xml:space="preserve">Updated guidance for a risk-based approach to virtual assets and virtual asset service providers</w:t>
      </w:r>
      <w:r>
        <w:rPr>
          <w:rFonts w:ascii="Times New Roman" w:cs="Times New Roman" w:eastAsia="Times New Roman" w:hAnsi="Times New Roman"/>
          <w:color w:val="000000"/>
          <w:sz w:val="24"/>
          <w:szCs w:val="24"/>
        </w:rPr>
        <w:t xml:space="preserve">. FATF.</w:t>
      </w:r>
    </w:p>
    <w:p>
      <w:pPr>
        <w:spacing w:after="0" w:line="480" w:lineRule="auto"/>
        <w:ind w:left="720" w:hanging="720"/>
      </w:pPr>
      <w:r>
        <w:rPr>
          <w:rFonts w:ascii="Times New Roman" w:cs="Times New Roman" w:eastAsia="Times New Roman" w:hAnsi="Times New Roman"/>
          <w:color w:val="000000"/>
          <w:sz w:val="24"/>
          <w:szCs w:val="24"/>
        </w:rPr>
        <w:t xml:space="preserve">Granger, C. W. J., &amp; Newbold, P. (1974). Spurious regressions in econometrics. </w:t>
      </w:r>
      <w:r>
        <w:rPr>
          <w:rFonts w:ascii="Times New Roman" w:cs="Times New Roman" w:eastAsia="Times New Roman" w:hAnsi="Times New Roman"/>
          <w:i/>
          <w:iCs/>
          <w:color w:val="000000"/>
          <w:sz w:val="24"/>
          <w:szCs w:val="24"/>
        </w:rPr>
        <w:t xml:space="preserve">Journal of Econometrics, 2</w:t>
      </w:r>
      <w:r>
        <w:rPr>
          <w:rFonts w:ascii="Times New Roman" w:cs="Times New Roman" w:eastAsia="Times New Roman" w:hAnsi="Times New Roman"/>
          <w:color w:val="000000"/>
          <w:sz w:val="24"/>
          <w:szCs w:val="24"/>
        </w:rPr>
        <w:t xml:space="preserve">(2), 111–120. https://doi.org/10.1016/0304-4076(74)90034-7</w:t>
      </w:r>
    </w:p>
    <w:p>
      <w:pPr>
        <w:spacing w:after="0" w:line="480" w:lineRule="auto"/>
        <w:ind w:left="720" w:hanging="720"/>
      </w:pPr>
      <w:r>
        <w:rPr>
          <w:rFonts w:ascii="Times New Roman" w:cs="Times New Roman" w:eastAsia="Times New Roman" w:hAnsi="Times New Roman"/>
          <w:color w:val="000000"/>
          <w:sz w:val="24"/>
          <w:szCs w:val="24"/>
        </w:rPr>
        <w:t xml:space="preserve">He, H., &amp; Garcia, E. A. (2009). Learning from imbalanced data. </w:t>
      </w:r>
      <w:r>
        <w:rPr>
          <w:rFonts w:ascii="Times New Roman" w:cs="Times New Roman" w:eastAsia="Times New Roman" w:hAnsi="Times New Roman"/>
          <w:i/>
          <w:iCs/>
          <w:color w:val="000000"/>
          <w:sz w:val="24"/>
          <w:szCs w:val="24"/>
        </w:rPr>
        <w:t xml:space="preserve">IEEE Transactions on Knowledge and Data Engineering, 21</w:t>
      </w:r>
      <w:r>
        <w:rPr>
          <w:rFonts w:ascii="Times New Roman" w:cs="Times New Roman" w:eastAsia="Times New Roman" w:hAnsi="Times New Roman"/>
          <w:color w:val="000000"/>
          <w:sz w:val="24"/>
          <w:szCs w:val="24"/>
        </w:rPr>
        <w:t xml:space="preserve">(9), 1263–1284. https://doi.org/10.1109/TKDE.2008.239</w:t>
      </w:r>
    </w:p>
    <w:p>
      <w:pPr>
        <w:spacing w:after="0" w:line="480" w:lineRule="auto"/>
        <w:ind w:left="720" w:hanging="720"/>
      </w:pPr>
      <w:r>
        <w:rPr>
          <w:rFonts w:ascii="Times New Roman" w:cs="Times New Roman" w:eastAsia="Times New Roman" w:hAnsi="Times New Roman"/>
          <w:color w:val="000000"/>
          <w:sz w:val="24"/>
          <w:szCs w:val="24"/>
        </w:rPr>
        <w:t xml:space="preserve">Ji, Q., Bouri, E., Lau, C. K. M., &amp; Roubaud, D. (2019). Dynamic connectedness and integration in cryptocurrency markets. </w:t>
      </w:r>
      <w:r>
        <w:rPr>
          <w:rFonts w:ascii="Times New Roman" w:cs="Times New Roman" w:eastAsia="Times New Roman" w:hAnsi="Times New Roman"/>
          <w:i/>
          <w:iCs/>
          <w:color w:val="000000"/>
          <w:sz w:val="24"/>
          <w:szCs w:val="24"/>
        </w:rPr>
        <w:t xml:space="preserve">International Review of Financial Analysis, 63</w:t>
      </w:r>
      <w:r>
        <w:rPr>
          <w:rFonts w:ascii="Times New Roman" w:cs="Times New Roman" w:eastAsia="Times New Roman" w:hAnsi="Times New Roman"/>
          <w:color w:val="000000"/>
          <w:sz w:val="24"/>
          <w:szCs w:val="24"/>
        </w:rPr>
        <w:t xml:space="preserve">, 257–272. https://doi.org/10.1016/j.irfa.2018.12.002</w:t>
      </w:r>
    </w:p>
    <w:p>
      <w:pPr>
        <w:spacing w:after="0" w:line="480" w:lineRule="auto"/>
        <w:ind w:left="720" w:hanging="720"/>
      </w:pPr>
      <w:r>
        <w:rPr>
          <w:rFonts w:ascii="Times New Roman" w:cs="Times New Roman" w:eastAsia="Times New Roman" w:hAnsi="Times New Roman"/>
          <w:color w:val="000000"/>
          <w:sz w:val="24"/>
          <w:szCs w:val="24"/>
        </w:rPr>
        <w:t xml:space="preserve">Katsiampa, P. (2017). Volatility estimation for Bitcoin: A comparison of GARCH models. </w:t>
      </w:r>
      <w:r>
        <w:rPr>
          <w:rFonts w:ascii="Times New Roman" w:cs="Times New Roman" w:eastAsia="Times New Roman" w:hAnsi="Times New Roman"/>
          <w:i/>
          <w:iCs/>
          <w:color w:val="000000"/>
          <w:sz w:val="24"/>
          <w:szCs w:val="24"/>
        </w:rPr>
        <w:t xml:space="preserve">Economics Letters, 158</w:t>
      </w:r>
      <w:r>
        <w:rPr>
          <w:rFonts w:ascii="Times New Roman" w:cs="Times New Roman" w:eastAsia="Times New Roman" w:hAnsi="Times New Roman"/>
          <w:color w:val="000000"/>
          <w:sz w:val="24"/>
          <w:szCs w:val="24"/>
        </w:rPr>
        <w:t xml:space="preserve">, 3–6. https://doi.org/10.1016/j.econlet.2017.06.023</w:t>
      </w:r>
    </w:p>
    <w:p>
      <w:pPr>
        <w:spacing w:after="0" w:line="480" w:lineRule="auto"/>
        <w:ind w:left="720" w:hanging="720"/>
      </w:pPr>
      <w:r>
        <w:rPr>
          <w:rFonts w:ascii="Times New Roman" w:cs="Times New Roman" w:eastAsia="Times New Roman" w:hAnsi="Times New Roman"/>
          <w:color w:val="000000"/>
          <w:sz w:val="24"/>
          <w:szCs w:val="24"/>
        </w:rPr>
        <w:t xml:space="preserve">Liu, Y., &amp; Tsyvinski, A. (2021). Risks and returns of cryptocurrency. </w:t>
      </w:r>
      <w:r>
        <w:rPr>
          <w:rFonts w:ascii="Times New Roman" w:cs="Times New Roman" w:eastAsia="Times New Roman" w:hAnsi="Times New Roman"/>
          <w:i/>
          <w:iCs/>
          <w:color w:val="000000"/>
          <w:sz w:val="24"/>
          <w:szCs w:val="24"/>
        </w:rPr>
        <w:t xml:space="preserve">The Review of Financial Studies, 34</w:t>
      </w:r>
      <w:r>
        <w:rPr>
          <w:rFonts w:ascii="Times New Roman" w:cs="Times New Roman" w:eastAsia="Times New Roman" w:hAnsi="Times New Roman"/>
          <w:color w:val="000000"/>
          <w:sz w:val="24"/>
          <w:szCs w:val="24"/>
        </w:rPr>
        <w:t xml:space="preserve">(6), 2689–2727. https://doi.org/10.1093/rfs/hhaa113</w:t>
      </w:r>
    </w:p>
    <w:p>
      <w:pPr>
        <w:spacing w:after="0" w:line="480" w:lineRule="auto"/>
        <w:ind w:left="720" w:hanging="720"/>
      </w:pPr>
      <w:r>
        <w:rPr>
          <w:rFonts w:ascii="Times New Roman" w:cs="Times New Roman" w:eastAsia="Times New Roman" w:hAnsi="Times New Roman"/>
          <w:color w:val="000000"/>
          <w:sz w:val="24"/>
          <w:szCs w:val="24"/>
        </w:rPr>
        <w:t xml:space="preserve">López de Prado, M. (2018). </w:t>
      </w:r>
      <w:r>
        <w:rPr>
          <w:rFonts w:ascii="Times New Roman" w:cs="Times New Roman" w:eastAsia="Times New Roman" w:hAnsi="Times New Roman"/>
          <w:i/>
          <w:iCs/>
          <w:color w:val="000000"/>
          <w:sz w:val="24"/>
          <w:szCs w:val="24"/>
        </w:rPr>
        <w:t xml:space="preserve">Advances in financial machine learning</w:t>
      </w:r>
      <w:r>
        <w:rPr>
          <w:rFonts w:ascii="Times New Roman" w:cs="Times New Roman" w:eastAsia="Times New Roman" w:hAnsi="Times New Roman"/>
          <w:color w:val="000000"/>
          <w:sz w:val="24"/>
          <w:szCs w:val="24"/>
        </w:rPr>
        <w:t xml:space="preserve">. John Wiley &amp; Sons.</w:t>
      </w:r>
    </w:p>
    <w:p>
      <w:pPr>
        <w:spacing w:after="0" w:line="480" w:lineRule="auto"/>
        <w:ind w:left="720" w:hanging="720"/>
      </w:pPr>
      <w:r>
        <w:rPr>
          <w:rFonts w:ascii="Times New Roman" w:cs="Times New Roman" w:eastAsia="Times New Roman" w:hAnsi="Times New Roman"/>
          <w:color w:val="000000"/>
          <w:sz w:val="24"/>
          <w:szCs w:val="24"/>
        </w:rPr>
        <w:t xml:space="preserve">Murphy, J. J. (1999). </w:t>
      </w:r>
      <w:r>
        <w:rPr>
          <w:rFonts w:ascii="Times New Roman" w:cs="Times New Roman" w:eastAsia="Times New Roman" w:hAnsi="Times New Roman"/>
          <w:i/>
          <w:iCs/>
          <w:color w:val="000000"/>
          <w:sz w:val="24"/>
          <w:szCs w:val="24"/>
        </w:rPr>
        <w:t xml:space="preserve">Technical analysis of the financial markets: A comprehensive guide to trading methods and applications</w:t>
      </w:r>
      <w:r>
        <w:rPr>
          <w:rFonts w:ascii="Times New Roman" w:cs="Times New Roman" w:eastAsia="Times New Roman" w:hAnsi="Times New Roman"/>
          <w:color w:val="000000"/>
          <w:sz w:val="24"/>
          <w:szCs w:val="24"/>
        </w:rPr>
        <w:t xml:space="preserve">. New York Institute of Finance.</w:t>
      </w:r>
    </w:p>
    <w:p>
      <w:pPr>
        <w:spacing w:after="0" w:line="480" w:lineRule="auto"/>
        <w:ind w:left="720" w:hanging="720"/>
      </w:pPr>
      <w:r>
        <w:rPr>
          <w:rFonts w:ascii="Times New Roman" w:cs="Times New Roman" w:eastAsia="Times New Roman" w:hAnsi="Times New Roman"/>
          <w:color w:val="000000"/>
          <w:sz w:val="24"/>
          <w:szCs w:val="24"/>
        </w:rPr>
        <w:t xml:space="preserve">Nakamoto, S. (2008). </w:t>
      </w:r>
      <w:r>
        <w:rPr>
          <w:rFonts w:ascii="Times New Roman" w:cs="Times New Roman" w:eastAsia="Times New Roman" w:hAnsi="Times New Roman"/>
          <w:i/>
          <w:iCs/>
          <w:color w:val="000000"/>
          <w:sz w:val="24"/>
          <w:szCs w:val="24"/>
        </w:rPr>
        <w:t xml:space="preserve">Bitcoin: A peer-to-peer electronic cash system</w:t>
      </w:r>
      <w:r>
        <w:rPr>
          <w:rFonts w:ascii="Times New Roman" w:cs="Times New Roman" w:eastAsia="Times New Roman" w:hAnsi="Times New Roman"/>
          <w:color w:val="000000"/>
          <w:sz w:val="24"/>
          <w:szCs w:val="24"/>
        </w:rPr>
        <w:t xml:space="preserve">. https://bitcoin.org/bitcoin.pdf</w:t>
      </w:r>
    </w:p>
    <w:p>
      <w:pPr>
        <w:spacing w:after="0" w:line="480" w:lineRule="auto"/>
        <w:ind w:left="720" w:hanging="720"/>
      </w:pPr>
      <w:r>
        <w:rPr>
          <w:rFonts w:ascii="Times New Roman" w:cs="Times New Roman" w:eastAsia="Times New Roman" w:hAnsi="Times New Roman"/>
          <w:color w:val="000000"/>
          <w:sz w:val="24"/>
          <w:szCs w:val="24"/>
        </w:rPr>
        <w:t xml:space="preserve">Narayanan, A., Bonneau, J., Felten, E., Miller, A., &amp; Goldfeder, S. (2016). </w:t>
      </w:r>
      <w:r>
        <w:rPr>
          <w:rFonts w:ascii="Times New Roman" w:cs="Times New Roman" w:eastAsia="Times New Roman" w:hAnsi="Times New Roman"/>
          <w:i/>
          <w:iCs/>
          <w:color w:val="000000"/>
          <w:sz w:val="24"/>
          <w:szCs w:val="24"/>
        </w:rPr>
        <w:t xml:space="preserve">Bitcoin and cryptocurrency technologies: A comprehensive introduction</w:t>
      </w:r>
      <w:r>
        <w:rPr>
          <w:rFonts w:ascii="Times New Roman" w:cs="Times New Roman" w:eastAsia="Times New Roman" w:hAnsi="Times New Roman"/>
          <w:color w:val="000000"/>
          <w:sz w:val="24"/>
          <w:szCs w:val="24"/>
        </w:rPr>
        <w:t xml:space="preserve">. Princeton University Press.</w:t>
      </w:r>
    </w:p>
    <w:p>
      <w:pPr>
        <w:spacing w:after="0" w:line="480" w:lineRule="auto"/>
        <w:ind w:left="720" w:hanging="720"/>
      </w:pPr>
      <w:r>
        <w:rPr>
          <w:rFonts w:ascii="Times New Roman" w:cs="Times New Roman" w:eastAsia="Times New Roman" w:hAnsi="Times New Roman"/>
          <w:color w:val="000000"/>
          <w:sz w:val="24"/>
          <w:szCs w:val="24"/>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color w:val="000000"/>
          <w:sz w:val="24"/>
          <w:szCs w:val="24"/>
        </w:rPr>
        <w:t xml:space="preserve">PLOS ONE, 10</w:t>
      </w:r>
      <w:r>
        <w:rPr>
          <w:rFonts w:ascii="Times New Roman" w:cs="Times New Roman" w:eastAsia="Times New Roman" w:hAnsi="Times New Roman"/>
          <w:color w:val="000000"/>
          <w:sz w:val="24"/>
          <w:szCs w:val="24"/>
        </w:rPr>
        <w:t xml:space="preserve">(3), e0118432. https://doi.org/10.1371/journal.pone.0118432</w:t>
      </w:r>
    </w:p>
    <w:p>
      <w:pPr>
        <w:spacing w:after="0" w:line="480" w:lineRule="auto"/>
        <w:ind w:left="720" w:hanging="720"/>
      </w:pPr>
      <w:r>
        <w:rPr>
          <w:rFonts w:ascii="Times New Roman" w:cs="Times New Roman" w:eastAsia="Times New Roman" w:hAnsi="Times New Roman"/>
          <w:color w:val="000000"/>
          <w:sz w:val="24"/>
          <w:szCs w:val="24"/>
        </w:rPr>
        <w:t xml:space="preserve">Sokolova, M., &amp; Lapalme, G. (2009). A systematic analysis of performance measures for classification tasks. </w:t>
      </w:r>
      <w:r>
        <w:rPr>
          <w:rFonts w:ascii="Times New Roman" w:cs="Times New Roman" w:eastAsia="Times New Roman" w:hAnsi="Times New Roman"/>
          <w:i/>
          <w:iCs/>
          <w:color w:val="000000"/>
          <w:sz w:val="24"/>
          <w:szCs w:val="24"/>
        </w:rPr>
        <w:t xml:space="preserve">Information Processing &amp; Management, 45</w:t>
      </w:r>
      <w:r>
        <w:rPr>
          <w:rFonts w:ascii="Times New Roman" w:cs="Times New Roman" w:eastAsia="Times New Roman" w:hAnsi="Times New Roman"/>
          <w:color w:val="000000"/>
          <w:sz w:val="24"/>
          <w:szCs w:val="24"/>
        </w:rPr>
        <w:t xml:space="preserve">(4), 427–437. https://doi.org/10.1016/j.ipm.2009.03.002</w:t>
      </w:r>
    </w:p>
    <w:p>
      <w:pPr>
        <w:spacing w:after="0" w:line="480" w:lineRule="auto"/>
        <w:ind w:left="720" w:hanging="720"/>
      </w:pPr>
      <w:r>
        <w:rPr>
          <w:rFonts w:ascii="Times New Roman" w:cs="Times New Roman" w:eastAsia="Times New Roman" w:hAnsi="Times New Roman"/>
          <w:color w:val="000000"/>
          <w:sz w:val="24"/>
          <w:szCs w:val="24"/>
        </w:rPr>
        <w:t xml:space="preserve">Urquhart, A. (2016). The inefficiency of Bitcoin. </w:t>
      </w:r>
      <w:r>
        <w:rPr>
          <w:rFonts w:ascii="Times New Roman" w:cs="Times New Roman" w:eastAsia="Times New Roman" w:hAnsi="Times New Roman"/>
          <w:i/>
          <w:iCs/>
          <w:color w:val="000000"/>
          <w:sz w:val="24"/>
          <w:szCs w:val="24"/>
        </w:rPr>
        <w:t xml:space="preserve">Economics Letters, 148</w:t>
      </w:r>
      <w:r>
        <w:rPr>
          <w:rFonts w:ascii="Times New Roman" w:cs="Times New Roman" w:eastAsia="Times New Roman" w:hAnsi="Times New Roman"/>
          <w:color w:val="000000"/>
          <w:sz w:val="24"/>
          <w:szCs w:val="24"/>
        </w:rPr>
        <w:t xml:space="preserve">, 80–82. https://doi.org/10.1016/j.econlet.2016.09.019</w:t>
      </w:r>
    </w:p>
    <w:p>
      <w:pPr>
        <w:spacing w:after="0" w:line="480" w:lineRule="auto"/>
        <w:ind w:left="720" w:hanging="720"/>
      </w:pPr>
      <w:r>
        <w:rPr>
          <w:rFonts w:ascii="Times New Roman" w:cs="Times New Roman" w:eastAsia="Times New Roman" w:hAnsi="Times New Roman"/>
          <w:color w:val="000000"/>
          <w:sz w:val="24"/>
          <w:szCs w:val="24"/>
        </w:rPr>
        <w:t xml:space="preserve">Yi, S., Xu, Z., &amp; Wang, G.-J. (2018). Volatility connectedness in the cryptocurrency market: Is Bitcoin a dominant cryptocurrency? </w:t>
      </w:r>
      <w:r>
        <w:rPr>
          <w:rFonts w:ascii="Times New Roman" w:cs="Times New Roman" w:eastAsia="Times New Roman" w:hAnsi="Times New Roman"/>
          <w:i/>
          <w:iCs/>
          <w:color w:val="000000"/>
          <w:sz w:val="24"/>
          <w:szCs w:val="24"/>
        </w:rPr>
        <w:t xml:space="preserve">International Review of Financial Analysis, 60</w:t>
      </w:r>
      <w:r>
        <w:rPr>
          <w:rFonts w:ascii="Times New Roman" w:cs="Times New Roman" w:eastAsia="Times New Roman" w:hAnsi="Times New Roman"/>
          <w:color w:val="000000"/>
          <w:sz w:val="24"/>
          <w:szCs w:val="24"/>
        </w:rPr>
        <w:t xml:space="preserve">, 98–114. https://doi.org/10.1016/j.irfa.2018.08.012</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3eb892c9e97fd75d5066c87e1d9e030a79421f3.png"/><Relationship Id="rId9" Type="http://schemas.openxmlformats.org/officeDocument/2006/relationships/image" Target="media/2aebd1e1bf5cf481e85262d91311a6c6843df99d.png"/><Relationship Id="rId10" Type="http://schemas.openxmlformats.org/officeDocument/2006/relationships/image" Target="media/be9a83ce7568c6d81d4a2bfcb35f7ecfba95f21e.png"/><Relationship Id="rId11" Type="http://schemas.openxmlformats.org/officeDocument/2006/relationships/image" Target="media/e40e0fc3984ceadc2ce44dfa201dfe416623c80a.png"/><Relationship Id="rId12" Type="http://schemas.openxmlformats.org/officeDocument/2006/relationships/image" Target="media/98a014322f5ebac91ca933377d0c96ab11d26758.png"/><Relationship Id="rId13" Type="http://schemas.openxmlformats.org/officeDocument/2006/relationships/image" Target="media/e6dc4c705032066536a998209e3f7cdc70575cb7.png"/><Relationship Id="rId14" Type="http://schemas.openxmlformats.org/officeDocument/2006/relationships/image" Target="media/2b3d27b2e8a08f141354f58649d502a156693102.png"/><Relationship Id="rId15" Type="http://schemas.openxmlformats.org/officeDocument/2006/relationships/image" Target="media/7b02f39a572b8c2821403d60cd06aef6e297bae5.png"/><Relationship Id="rId16" Type="http://schemas.openxmlformats.org/officeDocument/2006/relationships/image" Target="media/2d533aaf96c3766b7a850e972c8bceec58e2a740.png"/><Relationship Id="rId17" Type="http://schemas.openxmlformats.org/officeDocument/2006/relationships/image" Target="media/76c9598bde8094b10ac3e90a8e4f60449657df4b.png"/><Relationship Id="rId18" Type="http://schemas.openxmlformats.org/officeDocument/2006/relationships/image" Target="media/76617eb0ef2db9d0a11b5c3a9b3fa15e568452db.png"/><Relationship Id="rId19" Type="http://schemas.openxmlformats.org/officeDocument/2006/relationships/image" Target="media/43105353448ba56953524c34bfa1b9a746ca5e61.png"/><Relationship Id="rId20" Type="http://schemas.openxmlformats.org/officeDocument/2006/relationships/image" Target="media/6a042c6db7f01f3c08915cfc0a6402162a713a4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2026-08-17T17:55:14.802Z</dcterms:created>
  <dcterms:modified xsi:type="dcterms:W3CDTF">2026-08-17T17:55:14.803Z</dcterms:modified>
</cp:coreProperties>
</file>

<file path=docProps/custom.xml><?xml version="1.0" encoding="utf-8"?>
<Properties xmlns="http://schemas.openxmlformats.org/officeDocument/2006/custom-properties" xmlns:vt="http://schemas.openxmlformats.org/officeDocument/2006/docPropsVTypes"/>
</file>