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Todas las cifras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salen de un archivo de evidencia que se regenera con un comando. La única celda vacía es el bloque de prueba, que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(D18), el lunes 7 tras el atraso que fija la </w:t>
      </w:r>
      <w:r>
        <w:rPr>
          <w:rFonts w:ascii="Times New Roman" w:cs="Times New Roman" w:eastAsia="Times New Roman" w:hAnsi="Times New Roman"/>
          <w:color w:val="000000"/>
          <w:sz w:val="24"/>
          <w:szCs w:val="24"/>
        </w:rPr>
        <w:t xml:space="preserve">D23</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sí aportan al avanzado — y el matiz importa</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Eso se midió sobre el bosque, y sobre el avanzado da distinto.</w:t>
      </w:r>
      <w:r>
        <w:rPr>
          <w:rFonts w:ascii="Times New Roman" w:cs="Times New Roman" w:eastAsia="Times New Roman" w:hAnsi="Times New Roman"/>
          <w:color w:val="000000"/>
          <w:sz w:val="24"/>
          <w:szCs w:val="24"/>
        </w:rPr>
        <w:t xml:space="preserve"> No es una generalización que convenga hacer, porque la arquitectura elegida existe justamente para atender entre series.</w:t>
      </w:r>
    </w:p>
    <w:p>
      <w:pPr>
        <w:spacing w:after="0" w:line="480" w:lineRule="auto"/>
        <w:ind w:firstLine="720"/>
      </w:pPr>
      <w:r>
        <w:rPr>
          <w:rFonts w:ascii="Times New Roman" w:cs="Times New Roman" w:eastAsia="Times New Roman" w:hAnsi="Times New Roman"/>
          <w:color w:val="000000"/>
          <w:sz w:val="24"/>
          <w:szCs w:val="24"/>
        </w:rPr>
        <w:t xml:space="preserve">La D14 —mía— había concluido lo contrario, y la D24 corrige esa lectura sin reescribirla: la D14 respondió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La sección 5 del protocolo ya decía que ese umbral no aplica a esta clase de pregunta.</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frases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Los activos de apoyo aportan al modelo avanzado de forma consistente, y el aporte es pequeño. La D20 explica por qué: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La celda que falta,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 Esperar que el bloque de prueba mejore eso sería esperar que datos no vistos favorezcan a un modelo más que los datos con los que se eligió, que es al revés de como funciona.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Dos hallazgos.</w:t>
      </w:r>
      <w:r>
        <w:rPr>
          <w:rFonts w:ascii="Times New Roman" w:cs="Times New Roman" w:eastAsia="Times New Roman" w:hAnsi="Times New Roman"/>
          <w:color w:val="000000"/>
          <w:sz w:val="24"/>
          <w:szCs w:val="24"/>
        </w:rPr>
        <w:t xml:space="preserve"> Los mínimos ganan por más margen que los máximos </w:t>
      </w:r>
      <w:r>
        <w:rPr>
          <w:rFonts w:ascii="Times New Roman" w:cs="Times New Roman" w:eastAsia="Times New Roman" w:hAnsi="Times New Roman"/>
          <w:b/>
          <w:bCs/>
          <w:color w:val="000000"/>
          <w:sz w:val="24"/>
          <w:szCs w:val="24"/>
        </w:rPr>
        <w:t xml:space="preserve">en los tres bloques</w:t>
      </w:r>
      <w:r>
        <w:rPr>
          <w:rFonts w:ascii="Times New Roman" w:cs="Times New Roman" w:eastAsia="Times New Roman" w:hAnsi="Times New Roman"/>
          <w:color w:val="000000"/>
          <w:sz w:val="24"/>
          <w:szCs w:val="24"/>
        </w:rPr>
        <w:t xml:space="preserve">: los suelos de este activo son más pronunciados que los techos, y eso explica por qué el modelo detecta valles mejor que picos. Se comprobó que la asimetría aparece también dentro del bloque de entrenamiento, en tramos que suben, así que </w:t>
      </w:r>
      <w:r>
        <w:rPr>
          <w:rFonts w:ascii="Times New Roman" w:cs="Times New Roman" w:eastAsia="Times New Roman" w:hAnsi="Times New Roman"/>
          <w:b/>
          <w:bCs/>
          <w:color w:val="000000"/>
          <w:sz w:val="24"/>
          <w:szCs w:val="24"/>
        </w:rPr>
        <w:t xml:space="preserve">no la causa el régimen del mercado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en prueba los extremos ganan por un tercio menos: son extremos marginales, decididos por una diferencia de precio pequeña, y por eso intrínsecamente menos predecibles.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arreglos que probamos, y por qué fallaron</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Los dos empeoran</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2026-09-07T23:57:32.063Z</dcterms:created>
  <dcterms:modified xsi:type="dcterms:W3CDTF">2026-09-07T23:57:32.063Z</dcterms:modified>
</cp:coreProperties>
</file>

<file path=docProps/custom.xml><?xml version="1.0" encoding="utf-8"?>
<Properties xmlns="http://schemas.openxmlformats.org/officeDocument/2006/custom-properties" xmlns:vt="http://schemas.openxmlformats.org/officeDocument/2006/docPropsVTypes"/>
</file>