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/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/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/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Sistema de Pronóstico de Puntos de Inflexión en el Precio de</w:t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Litecoin (LTC) mediante Análisis Multivariante de Series Temporales</w:t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/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Marco Teórico: Series de Tiempo y Criptoactivos</w:t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/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/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Alejandro Zamora, Fabrizio Espinoza Arce, Isaac Morun</w:t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y Jose Pablo Monestel</w:t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/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Tecnologías de la Información y Comunicación Empresarial,</w:t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Universidad Invenio</w:t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Señales y Sistemas</w:t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Prof. Roberto Calvo Arias</w:t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18 de agosto de 2026</w:t>
      </w:r>
    </w:p>
    <w:p>
      <w:r>
        <w:br w:type="page"/>
      </w:r>
    </w:p>
    <w:p>
      <w:pPr>
        <w:keepNext/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Tabla de 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spacing w:after="0" w:before="0" w:line="48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Sistema de Pronóstico de Puntos de Inflexión en el Precio de Litecoin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Esta entrega cubre la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Semana 3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del enunciado: el desarrollo del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modelo fundacional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y las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pruebas de detección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con datos sintéticos, de entrenamiento y en tiempo real.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Se entrega por separado, como avance propio, además de estar integrada en el informe final. Las dos formas contienen el mismo material medido; lo que cambia es el alcance: aquí se puede seguir un solo tema hasta el fondo sin la comparación entre modelos, que llega en la Semana 4.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Qué se entrega esta semana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Por qué el diseño va antes que el modelo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El documento empieza por el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diseño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y no por el modelo, aunque el enunciado pida el modelo. La razón es que sin la definición operativa de punto de inflexión ninguna métrica del resto significa algo: el F1 macro de un clasificador de tres clases depende por completo de cómo se construyeron esas tres clases.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El capítulo de diseño responde tres preguntas —qué se predice, sobre qué datos, y cómo se separan para que las cifras se puedan creer— y las tres se decidieron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midiendo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antes de entrenar nada.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Lo que esta entrega permite afirmar, y lo que no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Permite afirmar que el circuito es correcto.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Las cuatro pruebas de detección pasan, y la de tiempo real —que alimenta el sistema vela a vela y comprueba que predice exactamente lo mismo que procesando el bloque entero— es la única capaz de detectar fuga de información desde filas posteriores. Dio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cero discrepancias sobre 500 velas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No permite afirmar que el modelo fundacional sirva.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Ninguna de las cuatro pruebas mide rendimiento sobre datos no vistos. La prueba sobre entrenamiento da la cifra más alta del documento —0,953353— y es la que menos vale, porque ahí el modelo ya vio las respuestas; el capítulo correspondiente lo explica en vez de dejar la tabla sola.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Esa distinción —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«corre» y «funciona» no son lo mismo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— es la que organiza toda la entrega.</w:t>
      </w:r>
    </w:p>
    <w:p>
      <w:pPr>
        <w:pStyle w:val="Heading1"/>
        <w:keepNext/>
        <w:spacing w:after="0" w:before="0" w:line="48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Diseño: Qué se Predice, Sobre Qué Datos y Cómo se Separan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Autor: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Fabrizio Espinoza (M0) ·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Fuente del material: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docs/00-definicion-punto-inflexion.md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docs/04-decision-w-h-granularidad.md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D1–D4, D18 ·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Todas las cifras salen de </w:t>
      </w:r>
      <w:r>
        <w:rPr>
          <w:rFonts w:ascii="Courier New" w:cs="Courier New" w:eastAsia="Courier New" w:hAnsi="Courier New"/>
          <w:b/>
          <w:bCs/>
          <w:color w:val="000000"/>
          <w:sz w:val="22"/>
          <w:szCs w:val="22"/>
        </w:rPr>
        <w:t xml:space="preserve">docs/evidencias/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Esta sección responde tres preguntas de las que depende todo lo demás: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qué se predice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sobre qué datos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y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cómo se separan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los datos para que las cifras signifiquen algo.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1.1 Qué es un punto de inflexión, exactamente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«Punto de inflexión» no es una idea suelta: es una definición operativa, porque de ella salen las etiquetas que el modelo aprende.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Una vela en el instante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t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es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máximo local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si su cierre es estrictamente mayor que el de las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w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velas anteriores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y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que el de las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w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posteriores.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Mínimo local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al revés. Todo lo demás es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continuidad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Tres consecuencias que conviene tener presentes desde ya:</w:t>
      </w:r>
    </w:p>
    <w:p>
      <w:pPr>
        <w:spacing w:after="0" w:line="480" w:lineRule="auto"/>
        <w:ind w:left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La etiqueta mira al futuro.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Para saber si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t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fue un máximo hay que esperar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w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velas más. Eso no es fuga —el modelo nunca ve esas velas— pero sí impone una latencia real, y la sección 4 la mide.</w:t>
      </w:r>
    </w:p>
    <w:p>
      <w:pPr>
        <w:spacing w:after="0" w:line="480" w:lineRule="auto"/>
        <w:ind w:left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La comparación es estricta.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Se exigen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2w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desigualdades estrictas encadenadas: con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w = 7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catorce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Esto tiene un costo que aparece en la sección 6.</w:t>
      </w:r>
    </w:p>
    <w:p>
      <w:pPr>
        <w:spacing w:after="0" w:line="480" w:lineRule="auto"/>
        <w:ind w:left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Las clases están muy desbalanceadas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por construcción. Un extremo local es raro.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Con esa distribución, un modelo que responda siempre «continuidad» acierta el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90,7 %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de las veces y no detecta un solo punto de inflexión. Por eso la métrica que decide es el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F1 macro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que promedia las tres clases por igual, y no la exactitud.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1.2 Los tres parámetros, y por qué esos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El sistema tiene tres parámetros de los que depende todo: la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granularidad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de las velas, la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ventana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w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del etiquetado y el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horizonte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h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del pronóstico. Los tres se fijaron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midiendo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antes de entrenar nada, y se congelaron.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El criterio se acordó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antes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de ver los resultados: hace falta un piso de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300 ejemplos de la clase minoritaria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en entrenamiento (D4), porque debajo de eso la métrica de una clase rara se vuelve ruido. No sale de la literatura; es una convención del equipo, y se declara como tal.</w:t>
      </w:r>
    </w:p>
    <w:p>
      <w:pPr>
        <w:keepNext/>
        <w:spacing w:after="0" w:before="240" w:line="48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Tabla 2</w:t>
      </w:r>
    </w:p>
    <w:p>
      <w:pPr>
        <w:keepNext/>
        <w:spacing w:after="60" w:line="480" w:lineRule="auto"/>
      </w:pP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Los tres parámetros y la medición que los fijó.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Clase</w:t>
            </w:r>
          </w:p>
        </w:tc>
        <w:tc>
          <w:tcPr>
            <w:tcW w:type="dxa" w:w="234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Código</w:t>
            </w:r>
          </w:p>
        </w:tc>
        <w:tc>
          <w:tcPr>
            <w:tcW w:type="dxa" w:w="234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Casos</w:t>
            </w:r>
          </w:p>
        </w:tc>
        <w:tc>
          <w:tcPr>
            <w:tcW w:type="dxa" w:w="234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Porcentaje</w:t>
            </w:r>
          </w:p>
        </w:tc>
      </w:tr>
      <w:tr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Máximo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420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4,583 %</w:t>
            </w:r>
          </w:p>
        </w:tc>
      </w:tr>
      <w:tr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Mínimo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431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4,703 %</w:t>
            </w:r>
          </w:p>
        </w:tc>
      </w:tr>
      <w:tr>
        <w:tc>
          <w:tcPr>
            <w:tcW w:type="dxa" w:w="234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Continuidad</w:t>
            </w:r>
          </w:p>
        </w:tc>
        <w:tc>
          <w:tcPr>
            <w:tcW w:type="dxa" w:w="234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234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8 314</w:t>
            </w:r>
          </w:p>
        </w:tc>
        <w:tc>
          <w:tcPr>
            <w:tcW w:type="dxa" w:w="234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90,715 %</w:t>
            </w:r>
          </w:p>
        </w:tc>
      </w:tr>
    </w:tbl>
    <w:p>
      <w:pPr>
        <w:spacing w:after="240"/>
      </w:pP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Tres cosas que vale la pena señalar de esa tabla: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Bajar la granularidad no añade historia, la subdivide.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El período común lo acota Solana, el activo con menos historia. Pasar de velas diarias a velas de 4 horas lleva el panel de 2 185 observaciones a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13 114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sin cubrir un día más. Lo que se compra es resolución; lo que se paga es más ruido de microestructura y figuras menos legibles. El costo está aceptado por escrito en la D1.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Que </w:t>
      </w:r>
      <w:r>
        <w:rPr>
          <w:rFonts w:ascii="Courier New" w:cs="Courier New" w:eastAsia="Courier New" w:hAnsi="Courier New"/>
          <w:b/>
          <w:bCs/>
          <w:color w:val="000000"/>
          <w:sz w:val="22"/>
          <w:szCs w:val="22"/>
        </w:rPr>
        <w:t xml:space="preserve">w = 10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 quedara en 299 es la mejor señal de que el criterio sirvió.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Un piso que aprueba cualquier valor no es un criterio. Este descartó una opción por un ejemplo.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El horizonte corrige un error de método, y queda escrito.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Se había propuesto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h = 5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por juicio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porque predecir más lejos parecía más útil. La medición dijo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h = 1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La D3 deja constancia de la corrección porque el error de método importa más que el valor: se había elegido por parecer mejor, no por evidencia.</w:t>
      </w:r>
    </w:p>
    <w:p>
      <w:pPr>
        <w:spacing w:after="0" w:line="480" w:lineRule="auto"/>
        <w:ind w:left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Advertencia que acompaña a la D3 y que el informe repite: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el nivel absoluto de información mutua es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bajo para todo horizonte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incluido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h = 1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Lo que se interpreta es la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forma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de la curva —dónde cae—, no su magnitud. Esta es la primera señal, ya en el diseño, de que el problema es difícil.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1.3 Los datos</w:t>
      </w:r>
    </w:p>
    <w:p>
      <w:pPr>
        <w:keepNext/>
        <w:spacing w:after="0" w:before="240" w:line="48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Tabla 3</w:t>
      </w:r>
    </w:p>
    <w:p>
      <w:pPr>
        <w:keepNext/>
        <w:spacing w:after="60" w:line="480" w:lineRule="auto"/>
      </w:pP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El panel.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Parámetro</w:t>
            </w:r>
          </w:p>
        </w:tc>
        <w:tc>
          <w:tcPr>
            <w:tcW w:type="dxa" w:w="234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Valor</w:t>
            </w:r>
          </w:p>
        </w:tc>
        <w:tc>
          <w:tcPr>
            <w:tcW w:type="dxa" w:w="234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Qué lo decidió</w:t>
            </w:r>
          </w:p>
        </w:tc>
        <w:tc>
          <w:tcPr>
            <w:tcW w:type="dxa" w:w="234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Decisión</w:t>
            </w:r>
          </w:p>
        </w:tc>
      </w:tr>
      <w:tr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Granularidad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4 horas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Con velas diarias </w:t>
            </w: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ninguna</w:t>
            </w: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 ventana llega al piso de 300; la mejor deja 149. Con 4 horas, </w:t>
            </w: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w = 7</w:t>
            </w: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 deja 420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D1</w:t>
            </w:r>
          </w:p>
        </w:tc>
      </w:tr>
      <w:tr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Ventana </w:t>
            </w: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w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7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El </w:t>
            </w: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w</w:t>
            </w: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 más grande que cumple el piso. </w:t>
            </w: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w = 10</w:t>
            </w: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 quedó en </w:t>
            </w: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299</w:t>
            </w: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, uno por debajo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D2</w:t>
            </w:r>
          </w:p>
        </w:tc>
      </w:tr>
      <w:tr>
        <w:tc>
          <w:tcPr>
            <w:tcW w:type="dxa" w:w="234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Horizonte </w:t>
            </w: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h</w:t>
            </w:r>
          </w:p>
        </w:tc>
        <w:tc>
          <w:tcPr>
            <w:tcW w:type="dxa" w:w="234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234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La información mutua entre lo observable en </w:t>
            </w: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 y la etiqueta en </w:t>
            </w: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t+h</w:t>
            </w: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 cae </w:t>
            </w: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4,2 veces</w:t>
            </w: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 de </w:t>
            </w: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h = 1</w:t>
            </w: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 a </w:t>
            </w: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h = 3</w:t>
            </w: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, y después se aplana</w:t>
            </w:r>
          </w:p>
        </w:tc>
        <w:tc>
          <w:tcPr>
            <w:tcW w:type="dxa" w:w="234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D3</w:t>
            </w:r>
          </w:p>
        </w:tc>
      </w:tr>
    </w:tbl>
    <w:p>
      <w:pPr>
        <w:spacing w:after="240"/>
      </w:pP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El activo objetivo es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LTC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; los otros cinco son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activos de apoyo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y si aportan o no es una de las preguntas que el informe responde midiendo (secciones 2 y 6).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1.4 La partición, y el embargo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Los datos se parten en tres bloques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cronológicos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—nunca al azar—, porque en una serie temporal mezclar el orden permitiría entrenar con el futuro y evaluar con el pasado.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Pero partir en orden no alcanza.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Entre bloques hay que descartar velas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y esa es la parte que se olvida.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Por qué.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La etiqueta de una vela se calcula mirando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w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velas hacia adelante. Las últimas velas del bloque de entrenamiento tienen su etiqueta calculada con velas que ya pertenecen a validación. Sin descartarlas, el modelo vería indirectamente datos de evaluación. La documentación del código lo dice sin rodeos:</w:t>
      </w:r>
    </w:p>
    <w:p>
      <w:pPr>
        <w:spacing w:after="0" w:line="480" w:lineRule="auto"/>
        <w:ind w:left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Es el error más caro de este tipo de proyecto porque produce resultados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excelentes y falsos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y no se nota mirando las métricas.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Por eso se descartan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w + h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velas en cada frontera: el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embargo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</w:t>
      </w:r>
    </w:p>
    <w:p>
      <w:pPr>
        <w:keepNext/>
        <w:spacing w:after="0" w:before="240" w:line="48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Tabla 4</w:t>
      </w:r>
    </w:p>
    <w:p>
      <w:pPr>
        <w:keepNext/>
        <w:spacing w:after="60" w:line="480" w:lineRule="auto"/>
      </w:pP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La partición del panel de 13 114 velas.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Activos</w:t>
            </w:r>
          </w:p>
        </w:tc>
        <w:tc>
          <w:tcPr>
            <w:tcW w:type="dxa" w:w="468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6 — LTC (objetivo) más BTC, ETH, SOL, XRP, ADA</w:t>
            </w:r>
          </w:p>
        </w:tc>
      </w:tr>
      <w:tr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Filas</w:t>
            </w:r>
          </w:p>
        </w:tc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13 114</w:t>
            </w: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 velas de 4 horas</w:t>
            </w:r>
          </w:p>
        </w:tc>
      </w:tr>
      <w:tr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Columnas del panel</w:t>
            </w:r>
          </w:p>
        </w:tc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30</w:t>
            </w:r>
          </w:p>
        </w:tc>
      </w:tr>
      <w:tr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Período</w:t>
            </w:r>
          </w:p>
        </w:tc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11/08/2020</w:t>
            </w: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 a </w:t>
            </w: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05/08/2026</w:t>
            </w:r>
          </w:p>
        </w:tc>
      </w:tr>
      <w:tr>
        <w:tc>
          <w:tcPr>
            <w:tcW w:type="dxa" w:w="468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Características construidas</w:t>
            </w:r>
          </w:p>
        </w:tc>
        <w:tc>
          <w:tcPr>
            <w:tcW w:type="dxa" w:w="468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63</w:t>
            </w: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 (sección 2)</w:t>
            </w:r>
          </w:p>
        </w:tc>
      </w:tr>
    </w:tbl>
    <w:p>
      <w:pPr>
        <w:spacing w:after="240"/>
      </w:pP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El costo del embargo son 16 velas de 13 114 —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poco más de una décima de por ciento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Es barato comparado con lo que evita.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1.5 El bloque de prueba se toca una vez, y eso es comprobable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El bloque de prueba no se mira mientras se toman decisiones. Es la regla más fácil de romper sin querer: basta correr el experimento «para ver cómo va» y ya está gastado, porque todo criterio que se elija después está contaminado por haber visto el número.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La D18 lo prohíbe. Pero una prohibición escrita solo se puede verificar leyendo el historial y confiando en que nadie corrió nada por fuera — o sea, no se verifica nunca.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Por eso existe un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pestillo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: la primera evaluación sobre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prueba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deja constancia en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docs/evidencias/prueba-consumida.json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con el commit, si el árbol estaba limpio y qué modelos se midieron. Las siguientes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fallan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salvo que se declare un motivo por escrito, que queda registrado junto al anterior.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No impide gastar la reserva: quien quiera puede borrar el archivo. Lo que hace es que gastarla dos veces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deje rastro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en vez de pasar inadvertido. El objetivo no es la seguridad, es la trazabilidad — contra el descuido, no contra la mala fe.</w:t>
      </w:r>
    </w:p>
    <w:p>
      <w:pPr>
        <w:spacing w:after="0" w:line="480" w:lineRule="auto"/>
        <w:ind w:left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Y hubo que arreglarlo dos veces antes de usarlo.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La primera versión contaba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modelos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en vez de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sesiones de medición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así que una corrida sobre seis modelos se registraba como seis mediciones y moría en el segundo (#100). Y dos pruebas que verificaban las guardas del protocolo llamaban al experimento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de verdad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sobre el bloque de prueba, frenadas únicamente por la guarda que estaban probando: al romper esa guarda a propósito para comprobar que fallaba, la suite gastó la reserva en una copia local (#109). Las dos veces el defecto se encontró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ensayando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no corriendo — que es la razón por la que se ensaya.</w:t>
      </w:r>
    </w:p>
    <w:p>
      <w:pPr>
        <w:keepNext/>
        <w:spacing w:after="0" w:before="240" w:line="48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Tabla —</w:t>
      </w:r>
    </w:p>
    <w:p>
      <w:pPr>
        <w:keepNext/>
        <w:spacing w:after="60" w:line="480" w:lineRule="auto"/>
      </w:pP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Tabla sin pie en el original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Bloque</w:t>
            </w:r>
          </w:p>
        </w:tc>
        <w:tc>
          <w:tcPr>
            <w:tcW w:type="dxa" w:w="312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Velas</w:t>
            </w:r>
          </w:p>
        </w:tc>
        <w:tc>
          <w:tcPr>
            <w:tcW w:type="dxa" w:w="312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Para qué</w:t>
            </w:r>
          </w:p>
        </w:tc>
      </w:tr>
      <w:tr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Entrenamiento</w:t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9 171</w:t>
            </w: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 (9 165 con etiqueta)</w:t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Ajustar los modelos</w:t>
            </w:r>
          </w:p>
        </w:tc>
      </w:tr>
      <w:tr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Validación</w:t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1 959</w:t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Comparar y elegir</w:t>
            </w:r>
          </w:p>
        </w:tc>
      </w:tr>
      <w:tr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Prueba</w:t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1 968</w:t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Medir una sola vez, al final</w:t>
            </w: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 (D18)</w:t>
            </w:r>
          </w:p>
        </w:tc>
      </w:tr>
      <w:tr>
        <w:tc>
          <w:tcPr>
            <w:tcW w:type="dxa" w:w="312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Embargo (descartado)</w:t>
            </w:r>
          </w:p>
        </w:tc>
        <w:tc>
          <w:tcPr>
            <w:tcW w:type="dxa" w:w="312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16</w:t>
            </w:r>
          </w:p>
        </w:tc>
        <w:tc>
          <w:tcPr>
            <w:tcW w:type="dxa" w:w="312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No se usa para nada</w:t>
            </w:r>
          </w:p>
        </w:tc>
      </w:tr>
    </w:tbl>
    <w:p>
      <w:pPr>
        <w:spacing w:after="240"/>
      </w:pPr>
    </w:p>
    <w:p>
      <w:pPr>
        <w:pStyle w:val="Heading1"/>
        <w:keepNext/>
        <w:spacing w:after="0" w:before="0" w:line="48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El Modelo Fundacional: Chronos-Bolt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Autor: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Isaac Fallas (M3) ·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Ensamblado por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Fabrizio Espinoza (M0) desde la sección de M3 del informe final, sin reescribir su contenido.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Todas las cifras salen de </w:t>
      </w:r>
      <w:r>
        <w:rPr>
          <w:rFonts w:ascii="Courier New" w:cs="Courier New" w:eastAsia="Courier New" w:hAnsi="Courier New"/>
          <w:b/>
          <w:bCs/>
          <w:color w:val="000000"/>
          <w:sz w:val="22"/>
          <w:szCs w:val="22"/>
        </w:rPr>
        <w:t xml:space="preserve">docs/evidencias/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El puente, que es lo que hace comparables a los dos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Ni Chronos-Bolt ni iTransformer clasifican. Los dos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pronostican una trayectoria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y el problema pide tres clases. Entre una cosa y la otra hay un puente, y está construido igual para los dos: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1. Estando en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t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se pronostican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w + h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velas — con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w = 7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y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h = 1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ocho velas. 2. Con ellas se arma una ventana de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2w + 1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centrada en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t + h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3. Se le aplica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etiquetar()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del contrato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el mismo que produjo las etiquetas reales. 4. Se lee el centro.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Que los dos crucen igual no es un detalle de implementación: es lo que permite restar sus F1.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Si cada uno cruzara a su manera, la diferencia entre ambos mezclaría el modelo con el puente y no mediría lo que dice medir.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El puente está probado contra fuga con la misma prueba en las dos familias: se perturba el futuro posterior al corte y se exige que la predicción de instantes anteriores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no se mueva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Chronos-Bolt</w:t>
      </w:r>
    </w:p>
    <w:p>
      <w:pPr>
        <w:spacing w:after="0" w:line="480" w:lineRule="auto"/>
        <w:ind w:firstLine="720"/>
      </w:pPr>
      <w:r>
        <w:rPr>
          <w:rFonts w:ascii="Courier New" w:cs="Courier New" w:eastAsia="Courier New" w:hAnsi="Courier New"/>
          <w:b/>
          <w:bCs/>
          <w:color w:val="000000"/>
          <w:sz w:val="22"/>
          <w:szCs w:val="22"/>
        </w:rPr>
        <w:t xml:space="preserve">amazon/chronos-bolt-small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, contexto 512, cuantil 0,5, cero entrenamiento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(D12).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Es un modelo de series temporales preentrenado que se usa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zero-shot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: no ve ni una vela de nuestro conjunto de entrenamiento. Eso lo hace determinista —cinco semillas dan idéntico— y explica por qué su fila del protocolo no lleva rango.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De las 1 959 filas de validación,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0 quedaron sin historia suficiente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para el contexto de 512, así que la cifra no está calculada sobre un subconjunto cómodo.</w:t>
      </w:r>
    </w:p>
    <w:p>
      <w:pPr>
        <w:keepNext/>
        <w:spacing w:after="0" w:before="240" w:line="48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Tabla —</w:t>
      </w:r>
    </w:p>
    <w:p>
      <w:pPr>
        <w:keepNext/>
        <w:spacing w:after="60" w:line="480" w:lineRule="auto"/>
      </w:pP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Tabla sin pie en el original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F1 macro</w:t>
            </w:r>
          </w:p>
        </w:tc>
        <w:tc>
          <w:tcPr>
            <w:tcW w:type="dxa" w:w="234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Precisión Direccional</w:t>
            </w:r>
          </w:p>
        </w:tc>
        <w:tc>
          <w:tcPr>
            <w:tcW w:type="dxa" w:w="234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Exactitud</w:t>
            </w:r>
          </w:p>
        </w:tc>
      </w:tr>
      <w:tr>
        <w:tc>
          <w:tcPr>
            <w:tcW w:type="dxa" w:w="234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Chronos-Bolt</w:t>
            </w:r>
          </w:p>
        </w:tc>
        <w:tc>
          <w:tcPr>
            <w:tcW w:type="dxa" w:w="234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0,368589</w:t>
            </w:r>
          </w:p>
        </w:tc>
        <w:tc>
          <w:tcPr>
            <w:tcW w:type="dxa" w:w="234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0,093264</w:t>
            </w:r>
          </w:p>
        </w:tc>
        <w:tc>
          <w:tcPr>
            <w:tcW w:type="dxa" w:w="234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0,830015</w:t>
            </w:r>
          </w:p>
        </w:tc>
      </w:tr>
    </w:tbl>
    <w:p>
      <w:pPr>
        <w:spacing w:after="240"/>
      </w:pPr>
    </w:p>
    <w:p>
      <w:pPr>
        <w:pStyle w:val="Heading1"/>
        <w:keepNext/>
        <w:spacing w:after="0" w:before="0" w:line="48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Pruebas de Detección: Sintética, de Entrenamiento y en Tiempo Real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Autor: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Fabrizio Espinoza (M0) ·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Fuente del material: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docs/evidencias/pruebas-deteccion.json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D21 ·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Todas las cifras salen de </w:t>
      </w:r>
      <w:r>
        <w:rPr>
          <w:rFonts w:ascii="Courier New" w:cs="Courier New" w:eastAsia="Courier New" w:hAnsi="Courier New"/>
          <w:b/>
          <w:bCs/>
          <w:color w:val="000000"/>
          <w:sz w:val="22"/>
          <w:szCs w:val="22"/>
        </w:rPr>
        <w:t xml:space="preserve">docs/evidencias/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El enunciado pide, en las semanas 3 y 4,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pruebas de detección con datos sintéticos, de entrenamiento y en tiempo real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Son tres; aquí hay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cuatro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porque la sintética se partió en dos: una que prueba el etiquetador solo y otra que prueba el circuito completo. Sin esa separación, un fallo en la sintética no dice dónde está el problema.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Cada prueba tiene su criterio escrito antes de correrla.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Están en el propio archivo de evidencia, en el campo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criterio_preregistrado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no en un documento aparte donde se pudieran ajustar después.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4.1 Qué demuestra cada una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Las cuatro no son cuatro intentos de lo mismo: cada una puede fallar por una razón que las otras no verían.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4.2 Prueba 1 · El etiquetador, sobre una serie construida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Qué prueba.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Que el etiquetador recupera los vértices que se plantaron a propósito, en una serie sin ruido y con los vértices separados más de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w + 1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de modo que cada uno sea un extremo estricto.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Criterio fijado antes: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recuperación del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100 %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Con una serie construida así, fallar uno solo significa que algo está corrido.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El criterio es exigente a propósito: aquí no hay lugar para «casi». Si el etiquetador se saltara uno, todas las etiquetas del proyecto estarían desplazadas y ninguna métrica posterior significaría nada.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4.3 Prueba 2 · El circuito completo, sobre datos sintéticos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Qué prueba.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Que el circuito entero —características, partición, modelo— detecta los giros de una serie construida,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pasando por el mismo canal que los datos reales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Criterio fijado antes: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el bosque tiene que superar al baseline aleatorio en el F1 de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las dos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clases extremas. Con un guardarraíl explícito: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no basta con que sea mayor que cero.</w:t>
      </w:r>
    </w:p>
    <w:p>
      <w:pPr>
        <w:keepNext/>
        <w:spacing w:after="0" w:before="240" w:line="48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Tabla 6</w:t>
      </w:r>
    </w:p>
    <w:p>
      <w:pPr>
        <w:keepNext/>
        <w:spacing w:after="60" w:line="480" w:lineRule="auto"/>
      </w:pP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Prueba 2, sobre serie sintética.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Observaciones</w:t>
            </w:r>
          </w:p>
        </w:tc>
        <w:tc>
          <w:tcPr>
            <w:tcW w:type="dxa" w:w="468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3 000</w:t>
            </w:r>
          </w:p>
        </w:tc>
      </w:tr>
      <w:tr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Giros plantados</w:t>
            </w:r>
          </w:p>
        </w:tc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187</w:t>
            </w:r>
          </w:p>
        </w:tc>
      </w:tr>
      <w:tr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Giros recuperados</w:t>
            </w:r>
          </w:p>
        </w:tc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187</w:t>
            </w:r>
          </w:p>
        </w:tc>
      </w:tr>
      <w:tr>
        <w:tc>
          <w:tcPr>
            <w:tcW w:type="dxa" w:w="468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Recuperación</w:t>
            </w:r>
          </w:p>
        </w:tc>
        <w:tc>
          <w:tcPr>
            <w:tcW w:type="dxa" w:w="468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1,0</w:t>
            </w:r>
          </w:p>
        </w:tc>
      </w:tr>
    </w:tbl>
    <w:p>
      <w:pPr>
        <w:spacing w:after="240"/>
      </w:pP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Que el azar dé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0,0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en las dos clases extremas es lo esperable: acertar un extremo por casualidad en una serie limpia es muy improbable. Lo informativo es que el bosque no dé cero.</w:t>
      </w:r>
    </w:p>
    <w:p>
      <w:pPr>
        <w:spacing w:after="0" w:line="480" w:lineRule="auto"/>
        <w:ind w:left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Por qué el guardarraíl.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«Mayor que cero» aprueba a un modelo que acierta un extremo de quinientos. El criterio exige superar al azar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de la misma corrida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que es un piso que se mueve con los datos en vez de un número fijo elegido por conveniencia.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4.4 Prueba 3 · Sobre el bloque de entrenamiento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Qué prueba.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Que el modelo detecta sobre datos reales.</w:t>
      </w:r>
    </w:p>
    <w:p>
      <w:pPr>
        <w:keepNext/>
        <w:spacing w:after="0" w:before="240" w:line="48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Tabla 7</w:t>
      </w:r>
    </w:p>
    <w:p>
      <w:pPr>
        <w:keepNext/>
        <w:spacing w:after="60" w:line="480" w:lineRule="auto"/>
      </w:pP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Prueba 3, sobre entrenamiento (9 165 velas etiquetadas).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Métrica</w:t>
            </w:r>
          </w:p>
        </w:tc>
        <w:tc>
          <w:tcPr>
            <w:tcW w:type="dxa" w:w="312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Bosque</w:t>
            </w:r>
          </w:p>
        </w:tc>
        <w:tc>
          <w:tcPr>
            <w:tcW w:type="dxa" w:w="312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Azar</w:t>
            </w:r>
          </w:p>
        </w:tc>
      </w:tr>
      <w:tr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F1 macro</w:t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0,540146</w:t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0,308567</w:t>
            </w:r>
          </w:p>
        </w:tc>
      </w:tr>
      <w:tr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F1 máximo</w:t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0,411765</w:t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0,0</w:t>
            </w:r>
          </w:p>
        </w:tc>
      </w:tr>
      <w:tr>
        <w:tc>
          <w:tcPr>
            <w:tcW w:type="dxa" w:w="312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F1 mínimo</w:t>
            </w:r>
          </w:p>
        </w:tc>
        <w:tc>
          <w:tcPr>
            <w:tcW w:type="dxa" w:w="312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0,333333</w:t>
            </w:r>
          </w:p>
        </w:tc>
        <w:tc>
          <w:tcPr>
            <w:tcW w:type="dxa" w:w="312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0,0</w:t>
            </w:r>
          </w:p>
        </w:tc>
      </w:tr>
    </w:tbl>
    <w:p>
      <w:pPr>
        <w:spacing w:after="240"/>
      </w:pP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Y aquí hay que ser explícito, porque es la cifra más alta del informe y la que menos vale.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La advertencia está en el propio archivo de evidencia:</w:t>
      </w:r>
    </w:p>
    <w:p>
      <w:pPr>
        <w:spacing w:after="0" w:line="480" w:lineRule="auto"/>
        <w:ind w:left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Un resultado alto aquí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NO es evidencia de que el modelo sirva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: es lo esperable de un modelo que vio estas etiquetas. Lo informativo sería un resultado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bajo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que indicaría que el problema está antes del ajuste.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O sea: esta prueba solo tiene valor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si falla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Un 0,95 en entrenamiento no dice que el modelo detecte puntos de inflexión; dice que el circuito puede aprender cuando se le dan las respuestas. Si hubiera salido 0,4, sabríamos que el problema no está en el modelo sino en las características o en las etiquetas.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El enunciado la pide, y se reporta con esa advertencia al lado. Una tabla con 0,953353 sin ese párrafo sería el número más engañoso del documento.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4.5 Prueba 4 · Tiempo real, y por qué es la única que busca fuga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Las tres anteriores procesan un bloque entero de datos de una vez. Esta alimenta el sistema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vela a vela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como funcionaría en producción.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Criterio fijado antes: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las predicciones vela a vela tienen que ser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idénticas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a las del bloque. Cualquier discrepancia significa que algo usa información de filas posteriores —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fuga que las otras tres pruebas no pueden ver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porque todas tienen el bloque completo disponible.</w:t>
      </w:r>
    </w:p>
    <w:p>
      <w:pPr>
        <w:keepNext/>
        <w:spacing w:after="0" w:before="240" w:line="48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Tabla 8</w:t>
      </w:r>
    </w:p>
    <w:p>
      <w:pPr>
        <w:keepNext/>
        <w:spacing w:after="60" w:line="480" w:lineRule="auto"/>
      </w:pP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Prueba 4, tiempo real.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Métrica</w:t>
            </w:r>
          </w:p>
        </w:tc>
        <w:tc>
          <w:tcPr>
            <w:tcW w:type="dxa" w:w="312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Bosque</w:t>
            </w:r>
          </w:p>
        </w:tc>
        <w:tc>
          <w:tcPr>
            <w:tcW w:type="dxa" w:w="312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Azar</w:t>
            </w:r>
          </w:p>
        </w:tc>
      </w:tr>
      <w:tr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F1 macro</w:t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0,953353</w:t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0,331638</w:t>
            </w:r>
          </w:p>
        </w:tc>
      </w:tr>
      <w:tr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F1 máximo</w:t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0,961098</w:t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312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F1 mínimo</w:t>
            </w:r>
          </w:p>
        </w:tc>
        <w:tc>
          <w:tcPr>
            <w:tcW w:type="dxa" w:w="312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0,906414</w:t>
            </w:r>
          </w:p>
        </w:tc>
        <w:tc>
          <w:tcPr>
            <w:tcW w:type="dxa" w:w="312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—</w:t>
            </w:r>
          </w:p>
        </w:tc>
      </w:tr>
    </w:tbl>
    <w:p>
      <w:pPr>
        <w:spacing w:after="240"/>
      </w:pP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Cero discrepancias sobre 500 velas es la evidencia más fuerte del informe de que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el circuito no mira hacia adelante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No es una revisión de código ni un argumento: es una comprobación que fallaría si hubiera fuga.</w:t>
      </w:r>
    </w:p>
    <w:p>
      <w:pPr>
        <w:pStyle w:val="Heading3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La cola sin confirmar, y por qué se muestra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Esta prueba mide algo más, que no es un defecto sino una propiedad del problema.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Como la etiqueta necesita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w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velas posteriores, una predicción hecha en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t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no se puede confirmar hasta </w:t>
      </w:r>
      <w:r>
        <w:rPr>
          <w:rFonts w:ascii="Courier New" w:cs="Courier New" w:eastAsia="Courier New" w:hAnsi="Courier New"/>
          <w:b/>
          <w:bCs/>
          <w:color w:val="000000"/>
          <w:sz w:val="22"/>
          <w:szCs w:val="22"/>
        </w:rPr>
        <w:t xml:space="preserve">t + 8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— ocho velas de 4 horas, o sea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32 horas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Al final de la serie quedan siempre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8 predicciones sin confirmar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La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D21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decide qué hacer con ellas: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se muestran, marcadas como pendientes.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El argumento está en el archivo de evidencia:</w:t>
      </w:r>
    </w:p>
    <w:p>
      <w:pPr>
        <w:spacing w:after="0" w:line="480" w:lineRule="auto"/>
        <w:ind w:left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En producción el sistema está parado al final de la serie, y las últimas 8 velas todavía no tienen etiqueta real. La D21 obliga a mostrarlas igual, marcadas como pendientes, porque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ocultarlas haría parecer el sistema mejor de lo que es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Es una decisión de honestidad de producto: esconder lo que aún no se sabe deja una vista donde todo lo mostrado parece verificado. La aplicación las declara.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4.6 Lo que las cuatro juntas permiten decir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Que el circuito es correcto.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El etiquetador no está corrido, el canal detecta cuando hay algo que detectar, el modelo aprende cuando ve las respuestas, y no hay fuga temporal.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Y nada sobre si el sistema sirve.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Ninguna de las cuatro mide rendimiento sobre datos no vistos. Eso es la sección 5, y da números mucho más modestos que el 0,953353 de la prueba 3.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Esa distinción —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«corre» y «funciona» no son lo mismo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— es la razón por la que estas pruebas están antes que las métricas y no después.</w:t>
      </w:r>
    </w:p>
    <w:p>
      <w:pPr>
        <w:keepNext/>
        <w:spacing w:after="0" w:before="240" w:line="48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Tabla —</w:t>
      </w:r>
    </w:p>
    <w:p>
      <w:pPr>
        <w:keepNext/>
        <w:spacing w:after="60" w:line="480" w:lineRule="auto"/>
      </w:pP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Tabla sin pie en el original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Velas simuladas</w:t>
            </w:r>
          </w:p>
        </w:tc>
        <w:tc>
          <w:tcPr>
            <w:tcW w:type="dxa" w:w="468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500</w:t>
            </w:r>
          </w:p>
        </w:tc>
      </w:tr>
      <w:tr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Predicciones idénticas</w:t>
            </w:r>
          </w:p>
        </w:tc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sí</w:t>
            </w:r>
          </w:p>
        </w:tc>
      </w:tr>
      <w:tr>
        <w:tc>
          <w:tcPr>
            <w:tcW w:type="dxa" w:w="468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Discrepancias</w:t>
            </w:r>
          </w:p>
        </w:tc>
        <w:tc>
          <w:tcPr>
            <w:tcW w:type="dxa" w:w="468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0</w:t>
            </w:r>
          </w:p>
        </w:tc>
      </w:tr>
    </w:tbl>
    <w:p>
      <w:pPr>
        <w:spacing w:after="240"/>
      </w:pPr>
    </w:p>
    <w:p>
      <w:pPr>
        <w:pStyle w:val="Heading1"/>
        <w:keepNext/>
        <w:spacing w:after="0" w:before="0" w:line="48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Conclusiones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Lo que la Semana 3 deja demostrado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El circuito es correcto y no tiene fuga.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Es la conclusión mejor respaldada de esta entrega. El etiquetador recupera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187 de 187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vértices plantados en una serie construida; el sistema alimentado vela a vela produce predicciones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idénticas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a las del bloque completo sobre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500 velas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con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cero discrepancias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Esa última prueba es la única de las cuatro capaz de detectar que algo mire filas posteriores —las otras tres tienen el bloque entero disponible— y no lo detectó.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El modelo fundacional está entrenado y medido.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Chronos-Bolt es </w:t>
      </w: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zero-shot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: no se entrena sobre estos datos. Eso lo hace barato y reproducible, y a la vez limita lo que puede aprender del problema concreto.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Lo que la Semana 3 no demuestra, y conviene decirlo antes de que se lea de más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Nada sobre si el sistema sirve.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Ninguna de las cuatro pruebas mide rendimiento sobre datos no vistos. La comparación entre modelos llega en la Semana 4 y la medición sobre el bloque de prueba en la 5.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Y la cifra más alta de esta entrega es la menos informativa.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El F1 macro de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0,953353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sobre el bloque de entrenamiento es lo esperable de un modelo que vio esas etiquetas. Esa prueba solo tiene valor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si falla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: un resultado bajo indicaría que el problema está antes del ajuste, en las características o en las etiquetas. Que salga alto no dice que el modelo detecte puntos de inflexión.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Se reporta con esa advertencia al lado porque una tabla con 0,953353 sin ese párrafo sería el número más engañoso del documento.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Una decisión de producto que se toma en esta semana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La prueba de tiempo real mide algo que no es un defecto sino una propiedad del problema: como la etiqueta necesita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w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velas posteriores, una predicción hecha ahora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no se puede confirmar hasta 32 horas después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Al final de la serie quedan siempre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8 predicciones sin confirmar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Se decidió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mostrarlas, marcadas como pendientes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Ocultarlas dejaría una vista donde todo lo mostrado parece verificado, y haría parecer el sistema mejor de lo que es.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Lo que sigue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La Semana 4 desarrolla el modelo avanzado y compara los tres —clásico, fundacional y avanzado— sobre el mismo bloque de validación y con el mismo arnés. La Semana 5 mide una sola vez sobre el bloque de prueba, con el protocolo escrito de antemano.</w:t>
      </w:r>
    </w:p>
    <w:p>
      <w:r>
        <w:br w:type="page"/>
      </w:r>
    </w:p>
    <w:p>
      <w:pPr>
        <w:pStyle w:val="Heading1"/>
        <w:keepNext/>
        <w:spacing w:after="0" w:before="0" w:line="48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Referencias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[PENDIENTE — no se encontraron referencias en las secciones.]</w:t>
      </w:r>
    </w:p>
    <w:sectPr>
      <w:headerReference w:type="default" r:id="rId7"/>
      <w:pgSz w:w="12240" w:h="15840" w:orient="portrait"/>
      <w:pgMar w:top="1440" w:right="1440" w:bottom="1440" w:left="1440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Times New Roman" w:cs="Times New Roman" w:eastAsia="Times New Roman" w:hAnsi="Times New Roman"/>
        <w:color w:val="000000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000000"/>
        <w:sz w:val="24"/>
        <w:szCs w:val="24"/>
      </w:rPr>
    </w:rPrDefault>
    <w:pPrDefault>
      <w:pPr>
        <w:spacing w:line="48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0" w:before="0" w:line="480"/>
      <w:jc w:val="center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spacing w:after="0" w:before="0" w:line="480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0" w:before="0" w:line="480"/>
    </w:pPr>
    <w:rPr>
      <w:rFonts w:ascii="Times New Roman" w:cs="Times New Roman" w:eastAsia="Times New Roman" w:hAnsi="Times New Roman"/>
      <w:b/>
      <w:bCs/>
      <w:i/>
      <w:i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Marco Teórico — Series de Tiempo y Criptoactivos</dc:title>
  <dc:creator>Equipo Caso N.º 1</dc:creator>
  <dc:description>Primera entrega del Caso N.º 1, Señales y Sistemas</dc:description>
  <cp:lastModifiedBy>Un-named</cp:lastModifiedBy>
  <cp:revision>1</cp:revision>
  <dcterms:created xsi:type="dcterms:W3CDTF">2026-09-07T21:06:12.223Z</dcterms:created>
  <dcterms:modified xsi:type="dcterms:W3CDTF">2026-09-07T21:06:12.223Z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