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Litecoin (LTC) mediante Análisis Multivariante de Series Temporales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Marco Teórico: Series de Tiempo y Criptoactivos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Alejandro Zamora, Fabrizio Espinoza Arce, Isaac Morun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 Jose Pablo Monestel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Tecnologías de la Información y Comunicación Empresarial,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Universidad Invenio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Señales y Sistemas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Prof. Roberto Calvo Arias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 de agosto de 2026</w:t>
      </w:r>
    </w:p>
    <w:p>
      <w:r>
        <w:br w:type="page"/>
      </w:r>
    </w:p>
    <w:p>
      <w:pPr>
        <w:keepNext/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 Litecoin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entrega cubre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Semana 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enunciado: el desarrollo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 avanzado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—un Transformer— y las mismas pruebas de detección, ahora sobre él.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entrega por separado, como avance propio, además de estar integrada en el informe final.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Qué se entrega esta semana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semana añade a la anterior, y por qué el orden importa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3 demostró que el circuito es correcto. Esta semana lo usa para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comparar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una pregunta distinta y más difícil.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Comparar exige tres cosas que no son negociables, y las tres estaban decididas antes de medir: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misma partición y el mismo arnés para todos.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 resultado obtenido fuera del arnés de evaluación no entra al documento. Si dos modelos se miden con particiones distintas, la comparación mide la partición y no los modelos. 2.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 piso obligatorio.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Todos los modelos se comparan contra un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baseline_aleatorio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solo entre ellos. Sin ese piso, «el Transformer alcanza 0,35 de F1 macro» no significa nada. 3.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Intervalos, no medias sueltas.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Una diferencia entre dos modelos puede venir de que uno sea mejor o de qué velas cayeron en el bloque. El remuestreo pareado separa las dos cosas.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capítulo de características va primero, y no es relleno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modelo avanzado recibe las mismas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63 columnas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clásico. Qué son esas columnas —y sobre todo qué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son— condiciona lo que cualquier modelo puede aprender, así que el capítulo va antes que la comparación.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punto que más importa de ese capítulo: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no ve el precio.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63 columnas es un nivel de precio. Y no se hizo bien de entrada: hubo 24 columnas de precio rezagado en nivel, que en una serie con tendencia funcionan como un indicador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cuándo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está mirando en vez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qué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está mirando. El cambio a variación relativa está medido, con intervalo que excluye el cero.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entrega permite afirmar, y lo que 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Permite afirmar cuál de los tres modelos es mejor sobre validación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el criterio fijado de antemano. El resultado no es el que el enunciado sugiere esperar, y se reporta tal cual.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permite afirmar rendimiento sobre datos no vistos.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validación se tomaron decisiones —se compararon modelos y se eligió— y por eso mismo esas cifras no son una estimación honesta de lo que haría el sistema con datos nuevos. Esa medición es la Semana 5, y se hace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una sola vez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Ingeniería de Características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Alejandro Zamora (M2)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docs/07-importancia-caracteristicas.md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docs/06-aporte-multivariante.md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D5, D6, D16, D20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modelo recibe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63 columnas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construidas por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src/features/base.py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Esta sección dice qué son, por qué ninguna es precio crudo, cuáles el modelo usa de verdad, y qué no se puede afirmar sobre ellas.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2.1 Las seis familias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Ninguna familia se eligió por costumbre: los órdenes de rezago salen de medir la autocorrelación y la correlación cruzada (S1-M2-04), y la ventana de los indicadores está fijada por el contrato —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velas de 4 horas— para que ninguna columna use información posterior 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2.2 Cero columnas en nivel de precio, y lo que costó llegar ahí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no ve el precio.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 verifiqué de dos formas sobre el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hoy: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 columnas construidas                                63 rezagos en nivel de precio (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_rezago_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 sin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_rel_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)   0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dos únicas columnas cuya magnitud supera la decena son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LTC_rsi_14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—acotado entre 0 y 100 por definición— y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LTC_curtosis_retornos_20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 cuarto momento y no tiene cota superior.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Ninguna de las dos es un nivel de precio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ninguna columna alcanza el orden de magnitud en que cotiza LTC en el período.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no se hizo bien de entrada.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Hasta el PR #58 había 24 columnas de precio rezagado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en nivel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en una serie con tendencia funcionan como un indicador de posición dentro de la serie y no como una señal: el modelo puede aprender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cuándo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 mirando en vez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qué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 mirando. Se cambiaron a variación relativa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p(t−k)/p(t) − 1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(D6).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 que compró ese cambio está medido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remuestreo pareado sobre las mismas filas de validación: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 bosque con rezagos relativos  vs  bosque con rezagos en nivel diferencia   +0,046191 IC 95 %      [+0,014060 , +0,080520]      excluye el cero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Y el efecto sobre lo que el proyecto puede afirmar es más grande que ese número: con rezagos en nivel, el bosque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distinguía del azar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(+0,007522, IC [−0,025712, +0,039088], incluye el cero); con rezagos relativos sí (+0,053714, IC [+0,013658, +0,092854]).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decir: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representación no mejoró un modelo que ya funcionaba — es lo que hizo que hubiera un resultado que reportar.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2.3 Qué usa el modelo, medido por permutación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importancia que devuelve el bosque se calcula sobre entrenamiento y favorece a las variables de alta cardinalidad: describe de qué se colgó el modelo para ajustar lo que ya vio. La pregunta útil es otra —si el modelo necesita la columna para predecir lo que no vio—, y se responde permutando la columna 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validación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midiendo cuánto cae el F1 macro.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dos ordenaciones coinciden en lo grueso y no en el detalle: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correlación de rangos de Spearman 0,6086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Elegir una u otra cambia qué columnas se conservarían.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Las cinco columnas de mayor caída (F1 macro base: 0,390498).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Familia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mide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Rezagos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Variación relativa del cierre a 1–7 velas, de los seis activos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Retornos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Retornos a 1 y 3 velas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Indicadores técnicos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RSI, MACD, Bollinger, distancia a medias móviles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Correlación cruzada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Correlación móvil de LTC contra cada activo de apoyo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deslizante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Posición dentro del rango, rango relativo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Volatilidad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Desviación móvil de los retornos</w:t>
            </w:r>
          </w:p>
        </w:tc>
      </w:tr>
    </w:tbl>
    <w:p>
      <w:pPr>
        <w:spacing w:after="240"/>
      </w:pP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3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Agregado por familia.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Caída media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LTC_posicion_rango_7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0,0422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LTC_dist_sma_7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0,0343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ADA_cierre_rezago_rel_5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0,0258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LTC_cierre_rezago_rel_5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0,0255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LTC_cierre_rezago_rel_6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0,0224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Ventana deslizante es la familia más eficiente por columna: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cuatro columnas, y la mayor caída de todas.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2.4 El piso de ruido: qué hace que la tabla signifique algo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Una tabla de importancias sin piso no se puede leer. Una caída de 0,004 puede ser información o puede ser lo que da cualquier columna al permutarla.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el experimento añade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cinco columnas centinela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—ruido puro, con semilla fija— y mide su caída con el mismo procedimiento.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piso es la mayor de las cinco: 0,006500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centinela_ruido_3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 ese piso,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46 de las 63 columnas lo superan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17 no.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propio experimento cuantifica lo que cuestan las columnas que no informan. Añadir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cinco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centinelas casi no mueve el modelo —F1 macro 0,389590 contra 0,390498 del real—, pero con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quince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modelo auxiliar sí se degrada: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0,366391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420 ejemplos de la clase minoritaria, cada columna que no aporta es superficie de sobreajuste (RF-F4).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citan las dos cifras y no su resta a propósito: una diferencia calculada en prosa es un valor derivado sin evidencia propia, que es lo que el equipo acordó no hacer.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2.5 Recortar las 17: medido, no opinado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tabla dice de qué se apoya el modelo.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dice qué pasa si se le quitan las que no usa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eso hay que entrenarlo. Se entrenó, con las 63 y con las 46, sobre cinco semillas: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4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Efecto de quitar las 17 que no superan el piso.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Familia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Caída total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Máxima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Mediana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Rezagos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0,2773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0,0258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0,0105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Retornos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0,1287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0,0195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0,0083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Indicadores técnicos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10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0,1218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0,0343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0,0098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deslizante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0,0700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0,0422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0,0109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Correlación cruzada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0,0386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0,0147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0,0077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Volatilidad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0,0242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0,0103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0,0081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Mejora en las cinco y el signo nunca cambia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la condición de la D16 y la que en el análisis multivariante no se cumplió.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Dos precisiones que el informe tiene que hacer explícitas: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+0,0051 está por debajo del umbral de decisión del equipo (0,02).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Por la D5 esto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autoriza a decir que el modelo recortado sea mejor. Autoriza a decir que quitarlas no cuesta nada y que el signo es consistente. 2.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argumento principal no es el +0,0051, es la superficie de sobreajuste.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+0,0051 es la confirmación de que recortar no daña, no la razón para recortar.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2.6 La tensión con el resultado multivariante, y por qué no es una contradicción</w:t>
      </w:r>
    </w:p>
    <w:p>
      <w:pPr>
        <w:spacing w:after="0" w:line="480" w:lineRule="auto"/>
        <w:ind w:firstLine="720"/>
      </w:pP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ADA_cierre_rezago_rel_5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aparece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tercera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la tabla de importancias, y otros cuatro activos de apoyo están en el top 15. Y sin embargo quitar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activos de apoyo no cambia el resultado de forma distinguible: diferencia media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+0,00078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el signo cambiando en 2 de 5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 cosas son ciertas, y miden preguntas distintas: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Permutar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pregunta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«¿de qué depende este modelo ya ajustado?»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Respuesta: entre otras cosas, del rezago 5 de ADA.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Ablacionar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pregunta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«¿qué pasa si entreno sin esa familia?»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Respuesta: nada apreciable.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explicación es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redundancia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está medida (D20): los quince pares entre los seis activos correlacionan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+0,5175 a +0,8300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hay ninguna relación inversa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Si el rezago de ADA está, el modelo lo usa; si no está, usa el de LTC y llega parecido.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Permutar mide dependencia; ablacionar mide información única.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la misma razón por la que no superar el piso no prueba que una columna sea inútil: con columnas correlacionadas, la permutación reparte el crédito entre ellas y subestima a las dos.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2.7 Lo que esta sección no puede afirmar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las 17 descartadas sean inútiles.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 medido es que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esta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medición no las distingue del ruido, sobre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este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modelo y con 1 959 velas de validación.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las 46 sean las mejores 46 posibles.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No se probó ningún otro corte. El piso de ruido es un criterio defendible, no un óptimo.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el orden columna por columna sea estable.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Varias caídas medias están dentro de una desviación de sus vecinas: lo estable es la separación entre bloques, no el puesto exacto.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Reproducibilidad.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Todo sale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uv run python -m src.features.importancia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deja el JSON, el CSV y la figura. El guion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escribe nada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el bosque no reproduce antes el F1 macro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0.390497720487045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M3 y M2 midieron por separado con código distinto.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Semilla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63 columnas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46 columnas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Diferencia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0,3905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0,3936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+0,0031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0,3739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0,3751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+0,0012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0,3814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0,3852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+0,0038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0,3854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0,3898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+0,0044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0,3737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0,3865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+0,0128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media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+0,005063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Modelo Avanzado: iTransformer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iTransformer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iTransformer, lookback 96, dimensión 64, profundidad 2, 8 épocas.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la arquitectura que atiende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series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entre instantes, que es justamente la propiedad que interesa cuando se tienen seis activos.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Por qué no es Informer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nombraba a los dos.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Informer no se pudo instalar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eso está medido y no supuesto: la ruta obvia era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neuralforecast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trae los dos, y su resolución falla en este proyecto porque depende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ray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publica ruedas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la versión de Python que el proyecto fija — el resolutor las busca con la etiqueta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cp314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win_amd64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solo encuentra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cp310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cp313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Queda registrado en la D14 con la salida literal del resolutor.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Lo que cuesta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Cabe con holgura de dos órdenes de magnitud.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avanzado no fracasa por falta de presupuesto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conviene decirlo antes de mostrar sus cifras.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Ese valor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una corrida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El modelo se entrena, así que la cifra comparable es la media de cinco semillas: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0,342604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un rango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0,023207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La tabla del protocolo declara la media, no la corrida.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no se ajustaron hiperparámetros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dos rejillas se corrieron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 concluyeron que no hay de dónde mejorar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En los dos casos la regla estaba escrita antes de mirar el resultado.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Fundacional — 18 celdas.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mejor da 0,387269 contra los 0,368589 de la configuración por omisión. Esa ganancia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+0,018680 tiene un intervalo de [−0,017599 , 0,059620]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incluye el cero: no se distingue del efecto de haber elegido el máximo de la rejilla mirando el mismo bloque de validación con el que se elige.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Avanzado — 6 celdas.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Aquí la regla la había fijado la D15 de antemano, y se disparó: la dispersión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semillas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dentro de una celda, 0,026073,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supera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dispersión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celdas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0,020981. La rejilla no está distinguiendo configuraciones, está midiendo ruido de entrenamiento. La ganancia media del ajuste es +0,001567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cambia de signo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favorece a 3 de 5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En los dos casos queda la configuración por omisión.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 un resultado negativo y es información: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dice que el margen de este problema no está en los hiperparámetros.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Precisión Direccional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Exactitud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iTransformer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0,345706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0,077720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0,805513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Rendimiento Comparado y Lo Que No se Puede Afirmar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Rendimiento sobre validación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exactitud del baseline trivial es la más alta de la tabla.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Predecir siempre Continuidad acierta el 90,148 % de las veces y no detecta ni un solo giro. Por eso la métrica que decide es el F1 macro y no la exactitud — y por eso el informe pone el F1 como número grande.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Las comparaciones que deciden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Remuestreo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pareado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1 000 remuestras: las dos predicciones se remuestrean sobre las mismas filas, porque los dos modelos aciertan y fallan sobre las mismas velas.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 que esto dice, en orden de incomodidad: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Ninguno de los dos modelos profundos supera al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baseline_aleatorio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forma distinguible. Le ganan en la media y el intervalo incluye el cero.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iTransformer queda por debajo del bosque en las cinco semillas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0,345357 de media contra 0,380975 del bosque. El intervalo pareado de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esta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corrida excluye el cero, pero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ese intervalo no se reproduce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el ensayo en seco volvió a medirlo y dio [−0,081366 , 0,003154]. Lo que sostiene esta fila es el signo estable en las cinco, no el intervalo de una corrida — ver la sección 6 y la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D25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Entre fundacional y avanzado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distingue nada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Por la D5, cuando el margen y su intervalo discrepan manda el intervalo, así que se prefiere el más simple: el fundacional, que ni se entrena.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no se puede afirmar, y por qué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Los activos de apoyo sí aportan al avanzado — y el matiz importa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informe declara como limitación que los activos de apoyo no aportan de forma distinguible.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Eso se midió sobre el bosque, y sobre el avanzado da distinto.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No es una generalización que convenga hacer, porque la arquitectura elegida existe justamente para atender entre series.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D14 —mía— había concluido lo contrario, y la D24 corrige esa lectura sin reescribirla: la D14 respondió una pregunta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distinguibilidad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el umbral de la D5, que es una convención para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elegir entre configuraciones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La sección 5 del protocolo ya decía que ese umbral no aplica a esta clase de pregunta.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Media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+0,010319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mínima +0,002834, máxima +0,024755,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signo no cambia en ninguna de las cinco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Un barrido independiente lo repitió: positivo otra vez en las cinco, con el completo en 0,345357 de media contra 0,330523 del que usa solo LTC.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aun así no se puede afirmar que el aporte sea distinguible.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segunda condición de la D16 —que el intervalo pareado excluya el cero—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reproduce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la corrida comprometida dio [0,000434 , 0,044067] y el ensayo en seco [−0,001736 , 0,045490]. El límite de la primera vivía a menos de una milésima del cero. Está en la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D25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decidido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tocar el bloque de prueba.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Lo que sí sostiene el signo: el ruido de punto flotante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tiene signo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las cinco semillas caen del mismo lado en dos barridos independientes. Si no hubiera efecto, que las cinco coincidan tiene probabilidad 1 en 16. Es evidencia de que algo hay; no alcanza el estándar que el equipo fijó para afirmarlo.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aun así no rescata nada.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iTransformer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cinco activos de apoyo sigue quedando por debajo del bosque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sin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ellos. Las dos frases son ciertas a la vez y hay que decirlas juntas: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Los activos de apoyo aportan al modelo avanzado de forma consistente, y el aporte es pequeño. La D20 explica por qué: los seis son fuertemente proporcionales entre sí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hay ninguna relación inversa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lo que traen es en buena parte lo que LTC ya tenía.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 dispersión no es pareja, y es peor donde más importa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seis métricas que publica el panel, medidas sobre cinco semillas: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F1 de la clase Máximo recorre más que su propia media.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Una media suelta en esa columna no significa gran cosa, y por eso las tres métricas por clase se reportan siempre con su rango. Sobre el bloque de prueba será peor: tiene 86 ejemplos por clase extrema, contra los 94 de validación.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El puente amplifica diferencias que no deberían importar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Dos procesos con la misma semilla no dan el mismo número.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diferencias en la pérdida son del orden de 10⁻¹¹ —orden de reducción en punto flotante de la CPU— y aun así mueven el F1 de forma visible.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causa no está en el modelo sino en el puente: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etiquetar()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decide con desigualdades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estrictas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sobre una trayectoria pronosticada casi plana una diferencia mínima alcanza para voltear la etiqueta. Está registrado en la D15, y es la razón por la que ninguna cifra del avanzado se reporta como valor puntual.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Cómo se regenera cada cifra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```bash uv sync --group dev --group modelos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uv run python -m src.modelos.experimento --con-fundacional --con-avanzado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uv run python -m src.modelos.sensibilidad_avanzado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uv run python -m src.modelos.hiperparametros uv run python -m src.modelos.hiperparametros_avanzado ```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Evidencia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contiene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m3-modelos-profundos-4h-w7-h1.json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Tabla de rendimiento, comparaciones pareadas, costos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m3-sensibilidad-avanzado-completa-4h-w7-h1.json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Seis métricas × cinco semillas × dos variantes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m3-hiperparametros-fundacional-4h-w7-h1.json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Las 18 celdas y la ganancia con su intervalo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m3-hiperparametros-avanzado-4h-w7-h1.json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Las 6 celdas y el veredicto de la D15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m3-inventario-tsfm.json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m3-inventario-avanzado.json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se pudo instalar y qué no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Conclusiones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resultado central de esta semana, sin adornos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Ningún modelo profundo mejora al bosque aleatorio clásico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ninguno de los dos supera al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baseline_aleatorio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 de forma distinguible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bosque clásico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queda primero, con F1 macro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0,390498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precisión direccional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0,103627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Chronos-Bolt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queda 0,021908 por debajo del bosque, con intervalo que incluye el cero: no se distingue de él.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iTransformer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queda por debajo del bosque en las cinco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sugiere que un modelo fundacional y un Transformer son las herramientas para este problema. Medido con el mismo arnés, la misma partición y el mismo piso, no le ganan a un bosque aleatorio.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ese resultado se puede creer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Porque las tres cosas que lo harían dudoso se cerraron antes de medir: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criterio estaba escrito.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Cuando el margen y el intervalo discrepan manda el intervalo, y se prefiere el modelo más simple. Eso se fijó antes de ver la tabla, no después.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piso no se eligió por conveniencia.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modelos se comparan contra el azar de la misma corrida, que se mueve con los datos, y no contra un número fijo.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Los hiperparámetros no se ajustaron buscando el mejor número.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rango entre cinco semillas del modelo avanzado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0,030377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supera el umbral de decisión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0,02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esa dispersión, elegir la mejor celda de una rejilla no selecciona la mejor configuración: selecciona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celda a la que le tocó la semilla más afortunada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Por eso se promedian cinco semillas y se compara de forma pareada.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Una limitación del instrumento, encontrada midiendo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Uno de los intervalos de esta entrega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reproduce entre corridas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Volviendo a medir validación con el mismo código y los mismos datos, el intervalo del contraste entre el iTransformer y el bosque cambió de lado, porque el límite vivía a menos de dos milésimas del cero.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causa está identificada y no es el remuestreo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está sembrado y es determinista dadas las predicciones: lo que se mueve es el iTransformer, que no reproduce entre procesos.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Y el fondo no es fragilidad: el remuestreo pareado resamplea las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condicionando en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 solo sorteo del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Cuando el sorteo del entrenamiento es la fuente dominante de variación, el intervalo de una corrida no es un instrumento frágil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es el instrumento equivocado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decidió qué hacer con eso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tocar el bloque de prueba: donde entre un modelo que no reproduce, el intervalo se reporta pero no decide, y el peso lo lleva la estabilidad del signo entre semillas.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alcance está acotado y medido: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bosque y el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baseline_aleatorio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reproducen bit a bit entre procesos, con la misma huella SHA-256 de las 1 959 predicciones. La comparación de la que depende el veredicto del proyecto no está afectada.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sigue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5 mide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una sola vez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prueba, con el protocolo escrito de antemano y las tres lecturas posibles fijadas antes de ver el número. No hay una segunda corrida.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la expectativa se dice de antemano, para que no se lea como excusa después: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no hay razón para esperar que el bloque de prueba mejore lo de validación. Esperar que datos no vistos favorezcan a un modelo más que los datos con los que se eligió es al revés de como funciona.</w:t>
      </w:r>
    </w:p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Referencias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[PENDIENTE — no se encontraron referencias en las secciones.]</w:t>
      </w:r>
    </w:p>
    <w:sectPr>
      <w:head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480"/>
      <w:jc w:val="center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Un-named</cp:lastModifiedBy>
  <cp:revision>1</cp:revision>
  <dcterms:created xsi:type="dcterms:W3CDTF">2026-09-07T21:06:13.042Z</dcterms:created>
  <dcterms:modified xsi:type="dcterms:W3CDTF">2026-09-07T21:06:13.043Z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