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w:t>
      </w:r>
      <w:r>
        <w:rPr>
          <w:rFonts w:ascii="Times New Roman" w:cs="Times New Roman" w:eastAsia="Times New Roman" w:hAnsi="Times New Roman"/>
          <w:color w:val="000000"/>
          <w:sz w:val="24"/>
          <w:szCs w:val="24"/>
        </w:rPr>
        <w:t xml:space="preserve"> Está demostrado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segunda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Son tres mediciones distintas y conviene no confundirlas:</w:t>
      </w:r>
      <w:r>
        <w:rPr>
          <w:rFonts w:ascii="Times New Roman" w:cs="Times New Roman" w:eastAsia="Times New Roman" w:hAnsi="Times New Roman"/>
          <w:color w:val="000000"/>
          <w:sz w:val="24"/>
          <w:szCs w:val="24"/>
        </w:rPr>
        <w:t xml:space="preserve"> la de arriba —nueve períodos, la más potente—, la del bloque fresco —la más limpia, y la más pequeña— y la del bloque de prueba —</w:t>
      </w:r>
      <w:r>
        <w:rPr>
          <w:rFonts w:ascii="Times New Roman" w:cs="Times New Roman" w:eastAsia="Times New Roman" w:hAnsi="Times New Roman"/>
          <w:b/>
          <w:bCs/>
          <w:color w:val="000000"/>
          <w:sz w:val="24"/>
          <w:szCs w:val="24"/>
        </w:rPr>
        <w:t xml:space="preserve">la única oficial</w:t>
      </w:r>
      <w:r>
        <w:rPr>
          <w:rFonts w:ascii="Times New Roman" w:cs="Times New Roman" w:eastAsia="Times New Roman" w:hAnsi="Times New Roman"/>
          <w:color w:val="000000"/>
          <w:sz w:val="24"/>
          <w:szCs w:val="24"/>
        </w:rPr>
        <w:t xml:space="preserve">, y la que el informe reporta—.</w:t>
      </w:r>
    </w:p>
    <w:p>
      <w:pPr>
        <w:spacing w:after="0" w:line="480" w:lineRule="auto"/>
        <w:ind w:firstLine="720"/>
      </w:pPr>
      <w:r>
        <w:rPr>
          <w:rFonts w:ascii="Times New Roman" w:cs="Times New Roman" w:eastAsia="Times New Roman" w:hAnsi="Times New Roman"/>
          <w:b/>
          <w:bCs/>
          <w:color w:val="000000"/>
          <w:sz w:val="24"/>
          <w:szCs w:val="24"/>
        </w:rPr>
        <w:t xml:space="preserve">Las tres apuntan al mismo lado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C.1).</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 qué se descarga</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De dónde salen,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1.6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Sobre </w:t>
      </w:r>
      <w:r>
        <w:rPr>
          <w:rFonts w:ascii="Times New Roman" w:cs="Times New Roman" w:eastAsia="Times New Roman" w:hAnsi="Times New Roman"/>
          <w:b/>
          <w:bCs/>
          <w:color w:val="000000"/>
          <w:sz w:val="24"/>
          <w:szCs w:val="24"/>
        </w:rPr>
        <w:t xml:space="preserve">este bloque</w:t>
      </w: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 </w:t>
      </w:r>
      <w:r>
        <w:rPr>
          <w:rFonts w:ascii="Times New Roman" w:cs="Times New Roman" w:eastAsia="Times New Roman" w:hAnsi="Times New Roman"/>
          <w:b/>
          <w:bCs/>
          <w:color w:val="000000"/>
          <w:sz w:val="24"/>
          <w:szCs w:val="24"/>
        </w:rPr>
        <w:t xml:space="preserve">Esa lectura cambió al medir con más potencia</w:t>
      </w:r>
      <w:r>
        <w:rPr>
          <w:rFonts w:ascii="Times New Roman" w:cs="Times New Roman" w:eastAsia="Times New Roman" w:hAnsi="Times New Roman"/>
          <w:color w:val="000000"/>
          <w:sz w:val="24"/>
          <w:szCs w:val="24"/>
        </w:rPr>
        <w:t xml:space="preserve">, y hay que decirlo aquí para que la tabla no se lea sola: sobre las 7 311 filas agregadas de los nueve tramos, </w:t>
      </w:r>
      <w:r>
        <w:rPr>
          <w:rFonts w:ascii="Times New Roman" w:cs="Times New Roman" w:eastAsia="Times New Roman" w:hAnsi="Times New Roman"/>
          <w:b/>
          <w:bCs/>
          <w:color w:val="000000"/>
          <w:sz w:val="24"/>
          <w:szCs w:val="24"/>
        </w:rPr>
        <w:t xml:space="preserve">Chronos-Bolt sí supera al azar</w:t>
      </w:r>
      <w:r>
        <w:rPr>
          <w:rFonts w:ascii="Times New Roman" w:cs="Times New Roman" w:eastAsia="Times New Roman" w:hAnsi="Times New Roman"/>
          <w:color w:val="000000"/>
          <w:sz w:val="24"/>
          <w:szCs w:val="24"/>
        </w:rPr>
        <w:t xml:space="preserve"> —+0,027769, intervalo [0,011976 , 0,045189], que excluye el cero— mientras que el </w:t>
      </w:r>
      <w:r>
        <w:rPr>
          <w:rFonts w:ascii="Times New Roman" w:cs="Times New Roman" w:eastAsia="Times New Roman" w:hAnsi="Times New Roman"/>
          <w:b/>
          <w:bCs/>
          <w:color w:val="000000"/>
          <w:sz w:val="24"/>
          <w:szCs w:val="24"/>
        </w:rPr>
        <w:t xml:space="preserve">iTransformer sigue sin superarlo</w:t>
      </w:r>
      <w:r>
        <w:rPr>
          <w:rFonts w:ascii="Times New Roman" w:cs="Times New Roman" w:eastAsia="Times New Roman" w:hAnsi="Times New Roman"/>
          <w:color w:val="000000"/>
          <w:sz w:val="24"/>
          <w:szCs w:val="24"/>
        </w:rPr>
        <w:t xml:space="preserve"> —+0,006386, intervalo [−0,008267 , 0,019878]— </w:t>
      </w:r>
      <w:r>
        <w:rPr>
          <w:rFonts w:ascii="Times New Roman" w:cs="Times New Roman" w:eastAsia="Times New Roman" w:hAnsi="Times New Roman"/>
          <w:b/>
          <w:bCs/>
          <w:color w:val="000000"/>
          <w:sz w:val="24"/>
          <w:szCs w:val="24"/>
        </w:rPr>
        <w:t xml:space="preserve">ni con cuatro veces más observaciones</w:t>
      </w:r>
      <w:r>
        <w:rPr>
          <w:rFonts w:ascii="Times New Roman" w:cs="Times New Roman" w:eastAsia="Times New Roman" w:hAnsi="Times New Roman"/>
          <w:color w:val="000000"/>
          <w:sz w:val="24"/>
          <w:szCs w:val="24"/>
        </w:rPr>
        <w:t xml:space="preserve">. Lo que era «ninguno de los dos» resultó ser uno de cada.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Por clase: lo que el bloque de prueba sugirió y lo que la potencia confirmó</w:t>
      </w:r>
    </w:p>
    <w:p>
      <w:pPr>
        <w:spacing w:after="0" w:line="480" w:lineRule="auto"/>
        <w:ind w:firstLine="720"/>
      </w:pPr>
      <w:r>
        <w:rPr>
          <w:rFonts w:ascii="Times New Roman" w:cs="Times New Roman" w:eastAsia="Times New Roman" w:hAnsi="Times New Roman"/>
          <w:color w:val="000000"/>
          <w:sz w:val="24"/>
          <w:szCs w:val="24"/>
        </w:rPr>
        <w:t xml:space="preserve">Aquí hay dos mediciones y </w:t>
      </w:r>
      <w:r>
        <w:rPr>
          <w:rFonts w:ascii="Times New Roman" w:cs="Times New Roman" w:eastAsia="Times New Roman" w:hAnsi="Times New Roman"/>
          <w:b/>
          <w:bCs/>
          <w:color w:val="000000"/>
          <w:sz w:val="24"/>
          <w:szCs w:val="24"/>
        </w:rPr>
        <w:t xml:space="preserve">la segunda corrige a la primera</w:t>
      </w:r>
      <w:r>
        <w:rPr>
          <w:rFonts w:ascii="Times New Roman" w:cs="Times New Roman" w:eastAsia="Times New Roman" w:hAnsi="Times New Roman"/>
          <w:color w:val="000000"/>
          <w:sz w:val="24"/>
          <w:szCs w:val="24"/>
        </w:rPr>
        <w:t xml:space="preserve">. Van juntas porque la diferencia entre ellas es el hallazgo, no un detalle de método.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vio en el bloque de prueba</w:t>
      </w:r>
    </w:p>
    <w:p>
      <w:pPr>
        <w:spacing w:after="0" w:line="480" w:lineRule="auto"/>
        <w:ind w:firstLine="720"/>
      </w:pPr>
      <w:r>
        <w:rPr>
          <w:rFonts w:ascii="Times New Roman" w:cs="Times New Roman" w:eastAsia="Times New Roman" w:hAnsi="Times New Roman"/>
          <w:b/>
          <w:bCs/>
          <w:color w:val="000000"/>
          <w:sz w:val="24"/>
          <w:szCs w:val="24"/>
        </w:rPr>
        <w:t xml:space="preserve">Tabla 7.1.</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Leído solo, dice que </w:t>
      </w:r>
      <w:r>
        <w:rPr>
          <w:rFonts w:ascii="Times New Roman" w:cs="Times New Roman" w:eastAsia="Times New Roman" w:hAnsi="Times New Roman"/>
          <w:b/>
          <w:bCs/>
          <w:color w:val="000000"/>
          <w:sz w:val="24"/>
          <w:szCs w:val="24"/>
        </w:rPr>
        <w:t xml:space="preserve">ningún modelo supera al azar en las dos clases</w:t>
      </w:r>
      <w:r>
        <w:rPr>
          <w:rFonts w:ascii="Times New Roman" w:cs="Times New Roman" w:eastAsia="Times New Roman" w:hAnsi="Times New Roman"/>
          <w:color w:val="000000"/>
          <w:sz w:val="24"/>
          <w:szCs w:val="24"/>
        </w:rPr>
        <w:t xml:space="preserve"> y que el bosque queda por debajo del azar en Máximo. Con 86 ejemplos por clase, esa lectura era la más severa posible del resultado.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dice la agregación de los nueve tramos</w:t>
      </w:r>
    </w:p>
    <w:p>
      <w:pPr>
        <w:spacing w:after="0" w:line="480" w:lineRule="auto"/>
        <w:ind w:firstLine="720"/>
      </w:pPr>
      <w:r>
        <w:rPr>
          <w:rFonts w:ascii="Times New Roman" w:cs="Times New Roman" w:eastAsia="Times New Roman" w:hAnsi="Times New Roman"/>
          <w:color w:val="000000"/>
          <w:sz w:val="24"/>
          <w:szCs w:val="24"/>
        </w:rPr>
        <w:t xml:space="preserve">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con intervalo pareado en cada celda:</w:t>
      </w:r>
    </w:p>
    <w:p>
      <w:pPr>
        <w:spacing w:after="0" w:line="480" w:lineRule="auto"/>
        <w:ind w:firstLine="720"/>
      </w:pPr>
      <w:r>
        <w:rPr>
          <w:rFonts w:ascii="Times New Roman" w:cs="Times New Roman" w:eastAsia="Times New Roman" w:hAnsi="Times New Roman"/>
          <w:b/>
          <w:bCs/>
          <w:color w:val="000000"/>
          <w:sz w:val="24"/>
          <w:szCs w:val="24"/>
        </w:rPr>
        <w:t xml:space="preserve">Tabla 7.2.</w:t>
      </w:r>
      <w:r>
        <w:rPr>
          <w:rFonts w:ascii="Times New Roman" w:cs="Times New Roman" w:eastAsia="Times New Roman" w:hAnsi="Times New Roman"/>
          <w:color w:val="000000"/>
          <w:sz w:val="24"/>
          <w:szCs w:val="24"/>
        </w:rPr>
        <w:t xml:space="preserve"> Diferencia contra el azar por clase, y si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El bosque sí supera al azar en las dos clases.</w:t>
      </w:r>
      <w:r>
        <w:rPr>
          <w:rFonts w:ascii="Times New Roman" w:cs="Times New Roman" w:eastAsia="Times New Roman" w:hAnsi="Times New Roman"/>
          <w:color w:val="000000"/>
          <w:sz w:val="24"/>
          <w:szCs w:val="24"/>
        </w:rPr>
        <w:t xml:space="preserve"> Lo que parecía el resultado más severo del informe —que ninguno detectara las dos— era un </w:t>
      </w:r>
      <w:r>
        <w:rPr>
          <w:rFonts w:ascii="Times New Roman" w:cs="Times New Roman" w:eastAsia="Times New Roman" w:hAnsi="Times New Roman"/>
          <w:b/>
          <w:bCs/>
          <w:color w:val="000000"/>
          <w:sz w:val="24"/>
          <w:szCs w:val="24"/>
        </w:rPr>
        <w:t xml:space="preserve">artefacto de tener 86 ejemplos por clase</w:t>
      </w:r>
      <w:r>
        <w:rPr>
          <w:rFonts w:ascii="Times New Roman" w:cs="Times New Roman" w:eastAsia="Times New Roman" w:hAnsi="Times New Roman"/>
          <w:color w:val="000000"/>
          <w:sz w:val="24"/>
          <w:szCs w:val="24"/>
        </w:rPr>
        <w:t xml:space="preserve">, no un hecho sobre los modelos. Con cuatro veces más observaciones, la clase Máximo del bosque pasa de estar por debajo del azar a superarlo con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Lo que sí sobrevive, y ahora con intervalo:</w:t>
      </w:r>
      <w:r>
        <w:rPr>
          <w:rFonts w:ascii="Times New Roman" w:cs="Times New Roman" w:eastAsia="Times New Roman" w:hAnsi="Times New Roman"/>
          <w:color w:val="000000"/>
          <w:sz w:val="24"/>
          <w:szCs w:val="24"/>
        </w:rPr>
        <w:t xml:space="preserve"> los dos modelos profundos detectan </w:t>
      </w:r>
      <w:r>
        <w:rPr>
          <w:rFonts w:ascii="Times New Roman" w:cs="Times New Roman" w:eastAsia="Times New Roman" w:hAnsi="Times New Roman"/>
          <w:b/>
          <w:bCs/>
          <w:color w:val="000000"/>
          <w:sz w:val="24"/>
          <w:szCs w:val="24"/>
        </w:rPr>
        <w:t xml:space="preserve">clases opuestas</w:t>
      </w:r>
      <w:r>
        <w:rPr>
          <w:rFonts w:ascii="Times New Roman" w:cs="Times New Roman" w:eastAsia="Times New Roman" w:hAnsi="Times New Roman"/>
          <w:color w:val="000000"/>
          <w:sz w:val="24"/>
          <w:szCs w:val="24"/>
        </w:rPr>
        <w:t xml:space="preserve">. El iTransformer supera al azar en Máximo y no en Mínimo; Chronos-Bolt, al revés. No es la lectura de un bloque: se sostiene con potencia.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esto importa más allá de la tabla</w:t>
      </w:r>
    </w:p>
    <w:p>
      <w:pPr>
        <w:spacing w:after="0" w:line="480" w:lineRule="auto"/>
        <w:ind w:firstLine="720"/>
      </w:pPr>
      <w:r>
        <w:rPr>
          <w:rFonts w:ascii="Times New Roman" w:cs="Times New Roman" w:eastAsia="Times New Roman" w:hAnsi="Times New Roman"/>
          <w:color w:val="000000"/>
          <w:sz w:val="24"/>
          <w:szCs w:val="24"/>
        </w:rPr>
        <w:t xml:space="preserve">Es la segunda vez en este informe que una lectura por clase sobre un solo bloque no aguanta al volver a medirla —la primera fue la asimetría picos/valles,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y las dos veces el tamaño de la clase rara fue la causa.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con menos de cien ejemplos, la métrica por clase puede colapsar entera.</w:t>
      </w:r>
    </w:p>
    <w:p>
      <w:pPr>
        <w:spacing w:after="0" w:line="480" w:lineRule="auto"/>
        <w:ind w:firstLine="720"/>
      </w:pPr>
      <w:r>
        <w:rPr>
          <w:rFonts w:ascii="Times New Roman" w:cs="Times New Roman" w:eastAsia="Times New Roman" w:hAnsi="Times New Roman"/>
          <w:b/>
          <w:bCs/>
          <w:color w:val="000000"/>
          <w:sz w:val="24"/>
          <w:szCs w:val="24"/>
        </w:rPr>
        <w:t xml:space="preserve">La lección es del método y es reutilizable:</w:t>
      </w:r>
      <w:r>
        <w:rPr>
          <w:rFonts w:ascii="Times New Roman" w:cs="Times New Roman" w:eastAsia="Times New Roman" w:hAnsi="Times New Roman"/>
          <w:color w:val="000000"/>
          <w:sz w:val="24"/>
          <w:szCs w:val="24"/>
        </w:rP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 modelos: la sección 7 del protocolo lo prohíbe, y la cifra oficial sigue siendo la del bloque de prueba.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w:t>
      </w:r>
      <w:r>
        <w:rPr>
          <w:rFonts w:ascii="Times New Roman" w:cs="Times New Roman" w:eastAsia="Times New Roman" w:hAnsi="Times New Roman"/>
          <w:b/>
          <w:bCs/>
          <w:color w:val="000000"/>
          <w:sz w:val="24"/>
          <w:szCs w:val="24"/>
        </w:rPr>
        <w:t xml:space="preserve">sobre validación</w:t>
      </w:r>
      <w:r>
        <w:rPr>
          <w:rFonts w:ascii="Times New Roman" w:cs="Times New Roman" w:eastAsia="Times New Roman" w:hAnsi="Times New Roman"/>
          <w:color w:val="000000"/>
          <w:sz w:val="24"/>
          <w:szCs w:val="24"/>
        </w:rP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tramos.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5.4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5.5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5.3.</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Sobre este bloque, 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w:t>
      </w:r>
    </w:p>
    <w:p>
      <w:pPr>
        <w:spacing w:after="0" w:line="480" w:lineRule="auto"/>
        <w:ind w:firstLine="720"/>
      </w:pPr>
      <w:r>
        <w:rPr>
          <w:rFonts w:ascii="Times New Roman" w:cs="Times New Roman" w:eastAsia="Times New Roman" w:hAnsi="Times New Roman"/>
          <w:b/>
          <w:bCs/>
          <w:color w:val="000000"/>
          <w:sz w:val="24"/>
          <w:szCs w:val="24"/>
        </w:rPr>
        <w:t xml:space="preserve">Con la potencia de los nueve tramos esta lectura se parte en dos:</w:t>
      </w:r>
      <w:r>
        <w:rPr>
          <w:rFonts w:ascii="Times New Roman" w:cs="Times New Roman" w:eastAsia="Times New Roman" w:hAnsi="Times New Roman"/>
          <w:color w:val="000000"/>
          <w:sz w:val="24"/>
          <w:szCs w:val="24"/>
        </w:rPr>
        <w:t xml:space="preserve"> Chronos-Bolt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lo supera —+0,027769, con intervalo que excluye el cero— y el iTransformer </w:t>
      </w:r>
      <w:r>
        <w:rPr>
          <w:rFonts w:ascii="Times New Roman" w:cs="Times New Roman" w:eastAsia="Times New Roman" w:hAnsi="Times New Roman"/>
          <w:b/>
          <w:bCs/>
          <w:color w:val="000000"/>
          <w:sz w:val="24"/>
          <w:szCs w:val="24"/>
        </w:rPr>
        <w:t xml:space="preserve">sigue sin superarlo</w:t>
      </w:r>
      <w:r>
        <w:rPr>
          <w:rFonts w:ascii="Times New Roman" w:cs="Times New Roman" w:eastAsia="Times New Roman" w:hAnsi="Times New Roman"/>
          <w:color w:val="000000"/>
          <w:sz w:val="24"/>
          <w:szCs w:val="24"/>
        </w:rPr>
        <w:t xml:space="preserve"> ni con cuatro veces más observaciones. Ver la 5.4 y las conclusiones.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5.5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hay una segunda mitad de esta limitación, que es de tamaño y no de instrumento.</w:t>
      </w:r>
      <w:r>
        <w:rPr>
          <w:rFonts w:ascii="Times New Roman" w:cs="Times New Roman" w:eastAsia="Times New Roman" w:hAnsi="Times New Roman"/>
          <w:color w:val="000000"/>
          <w:sz w:val="24"/>
          <w:szCs w:val="24"/>
        </w:rPr>
        <w:t xml:space="preserve"> Aun cuando la condición se puede aplicar, hace falta muestra suficiente para que signifique algo. La Figura 4 lo cuantifica: con las </w:t>
      </w:r>
      <w:r>
        <w:rPr>
          <w:rFonts w:ascii="Times New Roman" w:cs="Times New Roman" w:eastAsia="Times New Roman" w:hAnsi="Times New Roman"/>
          <w:b/>
          <w:bCs/>
          <w:color w:val="000000"/>
          <w:sz w:val="24"/>
          <w:szCs w:val="24"/>
        </w:rPr>
        <w:t xml:space="preserve">1 960 velas</w:t>
      </w:r>
      <w:r>
        <w:rPr>
          <w:rFonts w:ascii="Times New Roman" w:cs="Times New Roman" w:eastAsia="Times New Roman" w:hAnsi="Times New Roman"/>
          <w:color w:val="000000"/>
          <w:sz w:val="24"/>
          <w:szCs w:val="24"/>
        </w:rPr>
        <w:t xml:space="preserve"> del bloque de prueba, un efecto como el que este sistema tiene se detecta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Es el umbral convencional — defendible, pero sin margen.</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Cuánta muestra hacía falta para ver el efecto que hay. El bloque que se usó cae exactamente sobre el 80 %</w:t>
      </w:r>
    </w:p>
    <w:p>
      <w:pPr>
        <w:spacing w:after="12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62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docs/evidencias/informe-f4-curva-potencia.png</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datos que sí se pueden volver a mirar.</w:t>
      </w:r>
    </w:p>
    <w:p>
      <w:pPr>
        <w:spacing w:after="0" w:line="480" w:lineRule="auto"/>
        <w:ind w:firstLine="720"/>
      </w:pPr>
      <w:r>
        <w:rPr>
          <w:rFonts w:ascii="Times New Roman" w:cs="Times New Roman" w:eastAsia="Times New Roman" w:hAnsi="Times New Roman"/>
          <w:color w:val="000000"/>
          <w:sz w:val="24"/>
          <w:szCs w:val="24"/>
        </w:rPr>
        <w:t xml:space="preserve">Salieron dos investigaciones distintas, y conviene leerlas por separado: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Tabla C.1.</w:t>
      </w:r>
      <w:r>
        <w:rPr>
          <w:rFonts w:ascii="Times New Roman" w:cs="Times New Roman" w:eastAsia="Times New Roman" w:hAnsi="Times New Roman"/>
          <w:color w:val="000000"/>
          <w:sz w:val="24"/>
          <w:szCs w:val="24"/>
        </w:rPr>
        <w:t xml:space="preserve"> Margen del extremo sobre su vecino más cercano.</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b/>
          <w:bCs/>
          <w:color w:val="000000"/>
          <w:sz w:val="24"/>
          <w:szCs w:val="24"/>
        </w:rPr>
        <w:t xml:space="preserve">Tabla C.2.</w:t>
      </w:r>
      <w:r>
        <w:rPr>
          <w:rFonts w:ascii="Times New Roman" w:cs="Times New Roman" w:eastAsia="Times New Roman" w:hAnsi="Times New Roman"/>
          <w:color w:val="000000"/>
          <w:sz w:val="24"/>
          <w:szCs w:val="24"/>
        </w:rPr>
        <w:t xml:space="preserve"> Nueve tramos consecutivos, sobre entrenamiento y validación.</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Tabla C.3.</w:t>
      </w:r>
      <w:r>
        <w:rPr>
          <w:rFonts w:ascii="Times New Roman" w:cs="Times New Roman" w:eastAsia="Times New Roman" w:hAnsi="Times New Roman"/>
          <w:color w:val="000000"/>
          <w:sz w:val="24"/>
          <w:szCs w:val="24"/>
        </w:rPr>
        <w:t xml:space="preserve"> El iTransformer contra el bosque, en los mismos nueve tramos.</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Tabla C.4.</w:t>
      </w:r>
      <w:r>
        <w:rPr>
          <w:rFonts w:ascii="Times New Roman" w:cs="Times New Roman" w:eastAsia="Times New Roman" w:hAnsi="Times New Roman"/>
          <w:color w:val="000000"/>
          <w:sz w:val="24"/>
          <w:szCs w:val="24"/>
        </w:rPr>
        <w:t xml:space="preserve"> Las predicciones de los nueve tramos, juntas: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con 347 máximos y 345 mínimos reales. Cuatro veces el bloque de prueba.</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adelanta algo que la </w:t>
      </w:r>
      <w:r>
        <w:rPr>
          <w:rFonts w:ascii="Times New Roman" w:cs="Times New Roman" w:eastAsia="Times New Roman" w:hAnsi="Times New Roman"/>
          <w:b/>
          <w:bCs/>
          <w:color w:val="000000"/>
          <w:sz w:val="24"/>
          <w:szCs w:val="24"/>
        </w:rPr>
        <w:t xml:space="preserve">parte B</w:t>
      </w:r>
      <w:r>
        <w:rPr>
          <w:rFonts w:ascii="Times New Roman" w:cs="Times New Roman" w:eastAsia="Times New Roman" w:hAnsi="Times New Roman"/>
          <w:color w:val="000000"/>
          <w:sz w:val="24"/>
          <w:szCs w:val="24"/>
        </w:rPr>
        <w:t xml:space="preserve"> desarrolla: </w:t>
      </w:r>
      <w:r>
        <w:rPr>
          <w:rFonts w:ascii="Times New Roman" w:cs="Times New Roman" w:eastAsia="Times New Roman" w:hAnsi="Times New Roman"/>
          <w:b/>
          <w:bCs/>
          <w:color w:val="000000"/>
          <w:sz w:val="24"/>
          <w:szCs w:val="24"/>
        </w:rPr>
        <w:t xml:space="preserve">el apilado de los seis activos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Tabla C.5.</w:t>
      </w:r>
      <w:r>
        <w:rPr>
          <w:rFonts w:ascii="Times New Roman" w:cs="Times New Roman" w:eastAsia="Times New Roman" w:hAnsi="Times New Roman"/>
          <w:color w:val="000000"/>
          <w:sz w:val="24"/>
          <w:szCs w:val="24"/>
        </w:rPr>
        <w:t xml:space="preserve"> Cada modelo contra el azar, por clase,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C.12 acaba de mostrar.</w:t>
      </w:r>
    </w:p>
    <w:p>
      <w:pPr>
        <w:spacing w:after="0" w:line="480" w:lineRule="auto"/>
        <w:ind w:firstLine="720"/>
      </w:pPr>
      <w:r>
        <w:rPr>
          <w:rFonts w:ascii="Times New Roman" w:cs="Times New Roman" w:eastAsia="Times New Roman" w:hAnsi="Times New Roman"/>
          <w:b/>
          <w:bCs/>
          <w:color w:val="000000"/>
          <w:sz w:val="24"/>
          <w:szCs w:val="24"/>
        </w:rPr>
        <w:t xml:space="preserve">Tabla C.6.</w:t>
      </w:r>
      <w:r>
        <w:rPr>
          <w:rFonts w:ascii="Times New Roman" w:cs="Times New Roman" w:eastAsia="Times New Roman" w:hAnsi="Times New Roman"/>
          <w:color w:val="000000"/>
          <w:sz w:val="24"/>
          <w:szCs w:val="24"/>
        </w:rPr>
        <w:t xml:space="preserve"> Los tres modelos contra el azar,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Tabla C.7.</w:t>
      </w:r>
      <w:r>
        <w:rPr>
          <w:rFonts w:ascii="Times New Roman" w:cs="Times New Roman" w:eastAsia="Times New Roman" w:hAnsi="Times New Roman"/>
          <w:color w:val="000000"/>
          <w:sz w:val="24"/>
          <w:szCs w:val="24"/>
        </w:rPr>
        <w:t xml:space="preserve"> El bloque fresco: velas posteriores a la construcción del modelo.</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C.1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que la </w:t>
      </w:r>
      <w:r>
        <w:rPr>
          <w:rFonts w:ascii="Times New Roman" w:cs="Times New Roman" w:eastAsia="Times New Roman" w:hAnsi="Times New Roman"/>
          <w:b/>
          <w:bCs/>
          <w:color w:val="000000"/>
          <w:sz w:val="24"/>
          <w:szCs w:val="24"/>
        </w:rPr>
        <w:t xml:space="preserve">parte A</w:t>
      </w:r>
      <w:r>
        <w:rPr>
          <w:rFonts w:ascii="Times New Roman" w:cs="Times New Roman" w:eastAsia="Times New Roman" w:hAnsi="Times New Roman"/>
          <w:color w:val="000000"/>
          <w:sz w:val="24"/>
          <w:szCs w:val="24"/>
        </w:rPr>
        <w:t xml:space="preserve"> midió, el fracaso tiene más sentido: los dos arreglos atacaban una asimetría entre picos y valles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—aparece en 5 de 9 tramos, que es una moneda—.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Tabla C.8.</w:t>
      </w:r>
      <w:r>
        <w:rPr>
          <w:rFonts w:ascii="Times New Roman" w:cs="Times New Roman" w:eastAsia="Times New Roman" w:hAnsi="Times New Roman"/>
          <w:color w:val="000000"/>
          <w:sz w:val="24"/>
          <w:szCs w:val="24"/>
        </w:rPr>
        <w:t xml:space="preserve"> Entrenar solo con LTC contra entrenar con los seis, sobre validación.</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Tabla C.9.</w:t>
      </w:r>
      <w:r>
        <w:rPr>
          <w:rFonts w:ascii="Times New Roman" w:cs="Times New Roman" w:eastAsia="Times New Roman" w:hAnsi="Times New Roman"/>
          <w:color w:val="000000"/>
          <w:sz w:val="24"/>
          <w:szCs w:val="24"/>
        </w:rPr>
        <w:t xml:space="preserve"> Las combinaciones,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Tabla C.10.</w:t>
      </w:r>
      <w:r>
        <w:rPr>
          <w:rFonts w:ascii="Times New Roman" w:cs="Times New Roman" w:eastAsia="Times New Roman" w:hAnsi="Times New Roman"/>
          <w:color w:val="000000"/>
          <w:sz w:val="24"/>
          <w:szCs w:val="24"/>
        </w:rPr>
        <w:t xml:space="preserve"> Los dos últimos,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Tabla C.11.</w:t>
      </w:r>
      <w:r>
        <w:rPr>
          <w:rFonts w:ascii="Times New Roman" w:cs="Times New Roman" w:eastAsia="Times New Roman" w:hAnsi="Times New Roman"/>
          <w:color w:val="000000"/>
          <w:sz w:val="24"/>
          <w:szCs w:val="24"/>
        </w:rPr>
        <w:t xml:space="preserve"> Todo lo que se probó, y en qué eje.</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(ver la </w:t>
      </w:r>
      <w:r>
        <w:rPr>
          <w:rFonts w:ascii="Times New Roman" w:cs="Times New Roman" w:eastAsia="Times New Roman" w:hAnsi="Times New Roman"/>
          <w:b/>
          <w:bCs/>
          <w:color w:val="000000"/>
          <w:sz w:val="24"/>
          <w:szCs w:val="24"/>
        </w:rPr>
        <w:t xml:space="preserve">Figura 6.1</w:t>
      </w:r>
      <w:r>
        <w:rPr>
          <w:rFonts w:ascii="Times New Roman" w:cs="Times New Roman" w:eastAsia="Times New Roman" w:hAnsi="Times New Roman"/>
          <w:color w:val="000000"/>
          <w:sz w:val="24"/>
          <w:szCs w:val="24"/>
        </w:rPr>
        <w:t xml:space="preserve"> de la sección 6):</w:t>
      </w:r>
    </w:p>
    <w:p>
      <w:pPr>
        <w:spacing w:after="0" w:line="480" w:lineRule="auto"/>
        <w:ind w:firstLine="720"/>
      </w:pPr>
      <w:r>
        <w:rPr>
          <w:rFonts w:ascii="Times New Roman" w:cs="Times New Roman" w:eastAsia="Times New Roman" w:hAnsi="Times New Roman"/>
          <w:b/>
          <w:bCs/>
          <w:color w:val="000000"/>
          <w:sz w:val="24"/>
          <w:szCs w:val="24"/>
        </w:rPr>
        <w:t xml:space="preserve">Tabla C.12.</w:t>
      </w:r>
      <w:r>
        <w:rPr>
          <w:rFonts w:ascii="Times New Roman" w:cs="Times New Roman" w:eastAsia="Times New Roman" w:hAnsi="Times New Roman"/>
          <w:color w:val="000000"/>
          <w:sz w:val="24"/>
          <w:szCs w:val="24"/>
        </w:rPr>
        <w:t xml:space="preserve"> Curva de potencia: probabilidad de detectar el efecto, según el tamaño del bloque.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Ansari, A. F., Stella, L., Turkmen, C., Zhang, X., Mercado, P., Shen, H., Shchur, O., Rangapuram, S. S., Pineda Arango, S., Kapoor, S., Zschiegner, J., Maddix, D. C., Wang, H., Mahoney, M. W., Torkkola, K., Wilson, A. G., Bohlke-Schneider, M., &amp; Wang, Y. (2024). </w:t>
      </w:r>
      <w:r>
        <w:rPr>
          <w:rFonts w:ascii="Times New Roman" w:cs="Times New Roman" w:eastAsia="Times New Roman" w:hAnsi="Times New Roman"/>
          <w:i/>
          <w:iCs/>
          <w:color w:val="000000"/>
          <w:sz w:val="24"/>
          <w:szCs w:val="24"/>
        </w:rPr>
        <w:t xml:space="preserve">Chronos: Learning the language of time series</w:t>
      </w:r>
      <w:r>
        <w:rPr>
          <w:rFonts w:ascii="Times New Roman" w:cs="Times New Roman" w:eastAsia="Times New Roman" w:hAnsi="Times New Roman"/>
          <w:color w:val="000000"/>
          <w:sz w:val="24"/>
          <w:szCs w:val="24"/>
        </w:rPr>
        <w:t xml:space="preserve"> (Preprint). arXiv. https://doi.org/10.48550/arXiv.2403.07815</w:t>
      </w:r>
    </w:p>
    <w:p>
      <w:pPr>
        <w:spacing w:after="0" w:line="480" w:lineRule="auto"/>
        <w:ind w:left="720" w:hanging="720"/>
      </w:pPr>
      <w:r>
        <w:rPr>
          <w:rFonts w:ascii="Times New Roman" w:cs="Times New Roman" w:eastAsia="Times New Roman" w:hAnsi="Times New Roman"/>
          <w:color w:val="000000"/>
          <w:sz w:val="24"/>
          <w:szCs w:val="24"/>
        </w:rPr>
        <w:t xml:space="preserve">Breiman, L. (2001). Random forests. </w:t>
      </w:r>
      <w:r>
        <w:rPr>
          <w:rFonts w:ascii="Times New Roman" w:cs="Times New Roman" w:eastAsia="Times New Roman" w:hAnsi="Times New Roman"/>
          <w:i/>
          <w:iCs/>
          <w:color w:val="000000"/>
          <w:sz w:val="24"/>
          <w:szCs w:val="24"/>
        </w:rPr>
        <w:t xml:space="preserve">Machine Learning, 45</w:t>
      </w:r>
      <w:r>
        <w:rPr>
          <w:rFonts w:ascii="Times New Roman" w:cs="Times New Roman" w:eastAsia="Times New Roman" w:hAnsi="Times New Roman"/>
          <w:color w:val="000000"/>
          <w:sz w:val="24"/>
          <w:szCs w:val="24"/>
        </w:rPr>
        <w:t xml:space="preserve">(1), 5–32. https://doi.org/10.1023/A:1010933404324</w:t>
      </w:r>
    </w:p>
    <w:p>
      <w:pPr>
        <w:spacing w:after="0" w:line="480" w:lineRule="auto"/>
        <w:ind w:left="720" w:hanging="720"/>
      </w:pPr>
      <w:r>
        <w:rPr>
          <w:rFonts w:ascii="Times New Roman" w:cs="Times New Roman" w:eastAsia="Times New Roman" w:hAnsi="Times New Roman"/>
          <w:color w:val="000000"/>
          <w:sz w:val="24"/>
          <w:szCs w:val="24"/>
        </w:rPr>
        <w:t xml:space="preserve">Vaswani, A., Shazeer, N., Parmar, N., Uszkoreit, J., Jones, L., Gomez, A. N., Kaiser, L., &amp; Polosukhin, I. (2017). </w:t>
      </w:r>
      <w:r>
        <w:rPr>
          <w:rFonts w:ascii="Times New Roman" w:cs="Times New Roman" w:eastAsia="Times New Roman" w:hAnsi="Times New Roman"/>
          <w:i/>
          <w:iCs/>
          <w:color w:val="000000"/>
          <w:sz w:val="24"/>
          <w:szCs w:val="24"/>
        </w:rPr>
        <w:t xml:space="preserve">Attention is all you need</w:t>
      </w:r>
      <w:r>
        <w:rPr>
          <w:rFonts w:ascii="Times New Roman" w:cs="Times New Roman" w:eastAsia="Times New Roman" w:hAnsi="Times New Roman"/>
          <w:color w:val="000000"/>
          <w:sz w:val="24"/>
          <w:szCs w:val="24"/>
        </w:rPr>
        <w:t xml:space="preserve"> (Preprint). arXiv. https://doi.org/10.48550/arXiv.1706.03762</w:t>
      </w:r>
    </w:p>
    <w:p>
      <w:pPr>
        <w:spacing w:after="0" w:line="480" w:lineRule="auto"/>
        <w:ind w:left="720" w:hanging="720"/>
      </w:pPr>
      <w:r>
        <w:rPr>
          <w:rFonts w:ascii="Times New Roman" w:cs="Times New Roman" w:eastAsia="Times New Roman" w:hAnsi="Times New Roman"/>
          <w:color w:val="000000"/>
          <w:sz w:val="24"/>
          <w:szCs w:val="24"/>
        </w:rPr>
        <w:t xml:space="preserve">Wang, P. (2024). </w:t>
      </w:r>
      <w:r>
        <w:rPr>
          <w:rFonts w:ascii="Times New Roman" w:cs="Times New Roman" w:eastAsia="Times New Roman" w:hAnsi="Times New Roman"/>
          <w:i/>
          <w:iCs/>
          <w:color w:val="000000"/>
          <w:sz w:val="24"/>
          <w:szCs w:val="24"/>
        </w:rPr>
        <w:t xml:space="preserve">iTransformer</w:t>
      </w:r>
      <w:r>
        <w:rPr>
          <w:rFonts w:ascii="Times New Roman" w:cs="Times New Roman" w:eastAsia="Times New Roman" w:hAnsi="Times New Roman"/>
          <w:color w:val="000000"/>
          <w:sz w:val="24"/>
          <w:szCs w:val="24"/>
        </w:rPr>
        <w:t xml:space="preserve"> (Versión 0.8.1) [Software]. GitHub. https://github.com/lucidrains/iTransformer</w:t>
      </w:r>
    </w:p>
    <w:p>
      <w:pPr>
        <w:spacing w:after="0" w:line="480" w:lineRule="auto"/>
        <w:ind w:left="720" w:hanging="720"/>
      </w:pPr>
      <w:r>
        <w:rPr>
          <w:rFonts w:ascii="Times New Roman" w:cs="Times New Roman" w:eastAsia="Times New Roman" w:hAnsi="Times New Roman"/>
          <w:color w:val="000000"/>
          <w:sz w:val="24"/>
          <w:szCs w:val="24"/>
        </w:rPr>
        <w:t xml:space="preserve">Zeng, A., Chen, M., Zhang, L., &amp; Xu, Q. (2023). Are Transformers effective for time series forecasting? </w:t>
      </w:r>
      <w:r>
        <w:rPr>
          <w:rFonts w:ascii="Times New Roman" w:cs="Times New Roman" w:eastAsia="Times New Roman" w:hAnsi="Times New Roman"/>
          <w:i/>
          <w:iCs/>
          <w:color w:val="000000"/>
          <w:sz w:val="24"/>
          <w:szCs w:val="24"/>
        </w:rPr>
        <w:t xml:space="preserve">Proceedings of the AAAI Conference on Artificial Intelligence, 37</w:t>
      </w:r>
      <w:r>
        <w:rPr>
          <w:rFonts w:ascii="Times New Roman" w:cs="Times New Roman" w:eastAsia="Times New Roman" w:hAnsi="Times New Roman"/>
          <w:color w:val="000000"/>
          <w:sz w:val="24"/>
          <w:szCs w:val="24"/>
        </w:rPr>
        <w:t xml:space="preserve">(9), 11121–11128. https://doi.org/10.1609/aaai.v37i9.26317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image" Target="media/caf5fa652d3d8c95916810e6570259fe2b0a19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2026-09-08T13:04:05.280Z</dcterms:created>
  <dcterms:modified xsi:type="dcterms:W3CDTF">2026-09-08T13:04:05.281Z</dcterms:modified>
</cp:coreProperties>
</file>

<file path=docProps/custom.xml><?xml version="1.0" encoding="utf-8"?>
<Properties xmlns="http://schemas.openxmlformats.org/officeDocument/2006/custom-properties" xmlns:vt="http://schemas.openxmlformats.org/officeDocument/2006/docPropsVTypes"/>
</file>