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bCs/>
          <w:color w:val="000000"/>
          <w:sz w:val="24"/>
          <w:szCs w:val="24"/>
        </w:rPr>
        <w:t xml:space="preserve">Sistema de Pronóstico de Puntos de Inflexión en el Precio de</w:t>
      </w:r>
    </w:p>
    <w:p>
      <w:pPr>
        <w:spacing w:after="0" w:line="480" w:lineRule="auto"/>
        <w:jc w:val="center"/>
      </w:pPr>
      <w:r>
        <w:rPr>
          <w:rFonts w:ascii="Times New Roman" w:cs="Times New Roman" w:eastAsia="Times New Roman" w:hAnsi="Times New Roman"/>
          <w:b/>
          <w:bCs/>
          <w:color w:val="000000"/>
          <w:sz w:val="24"/>
          <w:szCs w:val="24"/>
        </w:rPr>
        <w:t xml:space="preserve">Litecoin (LTC) mediante Análisis Multivariante de Series Temporales</w:t>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val="false"/>
          <w:bCs w:val="false"/>
          <w:color w:val="000000"/>
          <w:sz w:val="24"/>
          <w:szCs w:val="24"/>
        </w:rPr>
        <w:t xml:space="preserve">Marco Teórico: Series de Tiempo y Criptoactivos</w:t>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b w:val="false"/>
          <w:bCs w:val="false"/>
          <w:color w:val="000000"/>
          <w:sz w:val="24"/>
          <w:szCs w:val="24"/>
        </w:rPr>
        <w:t xml:space="preserve">Alejandro Zamora, Fabrizio Espinoza Arce, Isaac Morun</w:t>
      </w:r>
    </w:p>
    <w:p>
      <w:pPr>
        <w:spacing w:after="0" w:line="480" w:lineRule="auto"/>
        <w:jc w:val="center"/>
      </w:pPr>
      <w:r>
        <w:rPr>
          <w:rFonts w:ascii="Times New Roman" w:cs="Times New Roman" w:eastAsia="Times New Roman" w:hAnsi="Times New Roman"/>
          <w:b w:val="false"/>
          <w:bCs w:val="false"/>
          <w:color w:val="000000"/>
          <w:sz w:val="24"/>
          <w:szCs w:val="24"/>
        </w:rPr>
        <w:t xml:space="preserve">y Jose Pablo Monestel</w:t>
      </w:r>
    </w:p>
    <w:p>
      <w:pPr>
        <w:spacing w:after="0" w:line="480" w:lineRule="auto"/>
        <w:jc w:val="center"/>
      </w:pPr>
      <w:r>
        <w:rPr>
          <w:rFonts w:ascii="Times New Roman" w:cs="Times New Roman" w:eastAsia="Times New Roman" w:hAnsi="Times New Roman"/>
          <w:b w:val="false"/>
          <w:bCs w:val="false"/>
          <w:color w:val="000000"/>
          <w:sz w:val="24"/>
          <w:szCs w:val="24"/>
        </w:rPr>
        <w:t xml:space="preserve"/>
      </w:r>
    </w:p>
    <w:p>
      <w:pPr>
        <w:spacing w:after="0" w:line="480" w:lineRule="auto"/>
        <w:jc w:val="center"/>
      </w:pPr>
      <w:r>
        <w:rPr>
          <w:rFonts w:ascii="Times New Roman" w:cs="Times New Roman" w:eastAsia="Times New Roman" w:hAnsi="Times New Roman"/>
          <w:i/>
          <w:iCs/>
          <w:color w:val="595959"/>
          <w:sz w:val="24"/>
          <w:szCs w:val="24"/>
        </w:rPr>
        <w:t xml:space="preserve">[COMPLETAR — Escuela o Departamento, Universidad]</w:t>
      </w:r>
    </w:p>
    <w:p>
      <w:pPr>
        <w:spacing w:after="0" w:line="480" w:lineRule="auto"/>
        <w:jc w:val="center"/>
      </w:pPr>
      <w:r>
        <w:rPr>
          <w:rFonts w:ascii="Times New Roman" w:cs="Times New Roman" w:eastAsia="Times New Roman" w:hAnsi="Times New Roman"/>
          <w:b w:val="false"/>
          <w:bCs w:val="false"/>
          <w:color w:val="000000"/>
          <w:sz w:val="24"/>
          <w:szCs w:val="24"/>
        </w:rPr>
        <w:t xml:space="preserve">Señales y Sistemas</w:t>
      </w:r>
    </w:p>
    <w:p>
      <w:pPr>
        <w:spacing w:after="0" w:line="480" w:lineRule="auto"/>
        <w:jc w:val="center"/>
      </w:pPr>
      <w:r>
        <w:rPr>
          <w:rFonts w:ascii="Times New Roman" w:cs="Times New Roman" w:eastAsia="Times New Roman" w:hAnsi="Times New Roman"/>
          <w:b w:val="false"/>
          <w:bCs w:val="false"/>
          <w:color w:val="000000"/>
          <w:sz w:val="24"/>
          <w:szCs w:val="24"/>
        </w:rPr>
        <w:t xml:space="preserve">Prof. Roberto Calvo Arias</w:t>
      </w:r>
    </w:p>
    <w:p>
      <w:pPr>
        <w:spacing w:after="0" w:line="480" w:lineRule="auto"/>
        <w:jc w:val="center"/>
      </w:pPr>
      <w:r>
        <w:rPr>
          <w:rFonts w:ascii="Times New Roman" w:cs="Times New Roman" w:eastAsia="Times New Roman" w:hAnsi="Times New Roman"/>
          <w:b w:val="false"/>
          <w:bCs w:val="false"/>
          <w:color w:val="000000"/>
          <w:sz w:val="24"/>
          <w:szCs w:val="24"/>
        </w:rPr>
        <w:t xml:space="preserve">18 de agosto de 2026</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Tabla de 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Sistema de Pronóstico de Puntos de Inflexión en el Precio de Litecoin</w:t>
      </w:r>
    </w:p>
    <w:p>
      <w:pPr>
        <w:spacing w:after="0" w:line="480" w:lineRule="auto"/>
        <w:ind w:firstLine="720"/>
      </w:pPr>
      <w:r>
        <w:rPr>
          <w:rFonts w:ascii="Times New Roman" w:cs="Times New Roman" w:eastAsia="Times New Roman" w:hAnsi="Times New Roman"/>
          <w:color w:val="000000"/>
          <w:sz w:val="24"/>
          <w:szCs w:val="24"/>
        </w:rPr>
        <w:t xml:space="preserve">El presente documento constituye el marco teórico del Caso N.º 1, correspondiente a la primera entrega del proyecto. Su propósito es establecer los fundamentos conceptuales sobre series de tiempo y criptoactivos que sustentan el desarrollo posterior de un modelo de aprendizaje automático supervisado para el pronóstico de puntos de inflexión en el precio de Litecoin.</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Ampliar la introducción: contexto del problema, objetivo del documento y estructura de las secciones que siguen. Entre dos y tres párrafos. Borrar este parrafo al completarlo.]</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Datos Utilizados</w:t>
      </w:r>
    </w:p>
    <w:p>
      <w:pPr>
        <w:spacing w:after="0" w:line="480" w:lineRule="auto"/>
        <w:ind w:firstLine="720"/>
      </w:pPr>
      <w:r>
        <w:rPr>
          <w:rFonts w:ascii="Times New Roman" w:cs="Times New Roman" w:eastAsia="Times New Roman" w:hAnsi="Times New Roman"/>
          <w:color w:val="000000"/>
          <w:sz w:val="24"/>
          <w:szCs w:val="24"/>
        </w:rPr>
        <w:t xml:space="preserve">Los conceptos expuestos en este marco teórico se ilustran con datos reales de las seis criptomonedas contempladas en el proyecto. La información procede de la interfaz pública de programación de Binance y comprende 2 185 observaciones diarias del precio de cierre, entre el 11 de agosto de 2020 y el 4 de agosto de 2026.</w:t>
      </w:r>
    </w:p>
    <w:p>
      <w:pPr>
        <w:spacing w:after="0" w:line="480" w:lineRule="auto"/>
        <w:ind w:firstLine="720"/>
      </w:pPr>
      <w:r>
        <w:rPr>
          <w:rFonts w:ascii="Times New Roman" w:cs="Times New Roman" w:eastAsia="Times New Roman" w:hAnsi="Times New Roman"/>
          <w:color w:val="000000"/>
          <w:sz w:val="24"/>
          <w:szCs w:val="24"/>
        </w:rPr>
        <w:t xml:space="preserve">La ventana común a las seis series se encuentra limitada por Solana, cuya cotización se inicia en la fecha indicada. Los períodos anteriores se descartan, dado que un modelo multivariante no puede aprender de observaciones incompletas. Debe señalarse que los precios corresponden a un único mercado y no a un promedio ponderado de la industria.</w:t>
      </w:r>
    </w:p>
    <w:p>
      <w:pPr>
        <w:spacing w:after="0" w:line="480" w:lineRule="auto"/>
        <w:ind w:firstLine="720"/>
      </w:pPr>
      <w:r>
        <w:rPr>
          <w:rFonts w:ascii="Times New Roman" w:cs="Times New Roman" w:eastAsia="Times New Roman" w:hAnsi="Times New Roman"/>
          <w:color w:val="000000"/>
          <w:sz w:val="24"/>
          <w:szCs w:val="24"/>
        </w:rPr>
        <w:t xml:space="preserve">Adicionalmente, y siguiendo la indicación del profesor, varios conceptos se ilustran mediante series construidas de manera sintética, en las cuales la volatilidad y la correlación se fijan de antemano. Estas series permiten verificar que los métodos empleados detectan aquello que declaran detectar, antes de aplicarlos sobre datos en los que la respuesta correcta se desconoce. Las series construidas se identifican explícitamente como tales en cada figura.</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Marco Teórico: Series de Tiempo</w:t>
      </w:r>
    </w:p>
    <w:p>
      <w:pPr>
        <w:pStyle w:val="Heading2"/>
        <w:spacing w:after="0" w:before="0" w:line="480" w:lineRule="auto"/>
      </w:pPr>
      <w:r>
        <w:rPr>
          <w:rFonts w:ascii="Times New Roman" w:cs="Times New Roman" w:eastAsia="Times New Roman" w:hAnsi="Times New Roman"/>
          <w:b/>
          <w:bCs/>
          <w:color w:val="000000"/>
          <w:sz w:val="24"/>
          <w:szCs w:val="24"/>
        </w:rPr>
        <w:t xml:space="preserve">Definición de Serie Temporal</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serie temporal, señalar que el orden de las observaciones es parte de la información y que las observaciones no son independientes entre sí. Vincular con la Figura 1.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1</w:t>
      </w:r>
    </w:p>
    <w:p>
      <w:pPr>
        <w:keepNext/>
        <w:spacing w:after="120" w:line="480" w:lineRule="auto"/>
      </w:pPr>
      <w:r>
        <w:rPr>
          <w:rFonts w:ascii="Times New Roman" w:cs="Times New Roman" w:eastAsia="Times New Roman" w:hAnsi="Times New Roman"/>
          <w:i/>
          <w:iCs/>
          <w:color w:val="000000"/>
          <w:sz w:val="24"/>
          <w:szCs w:val="24"/>
        </w:rPr>
        <w:t xml:space="preserve">Precio de cierre diario de Litecoin</w:t>
      </w:r>
    </w:p>
    <w:p>
      <w:pPr>
        <w:spacing w:after="12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4797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Serie de 2 185 observaciones diarias del precio de cierre de LTC entre el 11 de agosto de 2020 y el 4 de agosto de 2026. Elaboración propia a partir de datos de Binance.</w:t>
      </w:r>
    </w:p>
    <w:p>
      <w:pPr>
        <w:pStyle w:val="Heading2"/>
        <w:spacing w:after="0" w:before="0" w:line="480" w:lineRule="auto"/>
      </w:pPr>
      <w:r>
        <w:rPr>
          <w:rFonts w:ascii="Times New Roman" w:cs="Times New Roman" w:eastAsia="Times New Roman" w:hAnsi="Times New Roman"/>
          <w:b/>
          <w:bCs/>
          <w:color w:val="000000"/>
          <w:sz w:val="24"/>
          <w:szCs w:val="24"/>
        </w:rPr>
        <w:t xml:space="preserve">Componentes de una Serie Temporal</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Explicar tendencia, estacionalidad, ciclo y componente irregular. Analizar el dato medido: la estacionalidad semanal representa apenas el 0,426 % de la variación total, lo cual es coherente con un mercado que opera de forma ininterrumpida y carece de efecto de fin de semana.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2</w:t>
      </w:r>
    </w:p>
    <w:p>
      <w:pPr>
        <w:keepNext/>
        <w:spacing w:after="120" w:line="480" w:lineRule="auto"/>
      </w:pPr>
      <w:r>
        <w:rPr>
          <w:rFonts w:ascii="Times New Roman" w:cs="Times New Roman" w:eastAsia="Times New Roman" w:hAnsi="Times New Roman"/>
          <w:i/>
          <w:iCs/>
          <w:color w:val="000000"/>
          <w:sz w:val="24"/>
          <w:szCs w:val="24"/>
        </w:rPr>
        <w:t xml:space="preserve">Descomposición aditiva de la serie de Litecoin</w:t>
      </w:r>
    </w:p>
    <w:p>
      <w:pPr>
        <w:spacing w:after="120"/>
        <w:jc w:val="center"/>
      </w:pPr>
      <w:r>
        <w:drawing>
          <wp:inline distT="0" distB="0" distL="0" distR="0">
            <wp:extent cx="5715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29200"/>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Descomposición en tendencia, estacionalidad de período semanal y residuo. El componente estacional representa el 0,426 % de la desviación total de la serie.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Estacionariedad</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estacionariedad en sentido débil: media, varianza y autocovarianza constantes en el tiempo. Explicar la prueba de Dickey-Fuller aumentada y su hipótesis nula. Advertencia de redacción: no rechazar la hipótesis nula no demuestra que la serie carezca de estacionariedad, sino que no existe evidencia suficiente en contra. Borrar este parrafo al completarlo.]</w:t>
      </w:r>
    </w:p>
    <w:p>
      <w:pPr>
        <w:spacing w:after="0" w:before="240" w:line="480" w:lineRule="auto"/>
      </w:pPr>
      <w:r>
        <w:rPr>
          <w:rFonts w:ascii="Times New Roman" w:cs="Times New Roman" w:eastAsia="Times New Roman" w:hAnsi="Times New Roman"/>
          <w:b/>
          <w:bCs/>
          <w:color w:val="000000"/>
          <w:sz w:val="24"/>
          <w:szCs w:val="24"/>
        </w:rPr>
        <w:t xml:space="preserve">Tabla 1</w:t>
      </w:r>
    </w:p>
    <w:p>
      <w:pPr>
        <w:spacing w:after="60" w:line="480" w:lineRule="auto"/>
      </w:pPr>
      <w:r>
        <w:rPr>
          <w:rFonts w:ascii="Times New Roman" w:cs="Times New Roman" w:eastAsia="Times New Roman" w:hAnsi="Times New Roman"/>
          <w:i/>
          <w:iCs/>
          <w:color w:val="000000"/>
          <w:sz w:val="24"/>
          <w:szCs w:val="24"/>
        </w:rPr>
        <w:t xml:space="preserve">Resultados de la prueba de Dickey-Fuller aumentada</w:t>
      </w:r>
    </w:p>
    <w:tbl>
      <w:tblPr>
        <w:tblW w:type="dxa" w:w="9360"/>
        <w:tblBorders>
          <w:top w:val="none"/>
          <w:left w:val="none"/>
          <w:bottom w:val="none"/>
          <w:right w:val="none"/>
          <w:insideH w:val="none"/>
          <w:insideV w:val="none"/>
        </w:tblBorders>
      </w:tblPr>
      <w:tblGrid>
        <w:gridCol w:w="2808"/>
        <w:gridCol w:w="2246"/>
        <w:gridCol w:w="2246"/>
        <w:gridCol w:w="2059"/>
      </w:tblGrid>
      <w:tr>
        <w:trPr>
          <w:tblHeader/>
        </w:trPr>
        <w:tc>
          <w:tcPr>
            <w:tcW w:type="dxa" w:w="2808"/>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Criptomoneda</w:t>
            </w:r>
          </w:p>
        </w:tc>
        <w:tc>
          <w:tcPr>
            <w:tcW w:type="dxa" w:w="2246"/>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p-valor en nivel</w:t>
            </w:r>
          </w:p>
        </w:tc>
        <w:tc>
          <w:tcPr>
            <w:tcW w:type="dxa" w:w="2246"/>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p-valor en retornos</w:t>
            </w:r>
          </w:p>
        </w:tc>
        <w:tc>
          <w:tcPr>
            <w:tcW w:type="dxa" w:w="2059"/>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Rechaza en nivel</w:t>
            </w:r>
          </w:p>
        </w:tc>
      </w:tr>
      <w:tr>
        <w:tc>
          <w:tcPr>
            <w:tcW w:type="dxa" w:w="280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LTC</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0,179</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r>
        <w:tc>
          <w:tcPr>
            <w:tcW w:type="dxa" w:w="280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BTC</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0,483</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r>
        <w:tc>
          <w:tcPr>
            <w:tcW w:type="dxa" w:w="280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ETH</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0,059</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r>
        <w:tc>
          <w:tcPr>
            <w:tcW w:type="dxa" w:w="280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SOL</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0,274</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r>
        <w:tc>
          <w:tcPr>
            <w:tcW w:type="dxa" w:w="280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XRP</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0,285</w:t>
            </w:r>
          </w:p>
        </w:tc>
        <w:tc>
          <w:tcPr>
            <w:tcW w:type="dxa" w:w="2246"/>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r>
        <w:tc>
          <w:tcPr>
            <w:tcW w:type="dxa" w:w="2808"/>
            <w:tcBorders>
              <w:top w:val="none"/>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ADA</w:t>
            </w:r>
          </w:p>
        </w:tc>
        <w:tc>
          <w:tcPr>
            <w:tcW w:type="dxa" w:w="2246"/>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0,159</w:t>
            </w:r>
          </w:p>
        </w:tc>
        <w:tc>
          <w:tcPr>
            <w:tcW w:type="dxa" w:w="2246"/>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&lt; 0,001</w:t>
            </w:r>
          </w:p>
        </w:tc>
        <w:tc>
          <w:tcPr>
            <w:tcW w:type="dxa" w:w="2059"/>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No</w:t>
            </w:r>
          </w:p>
        </w:tc>
      </w:tr>
    </w:tbl>
    <w:p>
      <w:pPr>
        <w:spacing w:after="240" w:before="6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La hipótesis nula de la prueba establece la presencia de una raíz unitaria, es decir, ausencia de estacionariedad. Ninguna de las seis series rechaza dicha hipótesis en nivel; las seis la rechazan al trabajar sobre retornos. Elaboración propia.</w:t>
      </w:r>
    </w:p>
    <w:p>
      <w:pPr>
        <w:keepNext/>
        <w:spacing w:after="0" w:before="240" w:line="480" w:lineRule="auto"/>
      </w:pPr>
      <w:r>
        <w:rPr>
          <w:rFonts w:ascii="Times New Roman" w:cs="Times New Roman" w:eastAsia="Times New Roman" w:hAnsi="Times New Roman"/>
          <w:b/>
          <w:bCs/>
          <w:color w:val="000000"/>
          <w:sz w:val="24"/>
          <w:szCs w:val="24"/>
        </w:rPr>
        <w:t xml:space="preserve">Figura 3</w:t>
      </w:r>
    </w:p>
    <w:p>
      <w:pPr>
        <w:keepNext/>
        <w:spacing w:after="120" w:line="480" w:lineRule="auto"/>
      </w:pPr>
      <w:r>
        <w:rPr>
          <w:rFonts w:ascii="Times New Roman" w:cs="Times New Roman" w:eastAsia="Times New Roman" w:hAnsi="Times New Roman"/>
          <w:i/>
          <w:iCs/>
          <w:color w:val="000000"/>
          <w:sz w:val="24"/>
          <w:szCs w:val="24"/>
        </w:rPr>
        <w:t xml:space="preserve">Comparación de p-valores en nivel y en retornos</w:t>
      </w:r>
    </w:p>
    <w:p>
      <w:pPr>
        <w:spacing w:after="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La escala vertical es logarítmica, dado que los p-valores obtenidos sobre retornos se encuentran varios órdenes de magnitud por debajo del umbral de significancia. La línea discontinua señala el umbral de 0,05. Elaboración propia.</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Comentar el caso de Ethereum, cuyo p-valor en nivel es 0,059 y se sitúa apenas por encima del umbral. Señalar que se trata de un resultado limítrofe y que ello ilustra la dependencia de la prueba respecto del período observado.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No Estacionariedad</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Explicar por qué los precios en nivel no son estacionarios: presentan tendencia y su varianza crece con el nivel. Exponer las consecuencias para el modelado y justificar la transformación a retornos. Concluir con la decisión que de ello se deriva: las características del modelo se construyen sobre retornos y no sobre precios en nivel.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Heterocedasticidad</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homocedasticidad y heterocedasticidad. Utilizar la Figura 4 para mostrar el contraste sobre series de respuesta conocida y explicar por qué esta propiedad invalida los supuestos de los modelos ARIMA.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4</w:t>
      </w:r>
    </w:p>
    <w:p>
      <w:pPr>
        <w:keepNext/>
        <w:spacing w:after="120" w:line="480" w:lineRule="auto"/>
      </w:pPr>
      <w:r>
        <w:rPr>
          <w:rFonts w:ascii="Times New Roman" w:cs="Times New Roman" w:eastAsia="Times New Roman" w:hAnsi="Times New Roman"/>
          <w:i/>
          <w:iCs/>
          <w:color w:val="000000"/>
          <w:sz w:val="24"/>
          <w:szCs w:val="24"/>
        </w:rPr>
        <w:t xml:space="preserve">Contraste entre volatilidad constante y volatilidad por tramos</w:t>
      </w:r>
    </w:p>
    <w:p>
      <w:pPr>
        <w:spacing w:after="12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Ambas series fueron construidas por los autores y no corresponden a datos de mercado. En la serie superior la volatilidad se fijó constante y el cociente entre tramos resultó de 1,28; en la inferior se multiplicó por cinco en tramos alternos y dicho cociente ascendió a 6,41.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Volatilidad</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la volatilidad y su estimación mediante desviación estándar móvil de los retornos. Desarrollar el argumento sobre el cociente medido, que constituye evidencia directa de heterocedasticidad en datos reales.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5</w:t>
      </w:r>
    </w:p>
    <w:p>
      <w:pPr>
        <w:keepNext/>
        <w:spacing w:after="120" w:line="480" w:lineRule="auto"/>
      </w:pPr>
      <w:r>
        <w:rPr>
          <w:rFonts w:ascii="Times New Roman" w:cs="Times New Roman" w:eastAsia="Times New Roman" w:hAnsi="Times New Roman"/>
          <w:i/>
          <w:iCs/>
          <w:color w:val="000000"/>
          <w:sz w:val="24"/>
          <w:szCs w:val="24"/>
        </w:rPr>
        <w:t xml:space="preserve">Precio de cierre de Litecoin y su volatilidad móvil</w:t>
      </w:r>
    </w:p>
    <w:p>
      <w:pPr>
        <w:spacing w:after="12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Volatilidad estimada mediante desviación estándar móvil de los retornos sobre una ventana de 30 observaciones. La volatilidad del tramo más agitado equivale a 8,8 veces la del tramo más estable.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Autocorrelación</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la función de autocorrelación. Analizar los dos hallazgos de la Figura 6: en nivel la autocorrelación es prácticamente unitaria y decae con lentitud, lo cual confirma la ausencia de estacionariedad; en retornos resulta próxima a cero. Desarrollar la implicación: la ausencia de autocorrelación lineal significativa en los retornos constituye un argumento medido a favor del empleo de modelos no lineales y multivariantes.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6</w:t>
      </w:r>
    </w:p>
    <w:p>
      <w:pPr>
        <w:keepNext/>
        <w:spacing w:after="120" w:line="480" w:lineRule="auto"/>
      </w:pPr>
      <w:r>
        <w:rPr>
          <w:rFonts w:ascii="Times New Roman" w:cs="Times New Roman" w:eastAsia="Times New Roman" w:hAnsi="Times New Roman"/>
          <w:i/>
          <w:iCs/>
          <w:color w:val="000000"/>
          <w:sz w:val="24"/>
          <w:szCs w:val="24"/>
        </w:rPr>
        <w:t xml:space="preserve">Función de autocorrelación de Litecoin en nivel y en retornos</w:t>
      </w:r>
    </w:p>
    <w:p>
      <w:pPr>
        <w:spacing w:after="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La autocorrelación en el primer rezago alcanza 0,991 sobre precios en nivel y -0,036 sobre retornos. Únicamente 3 rezagos de los retornos exceden la banda de confianza del 95 %.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Correlación Cruzada</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la correlación cruzada y distinguirla de la autocorrelación. Desarrollar el contraste entre el cálculo sobre niveles y sobre retornos, que constituye el punto de análisis principal de esta sección. Concluir señalando que las correlaciones observadas justifican el planteamiento multivariante del problema. Borrar este parrafo al completarlo.]</w:t>
      </w:r>
    </w:p>
    <w:p>
      <w:pPr>
        <w:spacing w:after="0" w:before="240" w:line="480" w:lineRule="auto"/>
      </w:pPr>
      <w:r>
        <w:rPr>
          <w:rFonts w:ascii="Times New Roman" w:cs="Times New Roman" w:eastAsia="Times New Roman" w:hAnsi="Times New Roman"/>
          <w:b/>
          <w:bCs/>
          <w:color w:val="000000"/>
          <w:sz w:val="24"/>
          <w:szCs w:val="24"/>
        </w:rPr>
        <w:t xml:space="preserve">Tabla 2</w:t>
      </w:r>
    </w:p>
    <w:p>
      <w:pPr>
        <w:spacing w:after="60" w:line="480" w:lineRule="auto"/>
      </w:pPr>
      <w:r>
        <w:rPr>
          <w:rFonts w:ascii="Times New Roman" w:cs="Times New Roman" w:eastAsia="Times New Roman" w:hAnsi="Times New Roman"/>
          <w:i/>
          <w:iCs/>
          <w:color w:val="000000"/>
          <w:sz w:val="24"/>
          <w:szCs w:val="24"/>
        </w:rPr>
        <w:t xml:space="preserve">Correlación entre pares de criptomonedas según la variable empleada</w:t>
      </w:r>
    </w:p>
    <w:tbl>
      <w:tblPr>
        <w:tblW w:type="dxa" w:w="9360"/>
        <w:tblBorders>
          <w:top w:val="none"/>
          <w:left w:val="none"/>
          <w:bottom w:val="none"/>
          <w:right w:val="none"/>
          <w:insideH w:val="none"/>
          <w:insideV w:val="none"/>
        </w:tblBorders>
      </w:tblPr>
      <w:tblGrid>
        <w:gridCol w:w="3182"/>
        <w:gridCol w:w="3089"/>
        <w:gridCol w:w="3089"/>
      </w:tblGrid>
      <w:tr>
        <w:trPr>
          <w:tblHeader/>
        </w:trPr>
        <w:tc>
          <w:tcPr>
            <w:tcW w:type="dxa" w:w="3182"/>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Comparación</w:t>
            </w:r>
          </w:p>
        </w:tc>
        <w:tc>
          <w:tcPr>
            <w:tcW w:type="dxa" w:w="3089"/>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Sobre precios en nivel</w:t>
            </w:r>
          </w:p>
        </w:tc>
        <w:tc>
          <w:tcPr>
            <w:tcW w:type="dxa" w:w="3089"/>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Sobre retornos</w:t>
            </w:r>
          </w:p>
        </w:tc>
      </w:tr>
      <w:tr>
        <w:tc>
          <w:tcPr>
            <w:tcW w:type="dxa" w:w="3182"/>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LTC – BTC</w:t>
            </w:r>
          </w:p>
        </w:tc>
        <w:tc>
          <w:tcPr>
            <w:tcW w:type="dxa" w:w="308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0,126</w:t>
            </w:r>
          </w:p>
        </w:tc>
        <w:tc>
          <w:tcPr>
            <w:tcW w:type="dxa" w:w="308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0,715</w:t>
            </w:r>
          </w:p>
        </w:tc>
      </w:tr>
      <w:tr>
        <w:tc>
          <w:tcPr>
            <w:tcW w:type="dxa" w:w="3182"/>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LTC – ADA</w:t>
            </w:r>
          </w:p>
        </w:tc>
        <w:tc>
          <w:tcPr>
            <w:tcW w:type="dxa" w:w="308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0,796</w:t>
            </w:r>
          </w:p>
        </w:tc>
        <w:tc>
          <w:tcPr>
            <w:tcW w:type="dxa" w:w="3089"/>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0,641</w:t>
            </w:r>
          </w:p>
        </w:tc>
      </w:tr>
      <w:tr>
        <w:tc>
          <w:tcPr>
            <w:tcW w:type="dxa" w:w="3182"/>
            <w:tcBorders>
              <w:top w:val="none"/>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Rango de todos los pares</w:t>
            </w:r>
          </w:p>
        </w:tc>
        <w:tc>
          <w:tcPr>
            <w:tcW w:type="dxa" w:w="3089"/>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0,126 – 0,888</w:t>
            </w:r>
          </w:p>
        </w:tc>
        <w:tc>
          <w:tcPr>
            <w:tcW w:type="dxa" w:w="3089"/>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0,475 – 0,806</w:t>
            </w:r>
          </w:p>
        </w:tc>
      </w:tr>
    </w:tbl>
    <w:p>
      <w:pPr>
        <w:spacing w:after="240" w:before="6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El cálculo sobre precios en nivel produce un ordenamiento económicamente implausible, al atribuir a Litecoin una relación casi nula con Bitcoin y una relación fuerte con Cardano. Sobre retornos el rango se reduce a la mitad y el ordenamiento resulta coherente con la estructura del mercado. Elaboración propia.</w:t>
      </w:r>
    </w:p>
    <w:p>
      <w:pPr>
        <w:keepNext/>
        <w:spacing w:after="0" w:before="240" w:line="480" w:lineRule="auto"/>
      </w:pPr>
      <w:r>
        <w:rPr>
          <w:rFonts w:ascii="Times New Roman" w:cs="Times New Roman" w:eastAsia="Times New Roman" w:hAnsi="Times New Roman"/>
          <w:b/>
          <w:bCs/>
          <w:color w:val="000000"/>
          <w:sz w:val="24"/>
          <w:szCs w:val="24"/>
        </w:rPr>
        <w:t xml:space="preserve">Figura 7</w:t>
      </w:r>
    </w:p>
    <w:p>
      <w:pPr>
        <w:keepNext/>
        <w:spacing w:after="120" w:line="480" w:lineRule="auto"/>
      </w:pPr>
      <w:r>
        <w:rPr>
          <w:rFonts w:ascii="Times New Roman" w:cs="Times New Roman" w:eastAsia="Times New Roman" w:hAnsi="Times New Roman"/>
          <w:i/>
          <w:iCs/>
          <w:color w:val="000000"/>
          <w:sz w:val="24"/>
          <w:szCs w:val="24"/>
        </w:rPr>
        <w:t xml:space="preserve">Matrices de correlación de series construidas y de datos reales</w:t>
      </w:r>
    </w:p>
    <w:p>
      <w:pPr>
        <w:spacing w:after="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764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Los dos primeros paneles corresponden a series construidas por los autores, generadas con correlación objetivo de 0,10 y 0,90; las correlaciones medidas resultaron de 0,095 y 0,903, respectivamente. El tercer panel corresponde a los retornos reales de las seis criptomonedas. Elaboración propia.</w:t>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Marco Teórico: Criptoactivos y sus Características</w:t>
      </w:r>
    </w:p>
    <w:p>
      <w:pPr>
        <w:pStyle w:val="Heading2"/>
        <w:spacing w:after="0" w:before="0" w:line="480" w:lineRule="auto"/>
      </w:pPr>
      <w:r>
        <w:rPr>
          <w:rFonts w:ascii="Times New Roman" w:cs="Times New Roman" w:eastAsia="Times New Roman" w:hAnsi="Times New Roman"/>
          <w:b/>
          <w:bCs/>
          <w:color w:val="000000"/>
          <w:sz w:val="24"/>
          <w:szCs w:val="24"/>
        </w:rPr>
        <w:t xml:space="preserve">Definición de Criptoactivo</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el concepto de criptoactivo, distinguirlo de un activo financiero tradicional y explicar el papel del registro distribuido.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Características Principales</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Exponer descentralización, disponibilidad continua, divisibilidad y transparencia del registro. Vincular la operación ininterrumpida del mercado con la ausencia de estacionalidad semanal documentada en la sección anterior.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Principales Tipos</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Clasificar los criptoactivos y ubicar las seis criptomonedas del estudio dentro de dicha clasificación.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Mercado Cripto</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Describir la estructura del mercado, el papel de los mercados centralizados, la capitalización y la liquidez.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Factores que Afectan el Precio</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Exponer los factores de oferta y demanda, los eventos de reducción de emisión, el entorno regulatorio, el sentimiento y el contagio entre activos. Borrar este parrafo al completarlo.]</w:t>
      </w:r>
    </w:p>
    <w:p>
      <w:pPr>
        <w:pStyle w:val="Heading2"/>
        <w:spacing w:after="0" w:before="0" w:line="480" w:lineRule="auto"/>
      </w:pPr>
      <w:r>
        <w:rPr>
          <w:rFonts w:ascii="Times New Roman" w:cs="Times New Roman" w:eastAsia="Times New Roman" w:hAnsi="Times New Roman"/>
          <w:b/>
          <w:bCs/>
          <w:color w:val="000000"/>
          <w:sz w:val="24"/>
          <w:szCs w:val="24"/>
        </w:rPr>
        <w:t xml:space="preserve">Correlación y Dependencia entre Activos</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Desarrollar la interpretación económica de las correlaciones presentadas en la Tabla 2 y la Figura 7. Explicar por qué resulta esperable que Ethereum y Bitcoin presenten la mayor correlación con Litecoin, y analizar las implicaciones de un mercado con correlaciones elevadas en términos de diversificación y contagio. Borrar este parrafo al completarlo.]</w:t>
      </w:r>
    </w:p>
    <w:p>
      <w:pPr>
        <w:spacing w:after="0" w:before="240" w:line="480" w:lineRule="auto"/>
      </w:pPr>
      <w:r>
        <w:rPr>
          <w:rFonts w:ascii="Times New Roman" w:cs="Times New Roman" w:eastAsia="Times New Roman" w:hAnsi="Times New Roman"/>
          <w:b/>
          <w:bCs/>
          <w:color w:val="000000"/>
          <w:sz w:val="24"/>
          <w:szCs w:val="24"/>
        </w:rPr>
        <w:t xml:space="preserve">Tabla 3</w:t>
      </w:r>
    </w:p>
    <w:p>
      <w:pPr>
        <w:spacing w:after="60" w:line="480" w:lineRule="auto"/>
      </w:pPr>
      <w:r>
        <w:rPr>
          <w:rFonts w:ascii="Times New Roman" w:cs="Times New Roman" w:eastAsia="Times New Roman" w:hAnsi="Times New Roman"/>
          <w:i/>
          <w:iCs/>
          <w:color w:val="000000"/>
          <w:sz w:val="24"/>
          <w:szCs w:val="24"/>
        </w:rPr>
        <w:t xml:space="preserve">Correlación de los retornos de las criptomonedas de apoyo con Litecoin</w:t>
      </w:r>
    </w:p>
    <w:tbl>
      <w:tblPr>
        <w:tblW w:type="dxa" w:w="9360"/>
        <w:tblBorders>
          <w:top w:val="none"/>
          <w:left w:val="none"/>
          <w:bottom w:val="none"/>
          <w:right w:val="none"/>
          <w:insideH w:val="none"/>
          <w:insideV w:val="none"/>
        </w:tblBorders>
      </w:tblPr>
      <w:tblGrid>
        <w:gridCol w:w="4680"/>
        <w:gridCol w:w="4680"/>
      </w:tblGrid>
      <w:tr>
        <w:trPr>
          <w:tblHeader/>
        </w:trPr>
        <w:tc>
          <w:tcPr>
            <w:tcW w:type="dxa" w:w="4680"/>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Criptomoneda</w:t>
            </w:r>
          </w:p>
        </w:tc>
        <w:tc>
          <w:tcPr>
            <w:tcW w:type="dxa" w:w="4680"/>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Correlación con LTC</w:t>
            </w:r>
          </w:p>
        </w:tc>
      </w:tr>
      <w:tr>
        <w:tc>
          <w:tcPr>
            <w:tcW w:type="dxa" w:w="4680"/>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ETH</w:t>
            </w:r>
          </w:p>
        </w:tc>
        <w:tc>
          <w:tcPr>
            <w:tcW w:type="dxa" w:w="4680"/>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0,740</w:t>
            </w:r>
          </w:p>
        </w:tc>
      </w:tr>
      <w:tr>
        <w:tc>
          <w:tcPr>
            <w:tcW w:type="dxa" w:w="4680"/>
            <w:tcBorders>
              <w:top w:val="none"/>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SOL</w:t>
            </w:r>
          </w:p>
        </w:tc>
        <w:tc>
          <w:tcPr>
            <w:tcW w:type="dxa" w:w="4680"/>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0,524</w:t>
            </w:r>
          </w:p>
        </w:tc>
      </w:tr>
    </w:tbl>
    <w:p>
      <w:pPr>
        <w:spacing w:after="240" w:before="6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Se presentan los valores extremos. La matriz completa figura en la Figura 7.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Definición de Punto de Inflexión</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Establecer que un máximo local no existe en términos absolutos, sino en relación con una ventana de observación. Incluir la propiedad aritmética demostrable: dos máximos no pueden situarse a menos de w+1 observaciones de distancia, de lo cual se deriva que a lo sumo una de cada w+1 observaciones puede clasificarse como máximo.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8</w:t>
      </w:r>
    </w:p>
    <w:p>
      <w:pPr>
        <w:keepNext/>
        <w:spacing w:after="120" w:line="480" w:lineRule="auto"/>
      </w:pPr>
      <w:r>
        <w:rPr>
          <w:rFonts w:ascii="Times New Roman" w:cs="Times New Roman" w:eastAsia="Times New Roman" w:hAnsi="Times New Roman"/>
          <w:i/>
          <w:iCs/>
          <w:color w:val="000000"/>
          <w:sz w:val="24"/>
          <w:szCs w:val="24"/>
        </w:rPr>
        <w:t xml:space="preserve">Serie construida con puntos de inflexión conocidos</w:t>
      </w:r>
    </w:p>
    <w:p>
      <w:pPr>
        <w:spacing w:after="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289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Serie construida por los autores. Los puntos marcados corresponden exactamente a los vértices establecidos durante su generación. El detector identificó 18 de 18 vértices, sin falsos positivos.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Encontrar Puntos de Inflexión</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Contrastar dos enfoques: el análisis de estructura de mercado mediante máximos y mínimos sucesivos, y el criterio automático de ventana empleado en este proyecto. Señalar la limitación inherente: determinar si una observación constituye un máximo exige observar las w posteriores, de modo que la etiqueta se conoce con retraso.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9</w:t>
      </w:r>
    </w:p>
    <w:p>
      <w:pPr>
        <w:keepNext/>
        <w:spacing w:after="120" w:line="480" w:lineRule="auto"/>
      </w:pPr>
      <w:r>
        <w:rPr>
          <w:rFonts w:ascii="Times New Roman" w:cs="Times New Roman" w:eastAsia="Times New Roman" w:hAnsi="Times New Roman"/>
          <w:i/>
          <w:iCs/>
          <w:color w:val="000000"/>
          <w:sz w:val="24"/>
          <w:szCs w:val="24"/>
        </w:rPr>
        <w:t xml:space="preserve">Puntos de inflexión detectados en la serie real de Litecoin</w:t>
      </w:r>
    </w:p>
    <w:p>
      <w:pPr>
        <w:spacing w:after="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289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Últimas 250 observaciones de la serie de LTC, con los puntos de inflexión identificados mediante el criterio de ventana con w = 5. Elaboración propia.</w:t>
      </w:r>
    </w:p>
    <w:p>
      <w:pPr>
        <w:pStyle w:val="Heading2"/>
        <w:spacing w:after="0" w:before="0" w:line="480" w:lineRule="auto"/>
      </w:pPr>
      <w:r>
        <w:rPr>
          <w:rFonts w:ascii="Times New Roman" w:cs="Times New Roman" w:eastAsia="Times New Roman" w:hAnsi="Times New Roman"/>
          <w:b/>
          <w:bCs/>
          <w:color w:val="000000"/>
          <w:sz w:val="24"/>
          <w:szCs w:val="24"/>
        </w:rPr>
        <w:t xml:space="preserve">Métricas de Evaluación para Puntos de Inflexión</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Explicar por qué el desbalance de clases es estructural y no accidental, y por qué invalida la exactitud como medida de calidad. Borrar este parrafo al completarlo.]</w:t>
      </w:r>
    </w:p>
    <w:p>
      <w:pPr>
        <w:keepNext/>
        <w:spacing w:after="0" w:before="240" w:line="480" w:lineRule="auto"/>
      </w:pPr>
      <w:r>
        <w:rPr>
          <w:rFonts w:ascii="Times New Roman" w:cs="Times New Roman" w:eastAsia="Times New Roman" w:hAnsi="Times New Roman"/>
          <w:b/>
          <w:bCs/>
          <w:color w:val="000000"/>
          <w:sz w:val="24"/>
          <w:szCs w:val="24"/>
        </w:rPr>
        <w:t xml:space="preserve">Figura 10</w:t>
      </w:r>
    </w:p>
    <w:p>
      <w:pPr>
        <w:keepNext/>
        <w:spacing w:after="120" w:line="480" w:lineRule="auto"/>
      </w:pPr>
      <w:r>
        <w:rPr>
          <w:rFonts w:ascii="Times New Roman" w:cs="Times New Roman" w:eastAsia="Times New Roman" w:hAnsi="Times New Roman"/>
          <w:i/>
          <w:iCs/>
          <w:color w:val="000000"/>
          <w:sz w:val="24"/>
          <w:szCs w:val="24"/>
        </w:rPr>
        <w:t xml:space="preserve">Distribución de las clases en la serie de Litecoin</w:t>
      </w:r>
    </w:p>
    <w:p>
      <w:pPr>
        <w:spacing w:after="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Distribución obtenida con w = 5 sobre observaciones diarias. Elaboración propia.</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Desarrollar el argumento central de esta sección a partir de la Tabla 4: un modelo que no detecta ningún punto de inflexión alcanza una exactitud del 86,9 %. Explicar cómo el F1 macro y la precisión direccional revelan dicha limitación. Borrar este parrafo al completarlo.]</w:t>
      </w:r>
    </w:p>
    <w:p>
      <w:pPr>
        <w:spacing w:after="0" w:before="240" w:line="480" w:lineRule="auto"/>
      </w:pPr>
      <w:r>
        <w:rPr>
          <w:rFonts w:ascii="Times New Roman" w:cs="Times New Roman" w:eastAsia="Times New Roman" w:hAnsi="Times New Roman"/>
          <w:b/>
          <w:bCs/>
          <w:color w:val="000000"/>
          <w:sz w:val="24"/>
          <w:szCs w:val="24"/>
        </w:rPr>
        <w:t xml:space="preserve">Tabla 4</w:t>
      </w:r>
    </w:p>
    <w:p>
      <w:pPr>
        <w:spacing w:after="60" w:line="480" w:lineRule="auto"/>
      </w:pPr>
      <w:r>
        <w:rPr>
          <w:rFonts w:ascii="Times New Roman" w:cs="Times New Roman" w:eastAsia="Times New Roman" w:hAnsi="Times New Roman"/>
          <w:i/>
          <w:iCs/>
          <w:color w:val="000000"/>
          <w:sz w:val="24"/>
          <w:szCs w:val="24"/>
        </w:rPr>
        <w:t xml:space="preserve">Desempeño del modelo de referencia trivial</w:t>
      </w:r>
    </w:p>
    <w:tbl>
      <w:tblPr>
        <w:tblW w:type="dxa" w:w="9360"/>
        <w:tblBorders>
          <w:top w:val="none"/>
          <w:left w:val="none"/>
          <w:bottom w:val="none"/>
          <w:right w:val="none"/>
          <w:insideH w:val="none"/>
          <w:insideV w:val="none"/>
        </w:tblBorders>
      </w:tblPr>
      <w:tblGrid>
        <w:gridCol w:w="5148"/>
        <w:gridCol w:w="4212"/>
      </w:tblGrid>
      <w:tr>
        <w:trPr>
          <w:tblHeader/>
        </w:trPr>
        <w:tc>
          <w:tcPr>
            <w:tcW w:type="dxa" w:w="5148"/>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Métrica</w:t>
            </w:r>
          </w:p>
        </w:tc>
        <w:tc>
          <w:tcPr>
            <w:tcW w:type="dxa" w:w="4212"/>
            <w:tcBorders>
              <w:top w:val="single" w:color="000000" w:sz="6"/>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Valor obtenido</w:t>
            </w:r>
          </w:p>
        </w:tc>
      </w:tr>
      <w:tr>
        <w:tc>
          <w:tcPr>
            <w:tcW w:type="dxa" w:w="514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Exactitud</w:t>
            </w:r>
          </w:p>
        </w:tc>
        <w:tc>
          <w:tcPr>
            <w:tcW w:type="dxa" w:w="4212"/>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0,869</w:t>
            </w:r>
          </w:p>
        </w:tc>
      </w:tr>
      <w:tr>
        <w:tc>
          <w:tcPr>
            <w:tcW w:type="dxa" w:w="514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F1 macro</w:t>
            </w:r>
          </w:p>
        </w:tc>
        <w:tc>
          <w:tcPr>
            <w:tcW w:type="dxa" w:w="4212"/>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0,310</w:t>
            </w:r>
          </w:p>
        </w:tc>
      </w:tr>
      <w:tr>
        <w:tc>
          <w:tcPr>
            <w:tcW w:type="dxa" w:w="5148"/>
            <w:tcBorders>
              <w:top w:val="none"/>
              <w:left w:val="none"/>
              <w:bottom w:val="none"/>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Precisión direccional</w:t>
            </w:r>
          </w:p>
        </w:tc>
        <w:tc>
          <w:tcPr>
            <w:tcW w:type="dxa" w:w="4212"/>
            <w:tcBorders>
              <w:top w:val="none"/>
              <w:left w:val="none"/>
              <w:bottom w:val="none"/>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0,000</w:t>
            </w:r>
          </w:p>
        </w:tc>
      </w:tr>
      <w:tr>
        <w:tc>
          <w:tcPr>
            <w:tcW w:type="dxa" w:w="5148"/>
            <w:tcBorders>
              <w:top w:val="none"/>
              <w:left w:val="none"/>
              <w:bottom w:val="single" w:color="000000" w:sz="6"/>
              <w:right w:val="none"/>
            </w:tcBorders>
            <w:tcMar>
              <w:top w:type="dxa" w:w="60"/>
              <w:left w:type="dxa" w:w="100"/>
              <w:bottom w:type="dxa" w:w="60"/>
              <w:right w:type="dxa" w:w="100"/>
            </w:tcMar>
          </w:tcPr>
          <w:p>
            <w:pPr>
              <w:spacing w:after="0" w:line="240" w:lineRule="auto"/>
              <w:jc w:val="left"/>
            </w:pPr>
            <w:r>
              <w:rPr>
                <w:rFonts w:ascii="Times New Roman" w:cs="Times New Roman" w:eastAsia="Times New Roman" w:hAnsi="Times New Roman"/>
                <w:color w:val="000000"/>
                <w:sz w:val="24"/>
                <w:szCs w:val="24"/>
              </w:rPr>
              <w:t xml:space="preserve">Observaciones evaluadas</w:t>
            </w:r>
          </w:p>
        </w:tc>
        <w:tc>
          <w:tcPr>
            <w:tcW w:type="dxa" w:w="4212"/>
            <w:tcBorders>
              <w:top w:val="none"/>
              <w:left w:val="none"/>
              <w:bottom w:val="single" w:color="000000" w:sz="6"/>
              <w:right w:val="none"/>
            </w:tcBorders>
            <w:tcMar>
              <w:top w:type="dxa" w:w="60"/>
              <w:left w:type="dxa" w:w="100"/>
              <w:bottom w:type="dxa" w:w="60"/>
              <w:right w:type="dxa" w:w="100"/>
            </w:tcMar>
          </w:tcPr>
          <w:p>
            <w:pPr>
              <w:spacing w:after="0" w:line="240" w:lineRule="auto"/>
              <w:jc w:val="center"/>
            </w:pPr>
            <w:r>
              <w:rPr>
                <w:rFonts w:ascii="Times New Roman" w:cs="Times New Roman" w:eastAsia="Times New Roman" w:hAnsi="Times New Roman"/>
                <w:color w:val="000000"/>
                <w:sz w:val="24"/>
                <w:szCs w:val="24"/>
              </w:rPr>
              <w:t xml:space="preserve">2 175</w:t>
            </w:r>
          </w:p>
        </w:tc>
      </w:tr>
    </w:tbl>
    <w:p>
      <w:pPr>
        <w:spacing w:after="240" w:before="6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El modelo de referencia trivial responde siempre la clase de continuidad y, por construcción, no detecta ningún punto de inflexión. Valores obtenidos con w = 5 sobre observaciones diarias. Elaboración propia.</w:t>
      </w:r>
    </w:p>
    <w:p>
      <w:pPr>
        <w:keepNext/>
        <w:spacing w:after="0" w:before="240" w:line="480" w:lineRule="auto"/>
      </w:pPr>
      <w:r>
        <w:rPr>
          <w:rFonts w:ascii="Times New Roman" w:cs="Times New Roman" w:eastAsia="Times New Roman" w:hAnsi="Times New Roman"/>
          <w:b/>
          <w:bCs/>
          <w:color w:val="000000"/>
          <w:sz w:val="24"/>
          <w:szCs w:val="24"/>
        </w:rPr>
        <w:t xml:space="preserve">Figura 11</w:t>
      </w:r>
    </w:p>
    <w:p>
      <w:pPr>
        <w:keepNext/>
        <w:spacing w:after="120" w:line="480" w:lineRule="auto"/>
      </w:pPr>
      <w:r>
        <w:rPr>
          <w:rFonts w:ascii="Times New Roman" w:cs="Times New Roman" w:eastAsia="Times New Roman" w:hAnsi="Times New Roman"/>
          <w:i/>
          <w:iCs/>
          <w:color w:val="000000"/>
          <w:sz w:val="24"/>
          <w:szCs w:val="24"/>
        </w:rPr>
        <w:t xml:space="preserve">Matriz de confusión del modelo de referencia trivial</w:t>
      </w:r>
    </w:p>
    <w:p>
      <w:pPr>
        <w:spacing w:after="120"/>
        <w:jc w:val="center"/>
      </w:pPr>
      <w:r>
        <w:drawing>
          <wp:inline distT="0" distB="0" distL="0" distR="0">
            <wp:extent cx="5715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29125"/>
                    </a:xfrm>
                    <a:prstGeom prst="rect">
                      <a:avLst/>
                    </a:prstGeom>
                  </pic:spPr>
                </pic:pic>
              </a:graphicData>
            </a:graphic>
          </wp:inline>
        </w:drawing>
      </w:r>
    </w:p>
    <w:p>
      <w:pPr>
        <w:spacing w:after="240" w:line="480" w:lineRule="auto"/>
      </w:pPr>
      <w:r>
        <w:rPr>
          <w:rFonts w:ascii="Times New Roman" w:cs="Times New Roman" w:eastAsia="Times New Roman" w:hAnsi="Times New Roman"/>
          <w:i/>
          <w:iCs/>
          <w:color w:val="000000"/>
          <w:sz w:val="24"/>
          <w:szCs w:val="24"/>
        </w:rPr>
        <w:t xml:space="preserve">Nota.</w:t>
      </w:r>
      <w:r>
        <w:rPr>
          <w:rFonts w:ascii="Times New Roman" w:cs="Times New Roman" w:eastAsia="Times New Roman" w:hAnsi="Times New Roman"/>
          <w:color w:val="000000"/>
          <w:sz w:val="24"/>
          <w:szCs w:val="24"/>
        </w:rPr>
        <w:t xml:space="preserve"> La totalidad de las predicciones se concentra en la clase de continuidad, de modo que ningún máximo ni mínimo resulta identificado. Elaboración propia.</w:t>
      </w:r>
    </w:p>
    <w:p>
      <w:pPr>
        <w:spacing w:after="0" w:line="480" w:lineRule="auto"/>
        <w:ind w:firstLine="720"/>
      </w:pPr>
      <w:r>
        <w:rPr>
          <w:rFonts w:ascii="Times New Roman" w:cs="Times New Roman" w:eastAsia="Times New Roman" w:hAnsi="Times New Roman"/>
          <w:i/>
          <w:iCs/>
          <w:color w:val="595959"/>
          <w:sz w:val="24"/>
          <w:szCs w:val="24"/>
        </w:rPr>
        <w:t xml:space="preserve">[PENDIENTE DE REDACCION — Definir y justificar cada métrica empleada: F1 por clase, F1 macro frente a F1 ponderado, precisión direccional y matriz de confusión. Declarar explícitamente que la definición de precisión direccional adoptada es propia, dado que el enunciado no precisa su interpretación en un problema de clasificación multiclase. Borrar este parrafo al completarlo.]</w:t>
      </w:r>
    </w:p>
    <w:p>
      <w:r>
        <w:br w:type="page"/>
      </w:r>
    </w:p>
    <w:p>
      <w:pPr>
        <w:pStyle w:val="Heading1"/>
        <w:spacing w:after="0" w:before="0" w:line="480" w:lineRule="auto"/>
        <w:jc w:val="center"/>
      </w:pPr>
      <w:r>
        <w:rPr>
          <w:rFonts w:ascii="Times New Roman" w:cs="Times New Roman" w:eastAsia="Times New Roman" w:hAnsi="Times New Roman"/>
          <w:b/>
          <w:bCs/>
          <w:color w:val="000000"/>
          <w:sz w:val="24"/>
          <w:szCs w:val="24"/>
        </w:rPr>
        <w:t xml:space="preserve">Referencias</w:t>
      </w:r>
    </w:p>
    <w:p>
      <w:pPr>
        <w:spacing w:after="0" w:line="480" w:lineRule="auto"/>
        <w:ind w:left="720" w:hanging="720"/>
      </w:pPr>
      <w:r>
        <w:rPr>
          <w:rFonts w:ascii="Times New Roman" w:cs="Times New Roman" w:eastAsia="Times New Roman" w:hAnsi="Times New Roman"/>
          <w:i/>
          <w:iCs/>
          <w:color w:val="595959"/>
          <w:sz w:val="24"/>
          <w:szCs w:val="24"/>
        </w:rPr>
        <w:t xml:space="preserve">[PENDIENTE DE REDACCION — Incorporar las referencias en formato APA 7, ordenadas alfabéticamente y con sangría francesa de media pulgada. Se requiere al menos una fuente académica por concepto principal. El formato de este párrafo ya corresponde al exigido: basta con reemplazar el texto.]</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0" w:line="480"/>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3eb892c9e97fd75d5066c87e1d9e030a79421f3.png"/><Relationship Id="rId9" Type="http://schemas.openxmlformats.org/officeDocument/2006/relationships/image" Target="media/2aebd1e1bf5cf481e85262d91311a6c6843df99d.png"/><Relationship Id="rId10" Type="http://schemas.openxmlformats.org/officeDocument/2006/relationships/image" Target="media/be9a83ce7568c6d81d4a2bfcb35f7ecfba95f21e.png"/><Relationship Id="rId11" Type="http://schemas.openxmlformats.org/officeDocument/2006/relationships/image" Target="media/e40e0fc3984ceadc2ce44dfa201dfe416623c80a.png"/><Relationship Id="rId12" Type="http://schemas.openxmlformats.org/officeDocument/2006/relationships/image" Target="media/98a014322f5ebac91ca933377d0c96ab11d26758.png"/><Relationship Id="rId13" Type="http://schemas.openxmlformats.org/officeDocument/2006/relationships/image" Target="media/e6dc4c705032066536a998209e3f7cdc70575cb7.png"/><Relationship Id="rId14" Type="http://schemas.openxmlformats.org/officeDocument/2006/relationships/image" Target="media/2b3d27b2e8a08f141354f58649d502a156693102.png"/><Relationship Id="rId15" Type="http://schemas.openxmlformats.org/officeDocument/2006/relationships/image" Target="media/7b02f39a572b8c2821403d60cd06aef6e297bae5.png"/><Relationship Id="rId16" Type="http://schemas.openxmlformats.org/officeDocument/2006/relationships/image" Target="media/2d533aaf96c3766b7a850e972c8bceec58e2a740.png"/><Relationship Id="rId17" Type="http://schemas.openxmlformats.org/officeDocument/2006/relationships/image" Target="media/43105353448ba56953524c34bfa1b9a746ca5e61.png"/><Relationship Id="rId18" Type="http://schemas.openxmlformats.org/officeDocument/2006/relationships/image" Target="media/6a042c6db7f01f3c08915cfc0a6402162a713a4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Un-named</cp:lastModifiedBy>
  <cp:revision>1</cp:revision>
  <dcterms:created xsi:type="dcterms:W3CDTF">2026-08-12T15:28:52.563Z</dcterms:created>
  <dcterms:modified xsi:type="dcterms:W3CDTF">2026-08-12T15:28:52.564Z</dcterms:modified>
</cp:coreProperties>
</file>

<file path=docProps/custom.xml><?xml version="1.0" encoding="utf-8"?>
<Properties xmlns="http://schemas.openxmlformats.org/officeDocument/2006/custom-properties" xmlns:vt="http://schemas.openxmlformats.org/officeDocument/2006/docPropsVTypes"/>
</file>