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Tabla de 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spacing w:after="0" w:line="480" w:lineRule="auto"/>
        <w:ind w:firstLine="720"/>
      </w:pPr>
      <w:r>
        <w:rPr>
          <w:rFonts w:ascii="Times New Roman" w:cs="Times New Roman" w:eastAsia="Times New Roman" w:hAnsi="Times New Roman"/>
          <w:color w:val="000000"/>
          <w:sz w:val="24"/>
          <w:szCs w:val="24"/>
        </w:rPr>
        <w:t xml:space="preserve">El presente documento constituye el marco teórico del Caso N.º 1 y corresponde a la primera de las cinco entregas del proyecto. Su objeto es establecer los fundamentos conceptuales sobre series de tiempo y sobre criptoactivos que sustentan el desarrollo posterior de un modelo de aprendizaje automático supervisado para el pronóstico de puntos de inflexión en el precio de Litecoin.</w:t>
      </w:r>
    </w:p>
    <w:p>
      <w:pPr>
        <w:spacing w:after="0" w:line="480" w:lineRule="auto"/>
        <w:ind w:firstLine="720"/>
      </w:pPr>
      <w:r>
        <w:rPr>
          <w:rFonts w:ascii="Times New Roman" w:cs="Times New Roman" w:eastAsia="Times New Roman" w:hAnsi="Times New Roman"/>
          <w:color w:val="000000"/>
          <w:sz w:val="24"/>
          <w:szCs w:val="24"/>
        </w:rPr>
        <w:t xml:space="preserve">El problema que motiva el trabajo puede enunciarse con precisión. Se busca clasificar cada instante de la serie de precios de LTC en una de tres categorías —máximo local, mínimo local o zona de continuidad— utilizando como variables de apoyo el comportamiento de las cinco criptomonedas de mayor capitalización con función sistémica en el mercado: Bitcoin, Ethereum, Solana, XRP y Cardano. La dificultad no reside en la formulación, que es un problema de clasificación multiclase, sino en las propiedades de las series involucradas: ausencia de estacionariedad, volatilidad elevada y variable en el tiempo, y ausencia de un anclaje de valoración fundamental que permita anticipar reversiones por argumentos económicos.</w:t>
      </w:r>
    </w:p>
    <w:p>
      <w:pPr>
        <w:spacing w:after="0" w:line="480" w:lineRule="auto"/>
        <w:ind w:firstLine="720"/>
      </w:pPr>
      <w:r>
        <w:rPr>
          <w:rFonts w:ascii="Times New Roman" w:cs="Times New Roman" w:eastAsia="Times New Roman" w:hAnsi="Times New Roman"/>
          <w:color w:val="000000"/>
          <w:sz w:val="24"/>
          <w:szCs w:val="24"/>
        </w:rPr>
        <w:t xml:space="preserve">El documento adopta un criterio metodológico que conviene declarar desde el inicio, porque condiciona la forma de todas las secciones. </w:t>
      </w:r>
      <w:r>
        <w:rPr>
          <w:rFonts w:ascii="Times New Roman" w:cs="Times New Roman" w:eastAsia="Times New Roman" w:hAnsi="Times New Roman"/>
          <w:b/>
          <w:bCs/>
          <w:color w:val="000000"/>
          <w:sz w:val="24"/>
          <w:szCs w:val="24"/>
        </w:rPr>
        <w:t xml:space="preserve">Ningún concepto se expone únicamente como definición.</w:t>
      </w:r>
      <w:r>
        <w:rPr>
          <w:rFonts w:ascii="Times New Roman" w:cs="Times New Roman" w:eastAsia="Times New Roman" w:hAnsi="Times New Roman"/>
          <w:color w:val="000000"/>
          <w:sz w:val="24"/>
          <w:szCs w:val="24"/>
        </w:rPr>
        <w:t xml:space="preserve"> Cada propiedad enunciada se acompaña de su verificación sobre los datos del proyecto, y el valor obtenido se reporta explícitamente. Cuando una afirmación no ha sido comprobada, se indica que no lo ha sido en lugar de omitirse.</w:t>
      </w:r>
    </w:p>
    <w:p>
      <w:pPr>
        <w:spacing w:after="0" w:line="480" w:lineRule="auto"/>
        <w:ind w:firstLine="720"/>
      </w:pPr>
      <w:r>
        <w:rPr>
          <w:rFonts w:ascii="Times New Roman" w:cs="Times New Roman" w:eastAsia="Times New Roman" w:hAnsi="Times New Roman"/>
          <w:color w:val="000000"/>
          <w:sz w:val="24"/>
          <w:szCs w:val="24"/>
        </w:rPr>
        <w:t xml:space="preserve">A ese criterio se añade un segundo, sugerido por el profesor durante la sesión de trabajo. Varios conceptos se ilustran mediante </w:t>
      </w:r>
      <w:r>
        <w:rPr>
          <w:rFonts w:ascii="Times New Roman" w:cs="Times New Roman" w:eastAsia="Times New Roman" w:hAnsi="Times New Roman"/>
          <w:b/>
          <w:bCs/>
          <w:color w:val="000000"/>
          <w:sz w:val="24"/>
          <w:szCs w:val="24"/>
        </w:rPr>
        <w:t xml:space="preserve">series construidas sintéticamente por los autores</w:t>
      </w:r>
      <w:r>
        <w:rPr>
          <w:rFonts w:ascii="Times New Roman" w:cs="Times New Roman" w:eastAsia="Times New Roman" w:hAnsi="Times New Roman"/>
          <w:color w:val="000000"/>
          <w:sz w:val="24"/>
          <w:szCs w:val="24"/>
        </w:rPr>
        <w:t xml:space="preserve">, en las cuales la volatilidad y la correlación se fijan de antemano. El propósito es verificar que los procedimientos empleados detectan aquello que declaran detectar antes de aplicarlos sobre datos reales, donde la respuesta correcta se desconoce. Las series construidas se identifican como tales en cada figura, y ninguna afirmación sobre el mercado se apoya en ellas.</w:t>
      </w:r>
    </w:p>
    <w:p>
      <w:pPr>
        <w:spacing w:after="0" w:line="480" w:lineRule="auto"/>
        <w:ind w:firstLine="720"/>
      </w:pPr>
      <w:r>
        <w:rPr>
          <w:rFonts w:ascii="Times New Roman" w:cs="Times New Roman" w:eastAsia="Times New Roman" w:hAnsi="Times New Roman"/>
          <w:color w:val="000000"/>
          <w:sz w:val="24"/>
          <w:szCs w:val="24"/>
        </w:rPr>
        <w:t xml:space="preserve">La exposición se organiza en tres bloques. El primero desarrolla los fundamentos de series de tiempo: definición y componentes, estacionariedad y su ausencia, heterocedasticidad, volatilidad, autocorrelación y correlación cruzada. El segundo aborda los criptoactivos: su definición y características, los tipos existentes, la estructura del mercado, los factores que determinan el precio, la dependencia entre activos, y la definición operativa del punto de inflexión junto con los procedimientos para identificarlo. El tercero examina las métricas de evaluación apropiadas para este problema, cuestión que exige tratamiento propio debido al desbalance estructural de las clases.</w:t>
      </w:r>
    </w:p>
    <w:p>
      <w:pPr>
        <w:spacing w:after="0" w:line="480" w:lineRule="auto"/>
        <w:ind w:firstLine="720"/>
      </w:pPr>
      <w:r>
        <w:rPr>
          <w:rFonts w:ascii="Times New Roman" w:cs="Times New Roman" w:eastAsia="Times New Roman" w:hAnsi="Times New Roman"/>
          <w:color w:val="000000"/>
          <w:sz w:val="24"/>
          <w:szCs w:val="24"/>
        </w:rPr>
        <w:t xml:space="preserve">Los datos empleados en todo el documento provienen de la interfaz pública de programación de Binance y comprenden 2 185 observaciones diarias del precio de cierre de las seis criptomonedas, entre el 11 de agosto de 2020 y el 4 de agosto de 2026. La ventana se encuentra acotada por Solana, cuya cotización se inicia en la primera de esas fechas; un panel multivariante exige que las seis series existan simultáneamente en cada instante, de modo que los períodos anteriores se descartan por incompletos.</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Marco Teórico: Series de Tiempo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Jose Pablo Monestel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S1-M1-06</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1. Definición de serie temporal</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Precio de cierre diario de Litecoin, 2 185 observaciones entre el 11 de agosto de 2020 y el 4 de agosto de 2026.</w:t>
      </w:r>
    </w:p>
    <w:p>
      <w:pPr>
        <w:spacing w:after="120"/>
        <w:jc w:val="center"/>
      </w:pPr>
      <w:r>
        <w:drawing>
          <wp:inline distT="0" distB="0" distL="0" distR="0">
            <wp:extent cx="5715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4797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Qué es una serie temporal y qué la distingue de un conjunto de datos cualquiera: el orden importa, y las observaciones no son independientes entre sí. Conectá con la Figura 1: nuestro caso son 2 185 obse]</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2. Componentes de una serie temporal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Descomposición aditiva de la serie de LTC en tendencia, estacionalidad de período semanal y residuo.</w:t>
      </w:r>
    </w:p>
    <w:p>
      <w:pPr>
        <w:spacing w:after="120"/>
        <w:jc w:val="center"/>
      </w:pPr>
      <w:r>
        <w:drawing>
          <wp:inline distT="0" distB="0" distL="0" distR="0">
            <wp:extent cx="57150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292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el componente estacional representa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desviación total de la serie.</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Tendencia, estacionalidad, ciclo y componente irregular. El dato interesante para analizar: la estacionalidad semanal es prácticamente inexistente (0,426 %), a diferencia de lo que pasa en series financi]</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3. Estacionariedad</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p-valores del test de Dickey-Fuller aumentado sobre las seis criptomonedas, en precios en nivel y en retornos.</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p-valores en nivel: LTC 0,179 · BTC 0,483 · </w:t>
      </w:r>
      <w:r>
        <w:rPr>
          <w:rFonts w:ascii="Times New Roman" w:cs="Times New Roman" w:eastAsia="Times New Roman" w:hAnsi="Times New Roman"/>
          <w:b/>
          <w:bCs/>
          <w:color w:val="000000"/>
          <w:sz w:val="24"/>
          <w:szCs w:val="24"/>
        </w:rPr>
        <w:t xml:space="preserve">ETH 0,059</w:t>
      </w:r>
      <w:r>
        <w:rPr>
          <w:rFonts w:ascii="Times New Roman" w:cs="Times New Roman" w:eastAsia="Times New Roman" w:hAnsi="Times New Roman"/>
          <w:color w:val="000000"/>
          <w:sz w:val="24"/>
          <w:szCs w:val="24"/>
        </w:rPr>
        <w:t xml:space="preserve"> · SOL 0,274 · XRP 0,285 · ADA 0,159. En retornos, los seis dan p &lt; 0,000001.</w:t>
      </w:r>
    </w:p>
    <w:p>
      <w:pPr>
        <w:spacing w:after="0" w:line="480" w:lineRule="auto"/>
        <w:ind w:firstLine="720"/>
      </w:pPr>
      <w:r>
        <w:rPr>
          <w:rFonts w:ascii="Times New Roman" w:cs="Times New Roman" w:eastAsia="Times New Roman" w:hAnsi="Times New Roman"/>
          <w:b/>
          <w:bCs/>
          <w:color w:val="000000"/>
          <w:sz w:val="24"/>
          <w:szCs w:val="24"/>
        </w:rPr>
        <w:t xml:space="preserve">Control:</w:t>
      </w:r>
      <w:r>
        <w:rPr>
          <w:rFonts w:ascii="Times New Roman" w:cs="Times New Roman" w:eastAsia="Times New Roman" w:hAnsi="Times New Roman"/>
          <w:color w:val="000000"/>
          <w:sz w:val="24"/>
          <w:szCs w:val="24"/>
        </w:rPr>
        <w:t xml:space="preserve"> el test también se corrió sobre una serie construida por nosotros cuyos retornos son estacionarios por construcción, y los rechazó todos. El método detecta lo que dice detectar.</w:t>
      </w:r>
    </w:p>
    <w:p>
      <w:pPr>
        <w:spacing w:after="0" w:line="480" w:lineRule="auto"/>
        <w:ind w:firstLine="720"/>
      </w:pPr>
      <w:r>
        <w:rPr>
          <w:rFonts w:ascii="Times New Roman" w:cs="Times New Roman" w:eastAsia="Times New Roman" w:hAnsi="Times New Roman"/>
          <w:b/>
          <w:bCs/>
          <w:color w:val="000000"/>
          <w:sz w:val="24"/>
          <w:szCs w:val="24"/>
        </w:rPr>
        <w:t xml:space="preserve">Un matiz que conviene mencionar:</w:t>
      </w:r>
      <w:r>
        <w:rPr>
          <w:rFonts w:ascii="Times New Roman" w:cs="Times New Roman" w:eastAsia="Times New Roman" w:hAnsi="Times New Roman"/>
          <w:color w:val="000000"/>
          <w:sz w:val="24"/>
          <w:szCs w:val="24"/>
        </w:rPr>
        <w:t xml:space="preserve"> ETH queda en 0,059, apenas por encima del umbral de 0,05. No cambia la conclusión, pero decirlo demuestra que leíste la tabla en vez de resumirla. Un caso al borde merece nombrarse: con otro período de muestra podría cruzar el umbral, y eso ilustra que el resultado del test depende de la ventana observada.</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Qué significa que una serie sea estacionaria: media, varianza y autocovarianza que no dependen del tiempo. Explicá el test ADF y su hipótesis nula.  **Cuidado con la redacción, esto es lo que separa un 3]</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4. No estacionariedad</w:t>
      </w:r>
    </w:p>
    <w:p>
      <w:pPr>
        <w:spacing w:after="0" w:line="480" w:lineRule="auto"/>
        <w:ind w:firstLine="720"/>
      </w:pPr>
      <w:r>
        <w:rPr>
          <w:rFonts w:ascii="Times New Roman" w:cs="Times New Roman" w:eastAsia="Times New Roman" w:hAnsi="Times New Roman"/>
          <w:color w:val="000000"/>
          <w:sz w:val="24"/>
          <w:szCs w:val="24"/>
        </w:rPr>
        <w:t xml:space="preserve">Mismo material que la sección anterior, leído al revés.</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Por qué los precios no son estacionarios: tienen tendencia y su varianza crece con el nivel. Qué consecuencias tiene para el modelado, y por qué la transformación a retornos resuelve el problema. Cerrá c]</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5. Heterocedasticidad</w:t>
      </w:r>
    </w:p>
    <w:p>
      <w:pPr>
        <w:keepNext/>
        <w:spacing w:after="0" w:before="240" w:line="480" w:lineRule="auto"/>
      </w:pPr>
      <w:r>
        <w:rPr>
          <w:rFonts w:ascii="Times New Roman" w:cs="Times New Roman" w:eastAsia="Times New Roman" w:hAnsi="Times New Roman"/>
          <w:b/>
          <w:bCs/>
          <w:color w:val="000000"/>
          <w:sz w:val="24"/>
          <w:szCs w:val="24"/>
        </w:rPr>
        <w:t xml:space="preserve">Figura 4</w:t>
      </w:r>
    </w:p>
    <w:p>
      <w:pPr>
        <w:keepNext/>
        <w:spacing w:after="120" w:line="480" w:lineRule="auto"/>
      </w:pPr>
      <w:r>
        <w:rPr>
          <w:rFonts w:ascii="Times New Roman" w:cs="Times New Roman" w:eastAsia="Times New Roman" w:hAnsi="Times New Roman"/>
          <w:i/>
          <w:iCs/>
          <w:color w:val="000000"/>
          <w:sz w:val="24"/>
          <w:szCs w:val="24"/>
        </w:rPr>
        <w:t xml:space="preserve">Serie construida con volatilidad constante (arriba) y con volatilidad por tramos (abajo). Ambas generadas por nosotros; no son datos de mercado.</w:t>
      </w:r>
    </w:p>
    <w:p>
      <w:pPr>
        <w:spacing w:after="12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814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 en las series construidas:</w:t>
      </w:r>
      <w:r>
        <w:rPr>
          <w:rFonts w:ascii="Times New Roman" w:cs="Times New Roman" w:eastAsia="Times New Roman" w:hAnsi="Times New Roman"/>
          <w:color w:val="000000"/>
          <w:sz w:val="24"/>
          <w:szCs w:val="24"/>
        </w:rPr>
        <w:t xml:space="preserve"> cociente entre la volatilidad del tramo agitado y la del tranquilo — </w:t>
      </w:r>
      <w:r>
        <w:rPr>
          <w:rFonts w:ascii="Times New Roman" w:cs="Times New Roman" w:eastAsia="Times New Roman" w:hAnsi="Times New Roman"/>
          <w:b/>
          <w:bCs/>
          <w:color w:val="000000"/>
          <w:sz w:val="24"/>
          <w:szCs w:val="24"/>
        </w:rPr>
        <w:t xml:space="preserve">1,28×</w:t>
      </w:r>
      <w:r>
        <w:rPr>
          <w:rFonts w:ascii="Times New Roman" w:cs="Times New Roman" w:eastAsia="Times New Roman" w:hAnsi="Times New Roman"/>
          <w:color w:val="000000"/>
          <w:sz w:val="24"/>
          <w:szCs w:val="24"/>
        </w:rPr>
        <w:t xml:space="preserve"> sin regímenes, </w:t>
      </w:r>
      <w:r>
        <w:rPr>
          <w:rFonts w:ascii="Times New Roman" w:cs="Times New Roman" w:eastAsia="Times New Roman" w:hAnsi="Times New Roman"/>
          <w:b/>
          <w:bCs/>
          <w:color w:val="000000"/>
          <w:sz w:val="24"/>
          <w:szCs w:val="24"/>
        </w:rPr>
        <w:t xml:space="preserve">6,41×</w:t>
      </w:r>
      <w:r>
        <w:rPr>
          <w:rFonts w:ascii="Times New Roman" w:cs="Times New Roman" w:eastAsia="Times New Roman" w:hAnsi="Times New Roman"/>
          <w:color w:val="000000"/>
          <w:sz w:val="24"/>
          <w:szCs w:val="24"/>
        </w:rPr>
        <w:t xml:space="preserve"> con regímenes.</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Definí homocedasticidad y heterocedasticidad. Usá la Figura 4 para mostrar el contraste con la respuesta conocida: en el panel de arriba pusimos volatilidad constante y el cociente sale 1,28, cerca de 1 ]</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6. Volatilidad</w:t>
      </w:r>
    </w:p>
    <w:p>
      <w:pPr>
        <w:keepNext/>
        <w:spacing w:after="0" w:before="240" w:line="480" w:lineRule="auto"/>
      </w:pPr>
      <w:r>
        <w:rPr>
          <w:rFonts w:ascii="Times New Roman" w:cs="Times New Roman" w:eastAsia="Times New Roman" w:hAnsi="Times New Roman"/>
          <w:b/>
          <w:bCs/>
          <w:color w:val="000000"/>
          <w:sz w:val="24"/>
          <w:szCs w:val="24"/>
        </w:rPr>
        <w:t xml:space="preserve">Figura 5</w:t>
      </w:r>
    </w:p>
    <w:p>
      <w:pPr>
        <w:keepNext/>
        <w:spacing w:after="120" w:line="480" w:lineRule="auto"/>
      </w:pPr>
      <w:r>
        <w:rPr>
          <w:rFonts w:ascii="Times New Roman" w:cs="Times New Roman" w:eastAsia="Times New Roman" w:hAnsi="Times New Roman"/>
          <w:i/>
          <w:iCs/>
          <w:color w:val="000000"/>
          <w:sz w:val="24"/>
          <w:szCs w:val="24"/>
        </w:rPr>
        <w:t xml:space="preserve">Precio de cierre de LTC y su volatilidad móvil de 30 velas.</w:t>
      </w:r>
    </w:p>
    <w:p>
      <w:pPr>
        <w:spacing w:after="12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862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la volatilidad del tramo más agitado es </w:t>
      </w:r>
      <w:r>
        <w:rPr>
          <w:rFonts w:ascii="Times New Roman" w:cs="Times New Roman" w:eastAsia="Times New Roman" w:hAnsi="Times New Roman"/>
          <w:b/>
          <w:bCs/>
          <w:color w:val="000000"/>
          <w:sz w:val="24"/>
          <w:szCs w:val="24"/>
        </w:rPr>
        <w:t xml:space="preserve">8,8 veces</w:t>
      </w:r>
      <w:r>
        <w:rPr>
          <w:rFonts w:ascii="Times New Roman" w:cs="Times New Roman" w:eastAsia="Times New Roman" w:hAnsi="Times New Roman"/>
          <w:color w:val="000000"/>
          <w:sz w:val="24"/>
          <w:szCs w:val="24"/>
        </w:rPr>
        <w:t xml:space="preserve"> la del más tranquilo (máxima </w:t>
      </w:r>
      <w:r>
        <w:rPr>
          <w:rFonts w:ascii="Times New Roman" w:cs="Times New Roman" w:eastAsia="Times New Roman" w:hAnsi="Times New Roman"/>
          <w:b/>
          <w:bCs/>
          <w:color w:val="000000"/>
          <w:sz w:val="24"/>
          <w:szCs w:val="24"/>
        </w:rPr>
        <w:t xml:space="preserve">0,1220</w:t>
      </w:r>
      <w:r>
        <w:rPr>
          <w:rFonts w:ascii="Times New Roman" w:cs="Times New Roman" w:eastAsia="Times New Roman" w:hAnsi="Times New Roman"/>
          <w:color w:val="000000"/>
          <w:sz w:val="24"/>
          <w:szCs w:val="24"/>
        </w:rPr>
        <w:t xml:space="preserve">; mínima </w:t>
      </w:r>
      <w:r>
        <w:rPr>
          <w:rFonts w:ascii="Times New Roman" w:cs="Times New Roman" w:eastAsia="Times New Roman" w:hAnsi="Times New Roman"/>
          <w:b/>
          <w:bCs/>
          <w:color w:val="000000"/>
          <w:sz w:val="24"/>
          <w:szCs w:val="24"/>
        </w:rPr>
        <w:t xml:space="preserve">0,0138</w:t>
      </w:r>
      <w:r>
        <w:rPr>
          <w:rFonts w:ascii="Times New Roman" w:cs="Times New Roman" w:eastAsia="Times New Roman" w:hAnsi="Times New Roman"/>
          <w:color w:val="000000"/>
          <w:sz w:val="24"/>
          <w:szCs w:val="24"/>
        </w:rPr>
        <w:t xml:space="preserve">), con ventana móvil de 30 velas sobre retornos diarios.</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Qué es la volatilidad y cómo se estima con desviación estándar móvil de los retornos. El número que sostiene toda la sección es el 8,8×: es evidencia directa de heterocedasticidad en datos reales, no una]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7. Autocorrelación</w:t>
      </w:r>
    </w:p>
    <w:p>
      <w:pPr>
        <w:keepNext/>
        <w:spacing w:after="0" w:before="240" w:line="480" w:lineRule="auto"/>
      </w:pPr>
      <w:r>
        <w:rPr>
          <w:rFonts w:ascii="Times New Roman" w:cs="Times New Roman" w:eastAsia="Times New Roman" w:hAnsi="Times New Roman"/>
          <w:b/>
          <w:bCs/>
          <w:color w:val="000000"/>
          <w:sz w:val="24"/>
          <w:szCs w:val="24"/>
        </w:rPr>
        <w:t xml:space="preserve">Figura 6</w:t>
      </w:r>
    </w:p>
    <w:p>
      <w:pPr>
        <w:keepNext/>
        <w:spacing w:after="120" w:line="480" w:lineRule="auto"/>
      </w:pPr>
      <w:r>
        <w:rPr>
          <w:rFonts w:ascii="Times New Roman" w:cs="Times New Roman" w:eastAsia="Times New Roman" w:hAnsi="Times New Roman"/>
          <w:i/>
          <w:iCs/>
          <w:color w:val="000000"/>
          <w:sz w:val="24"/>
          <w:szCs w:val="24"/>
        </w:rPr>
        <w:t xml:space="preserve">Función de autocorrelación de LTC hasta el rezago 40, en nivel y en retornos, con banda de confianza al 95 %.</w:t>
      </w:r>
    </w:p>
    <w:p>
      <w:pPr>
        <w:spacing w:after="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289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En los retornos solo </w:t>
      </w:r>
      <w:r>
        <w:rPr>
          <w:rFonts w:ascii="Times New Roman" w:cs="Times New Roman" w:eastAsia="Times New Roman" w:hAnsi="Times New Roman"/>
          <w:b/>
          <w:bCs/>
          <w:color w:val="000000"/>
          <w:sz w:val="24"/>
          <w:szCs w:val="24"/>
        </w:rPr>
        <w:t xml:space="preserve">3 rezagos</w:t>
      </w:r>
      <w:r>
        <w:rPr>
          <w:rFonts w:ascii="Times New Roman" w:cs="Times New Roman" w:eastAsia="Times New Roman" w:hAnsi="Times New Roman"/>
          <w:color w:val="000000"/>
          <w:sz w:val="24"/>
          <w:szCs w:val="24"/>
        </w:rPr>
        <w:t xml:space="preserve"> salen de la banda de confianza: los rezagos </w:t>
      </w:r>
      <w:r>
        <w:rPr>
          <w:rFonts w:ascii="Times New Roman" w:cs="Times New Roman" w:eastAsia="Times New Roman" w:hAnsi="Times New Roman"/>
          <w:b/>
          <w:bCs/>
          <w:color w:val="000000"/>
          <w:sz w:val="24"/>
          <w:szCs w:val="24"/>
        </w:rPr>
        <w:t xml:space="preserve">8, 14 y 31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Definí la ACF y para qué sirve. La lectura de la Figura 6 tiene dos partes:  1. En nivel, la autocorrelación es 0,991 y decae lentísimo. Eso **es** la firma de una serie no estacionaria, y confirma la se]</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8. Correlación cruzada</w:t>
      </w:r>
    </w:p>
    <w:p>
      <w:pPr>
        <w:keepNext/>
        <w:spacing w:after="0" w:before="240" w:line="480" w:lineRule="auto"/>
      </w:pPr>
      <w:r>
        <w:rPr>
          <w:rFonts w:ascii="Times New Roman" w:cs="Times New Roman" w:eastAsia="Times New Roman" w:hAnsi="Times New Roman"/>
          <w:b/>
          <w:bCs/>
          <w:color w:val="000000"/>
          <w:sz w:val="24"/>
          <w:szCs w:val="24"/>
        </w:rPr>
        <w:t xml:space="preserve">Figura 7</w:t>
      </w:r>
    </w:p>
    <w:p>
      <w:pPr>
        <w:keepNext/>
        <w:spacing w:after="120" w:line="480" w:lineRule="auto"/>
      </w:pPr>
      <w:r>
        <w:rPr>
          <w:rFonts w:ascii="Times New Roman" w:cs="Times New Roman" w:eastAsia="Times New Roman" w:hAnsi="Times New Roman"/>
          <w:i/>
          <w:iCs/>
          <w:color w:val="000000"/>
          <w:sz w:val="24"/>
          <w:szCs w:val="24"/>
        </w:rPr>
        <w:t xml:space="preserve">Matrices de correlación. Izquierda y centro: series construidas con correlación baja y alta fijadas por nosotros. Derecha: retornos reales de las seis criptomonedas.</w:t>
      </w:r>
    </w:p>
    <w:p>
      <w:pPr>
        <w:spacing w:after="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Casos concretos:</w:t>
      </w:r>
    </w:p>
    <w:p>
      <w:pPr>
        <w:spacing w:after="0" w:line="480" w:lineRule="auto"/>
        <w:ind w:firstLine="720"/>
      </w:pPr>
      <w:r>
        <w:rPr>
          <w:rFonts w:ascii="Times New Roman" w:cs="Times New Roman" w:eastAsia="Times New Roman" w:hAnsi="Times New Roman"/>
          <w:color w:val="000000"/>
          <w:sz w:val="24"/>
          <w:szCs w:val="24"/>
        </w:rPr>
        <w:t xml:space="preserve">Mayor correlación con LTC: </w:t>
      </w:r>
      <w:r>
        <w:rPr>
          <w:rFonts w:ascii="Times New Roman" w:cs="Times New Roman" w:eastAsia="Times New Roman" w:hAnsi="Times New Roman"/>
          <w:b/>
          <w:bCs/>
          <w:color w:val="000000"/>
          <w:sz w:val="24"/>
          <w:szCs w:val="24"/>
        </w:rPr>
        <w:t xml:space="preserve">ETH, 0,740</w:t>
      </w:r>
      <w:r>
        <w:rPr>
          <w:rFonts w:ascii="Times New Roman" w:cs="Times New Roman" w:eastAsia="Times New Roman" w:hAnsi="Times New Roman"/>
          <w:color w:val="000000"/>
          <w:sz w:val="24"/>
          <w:szCs w:val="24"/>
        </w:rPr>
        <w:t xml:space="preserve">. Menor: </w:t>
      </w:r>
      <w:r>
        <w:rPr>
          <w:rFonts w:ascii="Times New Roman" w:cs="Times New Roman" w:eastAsia="Times New Roman" w:hAnsi="Times New Roman"/>
          <w:b/>
          <w:bCs/>
          <w:color w:val="000000"/>
          <w:sz w:val="24"/>
          <w:szCs w:val="24"/>
        </w:rPr>
        <w:t xml:space="preserve">SOL, 0,524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Control:</w:t>
      </w:r>
      <w:r>
        <w:rPr>
          <w:rFonts w:ascii="Times New Roman" w:cs="Times New Roman" w:eastAsia="Times New Roman" w:hAnsi="Times New Roman"/>
          <w:color w:val="000000"/>
          <w:sz w:val="24"/>
          <w:szCs w:val="24"/>
        </w:rPr>
        <w:t xml:space="preserve"> las construidas se pidieron con correlación 0,1 y 0,9; salieron medidas en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0,9033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**ESCRIBÍ ACÁ.** Definí correlación cruzada y su diferencia con la autocorrelación.  **El punto de análisis fuerte es el contraste nivel/retornos, y hay que contarlo bien.** El problema de la correlación en nivel acá no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En nivel</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En retornos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 – BTC</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0,715</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 – ADA</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0,796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0,641</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Marco Teórico: Criptoactivos y sus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S1-M2-05</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1. Definición de criptoactivo</w:t>
      </w:r>
    </w:p>
    <w:p>
      <w:pPr>
        <w:spacing w:after="0" w:line="480" w:lineRule="auto"/>
        <w:ind w:firstLine="720"/>
      </w:pPr>
      <w:r>
        <w:rPr>
          <w:rFonts w:ascii="Times New Roman" w:cs="Times New Roman" w:eastAsia="Times New Roman" w:hAnsi="Times New Roman"/>
          <w:color w:val="000000"/>
          <w:sz w:val="24"/>
          <w:szCs w:val="24"/>
        </w:rPr>
        <w:t xml:space="preserve">Un criptoactivo es una representación digital de valor que se registra, se transfiere y se almacena mediante criptografía sobre un registro distribuido, y cuya validez no depende de que una entidad central certifique cada operación. El Grupo de Acción Financiera Internacional lo define de forma funcional, como una representación digital de valor susceptible de ser negociada o transferida electrónicamente y utilizable para pago o inversión (Financial Action Task Force [FATF], 2021). Esa definición —qué hace el activo, no quién lo emite— es la que conviene adoptar en un trabajo cuantitativo.</w:t>
      </w:r>
    </w:p>
    <w:p>
      <w:pPr>
        <w:spacing w:after="0" w:line="480" w:lineRule="auto"/>
        <w:ind w:firstLine="720"/>
      </w:pPr>
      <w:r>
        <w:rPr>
          <w:rFonts w:ascii="Times New Roman" w:cs="Times New Roman" w:eastAsia="Times New Roman" w:hAnsi="Times New Roman"/>
          <w:color w:val="000000"/>
          <w:sz w:val="24"/>
          <w:szCs w:val="24"/>
        </w:rPr>
        <w:t xml:space="preserve">Lo que distingue a un criptoactivo de un activo financiero tradicional no es que sea digital: un depósito bancario también lo es. La diferencia está en </w:t>
      </w:r>
      <w:r>
        <w:rPr>
          <w:rFonts w:ascii="Times New Roman" w:cs="Times New Roman" w:eastAsia="Times New Roman" w:hAnsi="Times New Roman"/>
          <w:b/>
          <w:bCs/>
          <w:color w:val="000000"/>
          <w:sz w:val="24"/>
          <w:szCs w:val="24"/>
        </w:rPr>
        <w:t xml:space="preserve">quién garantiza el registro</w:t>
      </w:r>
      <w:r>
        <w:rPr>
          <w:rFonts w:ascii="Times New Roman" w:cs="Times New Roman" w:eastAsia="Times New Roman" w:hAnsi="Times New Roman"/>
          <w:color w:val="000000"/>
          <w:sz w:val="24"/>
          <w:szCs w:val="24"/>
        </w:rPr>
        <w:t xml:space="preserve">. En un activo tradicional existe un intermediario —banco, depositaria de valores, cámara de compensación— cuyo libro contable es la fuente de verdad, y la propiedad del activo es una anotación en ese libro. En un criptoactivo el libro está replicado por una red de participantes que acuerdan su contenido mediante un protocolo de consenso, de modo que la propiedad se prueba con una clave criptográfica y no con la palabra de un custodio (Nakamoto, 2008; Narayanan et al., 2016).</w:t>
      </w:r>
    </w:p>
    <w:p>
      <w:pPr>
        <w:spacing w:after="0" w:line="480" w:lineRule="auto"/>
        <w:ind w:firstLine="720"/>
      </w:pPr>
      <w:r>
        <w:rPr>
          <w:rFonts w:ascii="Times New Roman" w:cs="Times New Roman" w:eastAsia="Times New Roman" w:hAnsi="Times New Roman"/>
          <w:color w:val="000000"/>
          <w:sz w:val="24"/>
          <w:szCs w:val="24"/>
        </w:rPr>
        <w:t xml:space="preserve">De ahí se deriva la propiedad que más importa para este trabajo: </w:t>
      </w:r>
      <w:r>
        <w:rPr>
          <w:rFonts w:ascii="Times New Roman" w:cs="Times New Roman" w:eastAsia="Times New Roman" w:hAnsi="Times New Roman"/>
          <w:b/>
          <w:bCs/>
          <w:color w:val="000000"/>
          <w:sz w:val="24"/>
          <w:szCs w:val="24"/>
        </w:rPr>
        <w:t xml:space="preserve">no existe un emisor con obligación de pago</w:t>
      </w:r>
      <w:r>
        <w:rPr>
          <w:rFonts w:ascii="Times New Roman" w:cs="Times New Roman" w:eastAsia="Times New Roman" w:hAnsi="Times New Roman"/>
          <w:color w:val="000000"/>
          <w:sz w:val="24"/>
          <w:szCs w:val="24"/>
        </w:rPr>
        <w:t xml:space="preserve">. Un bono tiene un flujo contractual; una acción, un derecho residual sobre las utilidades. Un criptoactivo no tiene ninguno de los dos y carece, por lo tanto, de un anclaje de valoración fundamental comparable. Böhme et al. (2015) señalan que su precio se determina enteramente por el equilibrio entre quienes desean adquirirlo y quienes desean desprenderse de él, sin un valor de referencia externo que ancle las expectativas.</w:t>
      </w:r>
    </w:p>
    <w:p>
      <w:pPr>
        <w:spacing w:after="0" w:line="480" w:lineRule="auto"/>
        <w:ind w:firstLine="720"/>
      </w:pPr>
      <w:r>
        <w:rPr>
          <w:rFonts w:ascii="Times New Roman" w:cs="Times New Roman" w:eastAsia="Times New Roman" w:hAnsi="Times New Roman"/>
          <w:color w:val="000000"/>
          <w:sz w:val="24"/>
          <w:szCs w:val="24"/>
        </w:rPr>
        <w:t xml:space="preserve">Esa ausencia de ancla es la razón técnica por la que este proyecto se plantea como un problema de </w:t>
      </w:r>
      <w:r>
        <w:rPr>
          <w:rFonts w:ascii="Times New Roman" w:cs="Times New Roman" w:eastAsia="Times New Roman" w:hAnsi="Times New Roman"/>
          <w:b/>
          <w:bCs/>
          <w:color w:val="000000"/>
          <w:sz w:val="24"/>
          <w:szCs w:val="24"/>
        </w:rPr>
        <w:t xml:space="preserve">reconocimiento de patrones sobre la serie de precios</w:t>
      </w:r>
      <w:r>
        <w:rPr>
          <w:rFonts w:ascii="Times New Roman" w:cs="Times New Roman" w:eastAsia="Times New Roman" w:hAnsi="Times New Roman"/>
          <w:color w:val="000000"/>
          <w:sz w:val="24"/>
          <w:szCs w:val="24"/>
        </w:rPr>
        <w:t xml:space="preserve"> y no como un problema de valoración. No hay un múltiplo al que el precio deba revertir; hay una serie temporal cuya dinámica hay que caracterizar. Y es también la razón por la que el enunciado exige un enfoque multivariante: si no hay fundamentales que expliquen el precio de LTC, buena parte de la información disponible está en cómo se comportan los demás criptoactivos.</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2. Características principales</w:t>
      </w:r>
    </w:p>
    <w:p>
      <w:pPr>
        <w:spacing w:after="0" w:line="480" w:lineRule="auto"/>
        <w:ind w:firstLine="720"/>
      </w:pPr>
      <w:r>
        <w:rPr>
          <w:rFonts w:ascii="Times New Roman" w:cs="Times New Roman" w:eastAsia="Times New Roman" w:hAnsi="Times New Roman"/>
          <w:b/>
          <w:bCs/>
          <w:color w:val="000000"/>
          <w:sz w:val="24"/>
          <w:szCs w:val="24"/>
        </w:rPr>
        <w:t xml:space="preserve">Descentralización del registro.</w:t>
      </w:r>
      <w:r>
        <w:rPr>
          <w:rFonts w:ascii="Times New Roman" w:cs="Times New Roman" w:eastAsia="Times New Roman" w:hAnsi="Times New Roman"/>
          <w:color w:val="000000"/>
          <w:sz w:val="24"/>
          <w:szCs w:val="24"/>
        </w:rPr>
        <w:t xml:space="preserve"> Ningún participante puede modificar unilateralmente el historial de transacciones. Esto tiene una consecuencia práctica para nosotros: no existe un precio oficial emitido por una autoridad. Cada exchange forma su propio precio, y elegir la fuente es una decisión metodológica que hay que declarar (sección 4).</w:t>
      </w:r>
    </w:p>
    <w:p>
      <w:pPr>
        <w:spacing w:after="0" w:line="480" w:lineRule="auto"/>
        <w:ind w:firstLine="720"/>
      </w:pPr>
      <w:r>
        <w:rPr>
          <w:rFonts w:ascii="Times New Roman" w:cs="Times New Roman" w:eastAsia="Times New Roman" w:hAnsi="Times New Roman"/>
          <w:b/>
          <w:bCs/>
          <w:color w:val="000000"/>
          <w:sz w:val="24"/>
          <w:szCs w:val="24"/>
        </w:rPr>
        <w:t xml:space="preserve">Operación continua.</w:t>
      </w:r>
      <w:r>
        <w:rPr>
          <w:rFonts w:ascii="Times New Roman" w:cs="Times New Roman" w:eastAsia="Times New Roman" w:hAnsi="Times New Roman"/>
          <w:color w:val="000000"/>
          <w:sz w:val="24"/>
          <w:szCs w:val="24"/>
        </w:rPr>
        <w:t xml:space="preserve"> El mercado funciona las veinticuatro horas, los siete días de la semana, sin sesión de apertura ni de cierre. Esta característica del activo se ve directamente en nuestros datos: la descomposición de la serie diaria de LTC realizada por M1 atribuye a la componente estacional apenas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variación total. En un mercado con horario —una bolsa de valores— aparecería un efecto de fin de semana y un patrón intrasemanal apreciable; aquí, prácticamente no hay ninguno.</w:t>
      </w:r>
    </w:p>
    <w:p>
      <w:pPr>
        <w:spacing w:after="0" w:line="480" w:lineRule="auto"/>
        <w:ind w:firstLine="720"/>
      </w:pPr>
      <w:r>
        <w:rPr>
          <w:rFonts w:ascii="Times New Roman" w:cs="Times New Roman" w:eastAsia="Times New Roman" w:hAnsi="Times New Roman"/>
          <w:color w:val="000000"/>
          <w:sz w:val="24"/>
          <w:szCs w:val="24"/>
        </w:rPr>
        <w:t xml:space="preserve">No es un detalle descriptivo: </w:t>
      </w:r>
      <w:r>
        <w:rPr>
          <w:rFonts w:ascii="Times New Roman" w:cs="Times New Roman" w:eastAsia="Times New Roman" w:hAnsi="Times New Roman"/>
          <w:b/>
          <w:bCs/>
          <w:color w:val="000000"/>
          <w:sz w:val="24"/>
          <w:szCs w:val="24"/>
        </w:rPr>
        <w:t xml:space="preserve">justifica una decisión de diseño</w:t>
      </w:r>
      <w:r>
        <w:rPr>
          <w:rFonts w:ascii="Times New Roman" w:cs="Times New Roman" w:eastAsia="Times New Roman" w:hAnsi="Times New Roman"/>
          <w:color w:val="000000"/>
          <w:sz w:val="24"/>
          <w:szCs w:val="24"/>
        </w:rPr>
        <w:t xml:space="preserve">. Al no haber estacionalidad relevante, no tiene sentido gastar características del modelo en codificar el día de la semana o la posición dentro del mes, y ese presupuesto queda disponible para variables que sí informan. Es un caso donde una propiedad institucional del activo se traduce en una medición, y la medición se traduce en una decisión del pipeline.</w:t>
      </w:r>
    </w:p>
    <w:p>
      <w:pPr>
        <w:spacing w:after="0" w:line="480" w:lineRule="auto"/>
        <w:ind w:firstLine="720"/>
      </w:pPr>
      <w:r>
        <w:rPr>
          <w:rFonts w:ascii="Times New Roman" w:cs="Times New Roman" w:eastAsia="Times New Roman" w:hAnsi="Times New Roman"/>
          <w:b/>
          <w:bCs/>
          <w:color w:val="000000"/>
          <w:sz w:val="24"/>
          <w:szCs w:val="24"/>
        </w:rPr>
        <w:t xml:space="preserve">Divisibilidad.</w:t>
      </w:r>
      <w:r>
        <w:rPr>
          <w:rFonts w:ascii="Times New Roman" w:cs="Times New Roman" w:eastAsia="Times New Roman" w:hAnsi="Times New Roman"/>
          <w:color w:val="000000"/>
          <w:sz w:val="24"/>
          <w:szCs w:val="24"/>
        </w:rPr>
        <w:t xml:space="preserve"> Un criptoactivo se fracciona hasta ocho decimales o más, de manera que no existe un tamaño mínimo de operación comparable al lote de una acción. Para el modelado esto implica que la serie de precios no presenta discretización artificial por tamaño de contrato.</w:t>
      </w:r>
    </w:p>
    <w:p>
      <w:pPr>
        <w:spacing w:after="0" w:line="480" w:lineRule="auto"/>
        <w:ind w:firstLine="720"/>
      </w:pPr>
      <w:r>
        <w:rPr>
          <w:rFonts w:ascii="Times New Roman" w:cs="Times New Roman" w:eastAsia="Times New Roman" w:hAnsi="Times New Roman"/>
          <w:b/>
          <w:bCs/>
          <w:color w:val="000000"/>
          <w:sz w:val="24"/>
          <w:szCs w:val="24"/>
        </w:rPr>
        <w:t xml:space="preserve">Transparencia del registro y opacidad del participante.</w:t>
      </w:r>
      <w:r>
        <w:rPr>
          <w:rFonts w:ascii="Times New Roman" w:cs="Times New Roman" w:eastAsia="Times New Roman" w:hAnsi="Times New Roman"/>
          <w:color w:val="000000"/>
          <w:sz w:val="24"/>
          <w:szCs w:val="24"/>
        </w:rPr>
        <w:t xml:space="preserve"> Todas las transacciones son públicas y auditables, pero las direcciones no están asociadas a identidades. La consecuencia para el análisis es que existe información en cadena (</w:t>
      </w:r>
      <w:r>
        <w:rPr>
          <w:rFonts w:ascii="Times New Roman" w:cs="Times New Roman" w:eastAsia="Times New Roman" w:hAnsi="Times New Roman"/>
          <w:i/>
          <w:iCs/>
          <w:color w:val="000000"/>
          <w:sz w:val="24"/>
          <w:szCs w:val="24"/>
        </w:rPr>
        <w:t xml:space="preserve">on-chain</w:t>
      </w:r>
      <w:r>
        <w:rPr>
          <w:rFonts w:ascii="Times New Roman" w:cs="Times New Roman" w:eastAsia="Times New Roman" w:hAnsi="Times New Roman"/>
          <w:color w:val="000000"/>
          <w:sz w:val="24"/>
          <w:szCs w:val="24"/>
        </w:rPr>
        <w:t xml:space="preserve">) potencialmente utilizable como variable explicativa. En este proyecto no la usamos: el enunciado especifica los precios rezagados de las seis criptomonedas como entrada, y ampliar el conjunto de fuentes sin una necesidad medida sería aumentar la complejidad sin justificación.</w:t>
      </w:r>
    </w:p>
    <w:p>
      <w:pPr>
        <w:spacing w:after="0" w:line="480" w:lineRule="auto"/>
        <w:ind w:firstLine="720"/>
      </w:pPr>
      <w:r>
        <w:rPr>
          <w:rFonts w:ascii="Times New Roman" w:cs="Times New Roman" w:eastAsia="Times New Roman" w:hAnsi="Times New Roman"/>
          <w:b/>
          <w:bCs/>
          <w:color w:val="000000"/>
          <w:sz w:val="24"/>
          <w:szCs w:val="24"/>
        </w:rPr>
        <w:t xml:space="preserve">Ausencia de cierre diario.</w:t>
      </w:r>
      <w:r>
        <w:rPr>
          <w:rFonts w:ascii="Times New Roman" w:cs="Times New Roman" w:eastAsia="Times New Roman" w:hAnsi="Times New Roman"/>
          <w:color w:val="000000"/>
          <w:sz w:val="24"/>
          <w:szCs w:val="24"/>
        </w:rPr>
        <w:t xml:space="preserve"> La consecuencia técnica es que la vela diaria es un corte de reloj convencional —00:00 UTC—, no un evento de mercado. Un cierre bursátil concentra órdenes y produce un precio con significado institucional; un corte a medianoche UTC en cripto es una convención del exchange. Esto refuerza la conveniencia de trabajar con velas de 4 horas: si el corte es arbitrario de todos modos, la granularidad se elige por criterio estadístico —cuántos ejemplos deja disponibles— y no por respeto a una convención que no significa nada.</w:t>
      </w:r>
    </w:p>
    <w:p>
      <w:pPr>
        <w:spacing w:after="0" w:line="480" w:lineRule="auto"/>
        <w:ind w:firstLine="720"/>
      </w:pPr>
      <w:r>
        <w:rPr>
          <w:rFonts w:ascii="Times New Roman" w:cs="Times New Roman" w:eastAsia="Times New Roman" w:hAnsi="Times New Roman"/>
          <w:b/>
          <w:bCs/>
          <w:color w:val="000000"/>
          <w:sz w:val="24"/>
          <w:szCs w:val="24"/>
        </w:rPr>
        <w:t xml:space="preserve">Volatilidad elevada y variable en el tiempo.</w:t>
      </w:r>
      <w:r>
        <w:rPr>
          <w:rFonts w:ascii="Times New Roman" w:cs="Times New Roman" w:eastAsia="Times New Roman" w:hAnsi="Times New Roman"/>
          <w:color w:val="000000"/>
          <w:sz w:val="24"/>
          <w:szCs w:val="24"/>
        </w:rPr>
        <w:t xml:space="preserve"> Sobre los datos del proyecto, la desviación estándar móvil de los retornos de LTC en ventanas de 30 días recorre un rango de </w:t>
      </w:r>
      <w:r>
        <w:rPr>
          <w:rFonts w:ascii="Times New Roman" w:cs="Times New Roman" w:eastAsia="Times New Roman" w:hAnsi="Times New Roman"/>
          <w:b/>
          <w:bCs/>
          <w:color w:val="000000"/>
          <w:sz w:val="24"/>
          <w:szCs w:val="24"/>
        </w:rPr>
        <w:t xml:space="preserve">0,0138 a 0,122</w:t>
      </w:r>
      <w:r>
        <w:rPr>
          <w:rFonts w:ascii="Times New Roman" w:cs="Times New Roman" w:eastAsia="Times New Roman" w:hAnsi="Times New Roman"/>
          <w:color w:val="000000"/>
          <w:sz w:val="24"/>
          <w:szCs w:val="24"/>
        </w:rPr>
        <w:t xml:space="preserve">: el período más agitado de la muestra fue </w:t>
      </w:r>
      <w:r>
        <w:rPr>
          <w:rFonts w:ascii="Times New Roman" w:cs="Times New Roman" w:eastAsia="Times New Roman" w:hAnsi="Times New Roman"/>
          <w:b/>
          <w:bCs/>
          <w:color w:val="000000"/>
          <w:sz w:val="24"/>
          <w:szCs w:val="24"/>
        </w:rPr>
        <w:t xml:space="preserve">8,8 veces</w:t>
      </w:r>
      <w:r>
        <w:rPr>
          <w:rFonts w:ascii="Times New Roman" w:cs="Times New Roman" w:eastAsia="Times New Roman" w:hAnsi="Times New Roman"/>
          <w:color w:val="000000"/>
          <w:sz w:val="24"/>
          <w:szCs w:val="24"/>
        </w:rPr>
        <w:t xml:space="preserve"> más volátil que el más tranquilo. La literatura documenta este comportamiento de forma sistemática. Katsiampa (2017) compara modelos GARCH sobre Bitcoin, y Caporale y Zekokh (2019) muestran, mediante modelos GARCH con cambio de régimen markoviano, que la volatilidad de los criptoactivos no es solamente alta sino que </w:t>
      </w:r>
      <w:r>
        <w:rPr>
          <w:rFonts w:ascii="Times New Roman" w:cs="Times New Roman" w:eastAsia="Times New Roman" w:hAnsi="Times New Roman"/>
          <w:b/>
          <w:bCs/>
          <w:color w:val="000000"/>
          <w:sz w:val="24"/>
          <w:szCs w:val="24"/>
        </w:rPr>
        <w:t xml:space="preserve">conmuta entre estados</w:t>
      </w:r>
      <w:r>
        <w:rPr>
          <w:rFonts w:ascii="Times New Roman" w:cs="Times New Roman" w:eastAsia="Times New Roman" w:hAnsi="Times New Roman"/>
          <w:color w:val="000000"/>
          <w:sz w:val="24"/>
          <w:szCs w:val="24"/>
        </w:rPr>
        <w:t xml:space="preserve"> de alta y baja intensidad. Nuestro dato es consistente con esa literatura y, sobre todo, es propio y medido. La implicación metodológica es directa: la varianza de la serie no es constante, así que cualquier característica construida sobre magnitudes absolutas de precio será inestable entre períodos. Por eso el pipeline trabaja sobre retornos y sobre estadísticos normalizados por ventana.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3. Principales tipos</w:t>
      </w:r>
    </w:p>
    <w:p>
      <w:pPr>
        <w:spacing w:after="0" w:line="480" w:lineRule="auto"/>
        <w:ind w:firstLine="720"/>
      </w:pPr>
      <w:r>
        <w:rPr>
          <w:rFonts w:ascii="Times New Roman" w:cs="Times New Roman" w:eastAsia="Times New Roman" w:hAnsi="Times New Roman"/>
          <w:color w:val="000000"/>
          <w:sz w:val="24"/>
          <w:szCs w:val="24"/>
        </w:rPr>
        <w:t xml:space="preserve">La clasificación por función económica es la más útil aquí, porque explica por qué las seis criptomonedas del proyecto no son intercambiables entre sí:</w:t>
      </w:r>
    </w:p>
    <w:p>
      <w:pPr>
        <w:spacing w:after="0" w:line="480" w:lineRule="auto"/>
        <w:ind w:firstLine="720"/>
      </w:pPr>
      <w:r>
        <w:rPr>
          <w:rFonts w:ascii="Times New Roman" w:cs="Times New Roman" w:eastAsia="Times New Roman" w:hAnsi="Times New Roman"/>
          <w:b/>
          <w:bCs/>
          <w:color w:val="000000"/>
          <w:sz w:val="24"/>
          <w:szCs w:val="24"/>
        </w:rPr>
        <w:t xml:space="preserve">Monedas de pago.</w:t>
      </w:r>
      <w:r>
        <w:rPr>
          <w:rFonts w:ascii="Times New Roman" w:cs="Times New Roman" w:eastAsia="Times New Roman" w:hAnsi="Times New Roman"/>
          <w:color w:val="000000"/>
          <w:sz w:val="24"/>
          <w:szCs w:val="24"/>
        </w:rPr>
        <w:t xml:space="preserve"> Diseñadas como medio de intercambio, con funcionalidad programable limitada.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—nuestro activo objetivo— pertenece a esta categoría: nació en 2011 como una variante de Bitcoin con bloques más rápidos y una función de prueba de trabajo distinta, orientada a transacciones de menor valor.</w:t>
      </w:r>
    </w:p>
    <w:p>
      <w:pPr>
        <w:spacing w:after="0" w:line="480" w:lineRule="auto"/>
        <w:ind w:firstLine="720"/>
      </w:pPr>
      <w:r>
        <w:rPr>
          <w:rFonts w:ascii="Times New Roman" w:cs="Times New Roman" w:eastAsia="Times New Roman" w:hAnsi="Times New Roman"/>
          <w:b/>
          <w:bCs/>
          <w:color w:val="000000"/>
          <w:sz w:val="24"/>
          <w:szCs w:val="24"/>
        </w:rPr>
        <w:t xml:space="preserve">Reserva de valor y activo de referencia.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BTC</w:t>
      </w:r>
      <w:r>
        <w:rPr>
          <w:rFonts w:ascii="Times New Roman" w:cs="Times New Roman" w:eastAsia="Times New Roman" w:hAnsi="Times New Roman"/>
          <w:color w:val="000000"/>
          <w:sz w:val="24"/>
          <w:szCs w:val="24"/>
        </w:rPr>
        <w:t xml:space="preserve"> cumple hoy sobre todo esta función. Baur et al. (2018) muestran que su uso predominante es especulativo y de tenencia antes que transaccional, lo que lo aproxima más a un activo de inversión que a un medio de pago.</w:t>
      </w:r>
    </w:p>
    <w:p>
      <w:pPr>
        <w:spacing w:after="0" w:line="480" w:lineRule="auto"/>
        <w:ind w:firstLine="720"/>
      </w:pPr>
      <w:r>
        <w:rPr>
          <w:rFonts w:ascii="Times New Roman" w:cs="Times New Roman" w:eastAsia="Times New Roman" w:hAnsi="Times New Roman"/>
          <w:b/>
          <w:bCs/>
          <w:color w:val="000000"/>
          <w:sz w:val="24"/>
          <w:szCs w:val="24"/>
        </w:rPr>
        <w:t xml:space="preserve">Plataformas de contratos inteligentes (capa 1).</w:t>
      </w:r>
      <w:r>
        <w:rPr>
          <w:rFonts w:ascii="Times New Roman" w:cs="Times New Roman" w:eastAsia="Times New Roman" w:hAnsi="Times New Roman"/>
          <w:color w:val="000000"/>
          <w:sz w:val="24"/>
          <w:szCs w:val="24"/>
        </w:rPr>
        <w:t xml:space="preserve"> Redes cuyo valor deriva de la actividad que alojan. </w:t>
      </w:r>
      <w:r>
        <w:rPr>
          <w:rFonts w:ascii="Times New Roman" w:cs="Times New Roman" w:eastAsia="Times New Roman" w:hAnsi="Times New Roman"/>
          <w:b/>
          <w:bCs/>
          <w:color w:val="000000"/>
          <w:sz w:val="24"/>
          <w:szCs w:val="24"/>
        </w:rPr>
        <w:t xml:space="preserve">ETH</w:t>
      </w:r>
      <w:r>
        <w:rPr>
          <w:rFonts w:ascii="Times New Roman" w:cs="Times New Roman" w:eastAsia="Times New Roman" w:hAnsi="Times New Roman"/>
          <w:color w:val="000000"/>
          <w:sz w:val="24"/>
          <w:szCs w:val="24"/>
        </w:rPr>
        <w:t xml:space="preserve"> es la de mayor adopción; </w:t>
      </w:r>
      <w:r>
        <w:rPr>
          <w:rFonts w:ascii="Times New Roman" w:cs="Times New Roman" w:eastAsia="Times New Roman" w:hAnsi="Times New Roman"/>
          <w:b/>
          <w:bCs/>
          <w:color w:val="000000"/>
          <w:sz w:val="24"/>
          <w:szCs w:val="24"/>
        </w:rPr>
        <w:t xml:space="preserve">SOL</w:t>
      </w:r>
      <w:r>
        <w:rPr>
          <w:rFonts w:ascii="Times New Roman" w:cs="Times New Roman" w:eastAsia="Times New Roman" w:hAnsi="Times New Roman"/>
          <w:color w:val="000000"/>
          <w:sz w:val="24"/>
          <w:szCs w:val="24"/>
        </w:rPr>
        <w:t xml:space="preserve"> compite ofreciendo mayor rendimiento transaccional a cambio de supuestos de descentralización distintos; </w:t>
      </w:r>
      <w:r>
        <w:rPr>
          <w:rFonts w:ascii="Times New Roman" w:cs="Times New Roman" w:eastAsia="Times New Roman" w:hAnsi="Times New Roman"/>
          <w:b/>
          <w:bCs/>
          <w:color w:val="000000"/>
          <w:sz w:val="24"/>
          <w:szCs w:val="24"/>
        </w:rPr>
        <w:t xml:space="preserve">ADA</w:t>
      </w:r>
      <w:r>
        <w:rPr>
          <w:rFonts w:ascii="Times New Roman" w:cs="Times New Roman" w:eastAsia="Times New Roman" w:hAnsi="Times New Roman"/>
          <w:color w:val="000000"/>
          <w:sz w:val="24"/>
          <w:szCs w:val="24"/>
        </w:rPr>
        <w:t xml:space="preserve"> sigue una ruta de desarrollo más conservadora y por etapas.</w:t>
      </w:r>
    </w:p>
    <w:p>
      <w:pPr>
        <w:spacing w:after="0" w:line="480" w:lineRule="auto"/>
        <w:ind w:firstLine="720"/>
      </w:pPr>
      <w:r>
        <w:rPr>
          <w:rFonts w:ascii="Times New Roman" w:cs="Times New Roman" w:eastAsia="Times New Roman" w:hAnsi="Times New Roman"/>
          <w:b/>
          <w:bCs/>
          <w:color w:val="000000"/>
          <w:sz w:val="24"/>
          <w:szCs w:val="24"/>
        </w:rPr>
        <w:t xml:space="preserve">Orientados a pagos transfronterizos.</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XRP</w:t>
      </w:r>
      <w:r>
        <w:rPr>
          <w:rFonts w:ascii="Times New Roman" w:cs="Times New Roman" w:eastAsia="Times New Roman" w:hAnsi="Times New Roman"/>
          <w:color w:val="000000"/>
          <w:sz w:val="24"/>
          <w:szCs w:val="24"/>
        </w:rPr>
        <w:t xml:space="preserve"> apunta a la liquidación entre instituciones financieras, y su valor está más expuesto que el de los demás a decisiones regulatorias sobre su naturaleza jurídica.</w:t>
      </w:r>
    </w:p>
    <w:p>
      <w:pPr>
        <w:spacing w:after="0" w:line="480" w:lineRule="auto"/>
        <w:ind w:firstLine="720"/>
      </w:pPr>
      <w:r>
        <w:rPr>
          <w:rFonts w:ascii="Times New Roman" w:cs="Times New Roman" w:eastAsia="Times New Roman" w:hAnsi="Times New Roman"/>
          <w:b/>
          <w:bCs/>
          <w:color w:val="000000"/>
          <w:sz w:val="24"/>
          <w:szCs w:val="24"/>
        </w:rPr>
        <w:t xml:space="preserve">Stablecoins.</w:t>
      </w:r>
      <w:r>
        <w:rPr>
          <w:rFonts w:ascii="Times New Roman" w:cs="Times New Roman" w:eastAsia="Times New Roman" w:hAnsi="Times New Roman"/>
          <w:color w:val="000000"/>
          <w:sz w:val="24"/>
          <w:szCs w:val="24"/>
        </w:rPr>
        <w:t xml:space="preserve"> Mantienen paridad con una moneda fiduciaria mediante respaldo o mecanismos algorítmicos. No forman parte de este estudio precisamente por eso: su precio es aproximadamente constante por diseño, no tiene puntos de inflexión que pronosticar, y su serie no aportaría información al problema.</w:t>
      </w:r>
    </w:p>
    <w:p>
      <w:pPr>
        <w:spacing w:after="0" w:line="480" w:lineRule="auto"/>
        <w:ind w:firstLine="720"/>
      </w:pPr>
      <w:r>
        <w:rPr>
          <w:rFonts w:ascii="Times New Roman" w:cs="Times New Roman" w:eastAsia="Times New Roman" w:hAnsi="Times New Roman"/>
          <w:color w:val="000000"/>
          <w:sz w:val="24"/>
          <w:szCs w:val="24"/>
        </w:rPr>
        <w:t xml:space="preserve">La composición de la canasta importa. Las seis series no son seis observaciones independientes del mercado cripto: son cuatro funciones económicas distintas, y esa heterogeneidad es lo que hace que la correlación cruzada entre ellas —sección 6— pueda aportar información en lugar de ser redundancia.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4. Mercado cripto</w:t>
      </w:r>
    </w:p>
    <w:p>
      <w:pPr>
        <w:spacing w:after="0" w:line="480" w:lineRule="auto"/>
        <w:ind w:firstLine="720"/>
      </w:pPr>
      <w:r>
        <w:rPr>
          <w:rFonts w:ascii="Times New Roman" w:cs="Times New Roman" w:eastAsia="Times New Roman" w:hAnsi="Times New Roman"/>
          <w:color w:val="000000"/>
          <w:sz w:val="24"/>
          <w:szCs w:val="24"/>
        </w:rPr>
        <w:t xml:space="preserve">El mercado de criptoactivos se organiza en torno a </w:t>
      </w:r>
      <w:r>
        <w:rPr>
          <w:rFonts w:ascii="Times New Roman" w:cs="Times New Roman" w:eastAsia="Times New Roman" w:hAnsi="Times New Roman"/>
          <w:b/>
          <w:bCs/>
          <w:color w:val="000000"/>
          <w:sz w:val="24"/>
          <w:szCs w:val="24"/>
        </w:rPr>
        <w:t xml:space="preserve">exchanges centralizados</w:t>
      </w:r>
      <w:r>
        <w:rPr>
          <w:rFonts w:ascii="Times New Roman" w:cs="Times New Roman" w:eastAsia="Times New Roman" w:hAnsi="Times New Roman"/>
          <w:color w:val="000000"/>
          <w:sz w:val="24"/>
          <w:szCs w:val="24"/>
        </w:rPr>
        <w:t xml:space="preserve">, que operan libros de órdenes con emparejamiento continuo, y a mercados descentralizados basados en contratos inteligentes. La formación de precios sucede en cada plaza por separado; el arbitraje entre ellas mantiene las cotizaciones alineadas, pero no las hace idénticas. No existe, a diferencia de los mercados de valores regulados, un mecanismo de consolidación que produzca un precio único de referencia.</w:t>
      </w:r>
    </w:p>
    <w:p>
      <w:pPr>
        <w:spacing w:after="0" w:line="480" w:lineRule="auto"/>
        <w:ind w:firstLine="720"/>
      </w:pPr>
      <w:r>
        <w:rPr>
          <w:rFonts w:ascii="Times New Roman" w:cs="Times New Roman" w:eastAsia="Times New Roman" w:hAnsi="Times New Roman"/>
          <w:b/>
          <w:bCs/>
          <w:color w:val="000000"/>
          <w:sz w:val="24"/>
          <w:szCs w:val="24"/>
        </w:rPr>
        <w:t xml:space="preserve">Decisión de fuente y su consecuencia.</w:t>
      </w:r>
      <w:r>
        <w:rPr>
          <w:rFonts w:ascii="Times New Roman" w:cs="Times New Roman" w:eastAsia="Times New Roman" w:hAnsi="Times New Roman"/>
          <w:color w:val="000000"/>
          <w:sz w:val="24"/>
          <w:szCs w:val="24"/>
        </w:rPr>
        <w:t xml:space="preserve"> Los precios de este trabajo provienen de la API pública de Binance. Hay que declararlo explícitamente porque condiciona lo que los resultados significan: son los precios de </w:t>
      </w:r>
      <w:r>
        <w:rPr>
          <w:rFonts w:ascii="Times New Roman" w:cs="Times New Roman" w:eastAsia="Times New Roman" w:hAnsi="Times New Roman"/>
          <w:b/>
          <w:bCs/>
          <w:color w:val="000000"/>
          <w:sz w:val="24"/>
          <w:szCs w:val="24"/>
        </w:rPr>
        <w:t xml:space="preserve">un</w:t>
      </w:r>
      <w:r>
        <w:rPr>
          <w:rFonts w:ascii="Times New Roman" w:cs="Times New Roman" w:eastAsia="Times New Roman" w:hAnsi="Times New Roman"/>
          <w:color w:val="000000"/>
          <w:sz w:val="24"/>
          <w:szCs w:val="24"/>
        </w:rPr>
        <w:t xml:space="preserve"> exchange, no un promedio ponderado del mercado, y por lo tanto incorporan la microestructura particular de esa plaza —su profundidad, su base de usuarios, sus períodos de interrupción—. Un punto de inflexión detectado sobre esta serie es un punto de inflexión en Binance. Dado que Binance concentra una parte sustancial del volumen de las seis parejas contra USDT, es una aproximación razonable al precio de mercado, pero es una aproximación, y así hay que reportarla.</w:t>
      </w:r>
    </w:p>
    <w:p>
      <w:pPr>
        <w:spacing w:after="0" w:line="480" w:lineRule="auto"/>
        <w:ind w:firstLine="720"/>
      </w:pPr>
      <w:r>
        <w:rPr>
          <w:rFonts w:ascii="Times New Roman" w:cs="Times New Roman" w:eastAsia="Times New Roman" w:hAnsi="Times New Roman"/>
          <w:b/>
          <w:bCs/>
          <w:color w:val="000000"/>
          <w:sz w:val="24"/>
          <w:szCs w:val="24"/>
        </w:rPr>
        <w:t xml:space="preserve">Ventana histórica común.</w:t>
      </w:r>
      <w:r>
        <w:rPr>
          <w:rFonts w:ascii="Times New Roman" w:cs="Times New Roman" w:eastAsia="Times New Roman" w:hAnsi="Times New Roman"/>
          <w:color w:val="000000"/>
          <w:sz w:val="24"/>
          <w:szCs w:val="24"/>
        </w:rPr>
        <w:t xml:space="preserve"> El panel del proyecto arranca el </w:t>
      </w:r>
      <w:r>
        <w:rPr>
          <w:rFonts w:ascii="Times New Roman" w:cs="Times New Roman" w:eastAsia="Times New Roman" w:hAnsi="Times New Roman"/>
          <w:b/>
          <w:bCs/>
          <w:color w:val="000000"/>
          <w:sz w:val="24"/>
          <w:szCs w:val="24"/>
        </w:rPr>
        <w:t xml:space="preserve">11 de agosto de 2020</w:t>
      </w:r>
      <w:r>
        <w:rPr>
          <w:rFonts w:ascii="Times New Roman" w:cs="Times New Roman" w:eastAsia="Times New Roman" w:hAnsi="Times New Roman"/>
          <w:color w:val="000000"/>
          <w:sz w:val="24"/>
          <w:szCs w:val="24"/>
        </w:rPr>
        <w:t xml:space="preserve"> y no antes. La razón es que la ventana común está determinada por el activo de listado más reciente: Solana comienza a cotizar en esa fecha. Las coberturas individuales son mucho más amplias —LTC tiene datos desde el 13 de diciembre de 2017 y BTC desde el 17 de agosto de 2017—, pero un panel multivariante exige que las seis series existan simultáneamente en cada instante. Todo lo anterior a esa fecha se descarta por incompleto.</w:t>
      </w:r>
    </w:p>
    <w:p>
      <w:pPr>
        <w:spacing w:after="0" w:line="480" w:lineRule="auto"/>
        <w:ind w:firstLine="720"/>
      </w:pPr>
      <w:r>
        <w:rPr>
          <w:rFonts w:ascii="Times New Roman" w:cs="Times New Roman" w:eastAsia="Times New Roman" w:hAnsi="Times New Roman"/>
          <w:color w:val="000000"/>
          <w:sz w:val="24"/>
          <w:szCs w:val="24"/>
        </w:rPr>
        <w:t xml:space="preserve">El costo de esa decisión es cuantificable. Con velas diarias el panel queda en </w:t>
      </w:r>
      <w:r>
        <w:rPr>
          <w:rFonts w:ascii="Times New Roman" w:cs="Times New Roman" w:eastAsia="Times New Roman" w:hAnsi="Times New Roman"/>
          <w:b/>
          <w:bCs/>
          <w:color w:val="000000"/>
          <w:sz w:val="24"/>
          <w:szCs w:val="24"/>
        </w:rPr>
        <w:t xml:space="preserve">2 185 observaciones</w:t>
      </w:r>
      <w:r>
        <w:rPr>
          <w:rFonts w:ascii="Times New Roman" w:cs="Times New Roman" w:eastAsia="Times New Roman" w:hAnsi="Times New Roman"/>
          <w:color w:val="000000"/>
          <w:sz w:val="24"/>
          <w:szCs w:val="24"/>
        </w:rPr>
        <w:t xml:space="preserve"> para el período 11/08/2020 – 04/08/2026, mientras que la serie individual de LTC tiene 3 157: se sacrifica cerca de un tercio del historial para poder plantear el problema como multivariante. Con velas de 4 horas el mismo período produce </w:t>
      </w:r>
      <w:r>
        <w:rPr>
          <w:rFonts w:ascii="Times New Roman" w:cs="Times New Roman" w:eastAsia="Times New Roman" w:hAnsi="Times New Roman"/>
          <w:b/>
          <w:bCs/>
          <w:color w:val="000000"/>
          <w:sz w:val="24"/>
          <w:szCs w:val="24"/>
        </w:rPr>
        <w:t xml:space="preserve">13 114 observaciones</w:t>
      </w:r>
      <w:r>
        <w:rPr>
          <w:rFonts w:ascii="Times New Roman" w:cs="Times New Roman" w:eastAsia="Times New Roman" w:hAnsi="Times New Roman"/>
          <w:color w:val="000000"/>
          <w:sz w:val="24"/>
          <w:szCs w:val="24"/>
        </w:rPr>
        <w:t xml:space="preserve">, y por eso esa es la granularidad de trabajo. El requisito de simultaneidad se paga en historia, y la granularidad más fina es lo que devuelve el volumen de ejemplos necesario.</w:t>
      </w:r>
    </w:p>
    <w:p>
      <w:pPr>
        <w:spacing w:after="0" w:line="480" w:lineRule="auto"/>
        <w:ind w:firstLine="720"/>
      </w:pPr>
      <w:r>
        <w:rPr>
          <w:rFonts w:ascii="Times New Roman" w:cs="Times New Roman" w:eastAsia="Times New Roman" w:hAnsi="Times New Roman"/>
          <w:color w:val="000000"/>
          <w:sz w:val="24"/>
          <w:szCs w:val="24"/>
        </w:rPr>
        <w:t xml:space="preserve">La cobertura del panel de 4 horas es prácticamente completa: sobre los 13 114 instantes esperados para SOL no hay ningún hueco, y los huecos de los demás activos en su historia completa van de 9 a 16 velas, esto es, menos del 0,1 %. La calidad del dato no es un supuesto: está medida en </w:t>
      </w:r>
      <w:r>
        <w:rPr>
          <w:rFonts w:ascii="Courier New" w:cs="Courier New" w:eastAsia="Courier New" w:hAnsi="Courier New"/>
          <w:color w:val="000000"/>
          <w:sz w:val="22"/>
          <w:szCs w:val="22"/>
        </w:rPr>
        <w:t xml:space="preserve">docs/evidencias/spike-datos-4h.json</w:t>
      </w:r>
      <w:r>
        <w:rPr>
          <w:rFonts w:ascii="Times New Roman" w:cs="Times New Roman" w:eastAsia="Times New Roman" w:hAnsi="Times New Roman"/>
          <w:color w:val="000000"/>
          <w:sz w:val="24"/>
          <w:szCs w:val="24"/>
        </w:rPr>
        <w:t xml:space="preserve">.</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5. Factores que afectan el precio</w:t>
      </w:r>
    </w:p>
    <w:p>
      <w:pPr>
        <w:spacing w:after="0" w:line="480" w:lineRule="auto"/>
        <w:ind w:firstLine="720"/>
      </w:pPr>
      <w:r>
        <w:rPr>
          <w:rFonts w:ascii="Times New Roman" w:cs="Times New Roman" w:eastAsia="Times New Roman" w:hAnsi="Times New Roman"/>
          <w:b/>
          <w:bCs/>
          <w:color w:val="000000"/>
          <w:sz w:val="24"/>
          <w:szCs w:val="24"/>
        </w:rPr>
        <w:t xml:space="preserve">Oferta y demanda con oferta programada.</w:t>
      </w:r>
      <w:r>
        <w:rPr>
          <w:rFonts w:ascii="Times New Roman" w:cs="Times New Roman" w:eastAsia="Times New Roman" w:hAnsi="Times New Roman"/>
          <w:color w:val="000000"/>
          <w:sz w:val="24"/>
          <w:szCs w:val="24"/>
        </w:rPr>
        <w:t xml:space="preserve"> LTC tiene un tope de emisión de 84 millones de unidades y un calendario de reducción de la recompensa por bloque —</w:t>
      </w:r>
      <w:r>
        <w:rPr>
          <w:rFonts w:ascii="Times New Roman" w:cs="Times New Roman" w:eastAsia="Times New Roman" w:hAnsi="Times New Roman"/>
          <w:i/>
          <w:iCs/>
          <w:color w:val="000000"/>
          <w:sz w:val="24"/>
          <w:szCs w:val="24"/>
        </w:rPr>
        <w:t xml:space="preserve">halving</w:t>
      </w:r>
      <w:r>
        <w:rPr>
          <w:rFonts w:ascii="Times New Roman" w:cs="Times New Roman" w:eastAsia="Times New Roman" w:hAnsi="Times New Roman"/>
          <w:color w:val="000000"/>
          <w:sz w:val="24"/>
          <w:szCs w:val="24"/>
        </w:rPr>
        <w:t xml:space="preserve">— aproximadamente cada cuatro años. La oferta futura es conocida de antemano y no responde al precio, de modo que todo el ajuste ocurre por el lado de la demanda. El efecto de los halvings sobre el precio es objeto de debate: al tratarse de un evento anunciado, la hipótesis de mercados eficientes predice que ya está incorporado en la cotización, aunque la evidencia sobre eficiencia en cripto es mixta (Urquhart, 2016).</w:t>
      </w:r>
    </w:p>
    <w:p>
      <w:pPr>
        <w:spacing w:after="0" w:line="480" w:lineRule="auto"/>
        <w:ind w:firstLine="720"/>
      </w:pPr>
      <w:r>
        <w:rPr>
          <w:rFonts w:ascii="Times New Roman" w:cs="Times New Roman" w:eastAsia="Times New Roman" w:hAnsi="Times New Roman"/>
          <w:b/>
          <w:bCs/>
          <w:color w:val="000000"/>
          <w:sz w:val="24"/>
          <w:szCs w:val="24"/>
        </w:rPr>
        <w:t xml:space="preserve">Regulación.</w:t>
      </w:r>
      <w:r>
        <w:rPr>
          <w:rFonts w:ascii="Times New Roman" w:cs="Times New Roman" w:eastAsia="Times New Roman" w:hAnsi="Times New Roman"/>
          <w:color w:val="000000"/>
          <w:sz w:val="24"/>
          <w:szCs w:val="24"/>
        </w:rPr>
        <w:t xml:space="preserve"> Los anuncios regulatorios producen movimientos abruptos y sincronizados en todo el sector. Auer y Claessens (2018) documentan que los precios reaccionan de forma marcada a noticias sobre el tratamiento jurídico de los criptoactivos, con una respuesta diferenciada según el tipo de anuncio. Para nuestro problema esto importa por una razón concreta: los saltos de precio inducidos por noticias son </w:t>
      </w:r>
      <w:r>
        <w:rPr>
          <w:rFonts w:ascii="Times New Roman" w:cs="Times New Roman" w:eastAsia="Times New Roman" w:hAnsi="Times New Roman"/>
          <w:b/>
          <w:bCs/>
          <w:color w:val="000000"/>
          <w:sz w:val="24"/>
          <w:szCs w:val="24"/>
        </w:rPr>
        <w:t xml:space="preserve">exógenos a la serie</w:t>
      </w:r>
      <w:r>
        <w:rPr>
          <w:rFonts w:ascii="Times New Roman" w:cs="Times New Roman" w:eastAsia="Times New Roman" w:hAnsi="Times New Roman"/>
          <w:color w:val="000000"/>
          <w:sz w:val="24"/>
          <w:szCs w:val="24"/>
        </w:rPr>
        <w:t xml:space="preserve">. Ninguna característica construida a partir del histórico de precios puede anticiparlos, y conviene decirlo antes de que lo pregunten: hay una fracción irreducible de los puntos de inflexión que el modelo no puede predecir por construcción.</w:t>
      </w:r>
    </w:p>
    <w:p>
      <w:pPr>
        <w:spacing w:after="0" w:line="480" w:lineRule="auto"/>
        <w:ind w:firstLine="720"/>
      </w:pPr>
      <w:r>
        <w:rPr>
          <w:rFonts w:ascii="Times New Roman" w:cs="Times New Roman" w:eastAsia="Times New Roman" w:hAnsi="Times New Roman"/>
          <w:b/>
          <w:bCs/>
          <w:color w:val="000000"/>
          <w:sz w:val="24"/>
          <w:szCs w:val="24"/>
        </w:rPr>
        <w:t xml:space="preserve">Sentimiento y atención.</w:t>
      </w:r>
      <w:r>
        <w:rPr>
          <w:rFonts w:ascii="Times New Roman" w:cs="Times New Roman" w:eastAsia="Times New Roman" w:hAnsi="Times New Roman"/>
          <w:color w:val="000000"/>
          <w:sz w:val="24"/>
          <w:szCs w:val="24"/>
        </w:rPr>
        <w:t xml:space="preserve"> La ausencia de anclaje fundamental deja más espacio al componente de expectativa, y hay evidencia cuantitativa de ello. Liu y Tsyvinski (2021) muestran que los rendimientos de los criptoactivos no están expuestos a los factores de riesgo de acciones, divisas ni materias primas, ni a las variables macroeconómicas habituales —es decir, que no se les encuentra el anclaje fundamental por ningún lado—, y que en cambio sí resultan predichos de forma robusta por el momento del precio y por medidas de atención del inversor, como el volumen de búsquedas y de publicaciones en redes. Es la confirmación empírica del argumento de la sección 1, y refuerza el planteamiento del proyecto: si los fundamentales no explican el precio, lo que queda por explotar es la dinámica de la propia serie.</w:t>
      </w:r>
    </w:p>
    <w:p>
      <w:pPr>
        <w:spacing w:after="0" w:line="480" w:lineRule="auto"/>
        <w:ind w:firstLine="720"/>
      </w:pPr>
      <w:r>
        <w:rPr>
          <w:rFonts w:ascii="Times New Roman" w:cs="Times New Roman" w:eastAsia="Times New Roman" w:hAnsi="Times New Roman"/>
          <w:b/>
          <w:bCs/>
          <w:color w:val="000000"/>
          <w:sz w:val="24"/>
          <w:szCs w:val="24"/>
        </w:rPr>
        <w:t xml:space="preserve">Flujos institucionales y liquidez.</w:t>
      </w:r>
      <w:r>
        <w:rPr>
          <w:rFonts w:ascii="Times New Roman" w:cs="Times New Roman" w:eastAsia="Times New Roman" w:hAnsi="Times New Roman"/>
          <w:color w:val="000000"/>
          <w:sz w:val="24"/>
          <w:szCs w:val="24"/>
        </w:rPr>
        <w:t xml:space="preserve"> La entrada de vehículos de inversión regulados modificó la base de participantes y, con ella, el régimen de volatilidad. Esto es coherente con la heterocedasticidad medida en nuestra serie: el cociente de 8,8 entre el período más volátil y el más tranquilo no describe un mercado con volatilidad alta y estable, sino uno que </w:t>
      </w:r>
      <w:r>
        <w:rPr>
          <w:rFonts w:ascii="Times New Roman" w:cs="Times New Roman" w:eastAsia="Times New Roman" w:hAnsi="Times New Roman"/>
          <w:b/>
          <w:bCs/>
          <w:color w:val="000000"/>
          <w:sz w:val="24"/>
          <w:szCs w:val="24"/>
        </w:rPr>
        <w:t xml:space="preserve">cambia de régimen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Contagio entre activos.</w:t>
      </w:r>
      <w:r>
        <w:rPr>
          <w:rFonts w:ascii="Times New Roman" w:cs="Times New Roman" w:eastAsia="Times New Roman" w:hAnsi="Times New Roman"/>
          <w:color w:val="000000"/>
          <w:sz w:val="24"/>
          <w:szCs w:val="24"/>
        </w:rPr>
        <w:t xml:space="preserve"> Es el factor que justifica el diseño multivariante de este trabajo, y por eso tiene sección propia. Ji et al. (2019) y Yi et al. (2018) documentan una red densa de transmisión de retornos y de volatilidad entre criptoactivos, con Bitcoin en posición dominante como emisor de choques.</w:t>
      </w:r>
    </w:p>
    <w:p>
      <w:pPr>
        <w:spacing w:after="0" w:line="480" w:lineRule="auto"/>
        <w:ind w:firstLine="720"/>
      </w:pPr>
      <w:r>
        <w:rPr>
          <w:rFonts w:ascii="Times New Roman" w:cs="Times New Roman" w:eastAsia="Times New Roman" w:hAnsi="Times New Roman"/>
          <w:color w:val="000000"/>
          <w:sz w:val="24"/>
          <w:szCs w:val="24"/>
        </w:rPr>
        <w:t xml:space="preserve">La selección de las cinco variables de apoyo que hace el enunciado es consistente con esa literatura: BTC como transmisor sistémico, ETH como segundo motor del sector, SOL como indicador de actividad especulativa en capas 1 de alto rendimiento, XRP por su sensibilidad a lo regulatorio, y ADA como reflejo de la rotación de capital entre plataformas. La sección siguiente contrasta esa expectativa con lo que efectivamente miden nuestros datos.</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6. Correlación y dependencia entre activos</w:t>
      </w:r>
    </w:p>
    <w:p>
      <w:pPr>
        <w:keepNext/>
        <w:spacing w:after="0" w:before="240" w:line="480" w:lineRule="auto"/>
      </w:pPr>
      <w:r>
        <w:rPr>
          <w:rFonts w:ascii="Times New Roman" w:cs="Times New Roman" w:eastAsia="Times New Roman" w:hAnsi="Times New Roman"/>
          <w:b/>
          <w:bCs/>
          <w:color w:val="000000"/>
          <w:sz w:val="24"/>
          <w:szCs w:val="24"/>
        </w:rPr>
        <w:t xml:space="preserve">Figura 8</w:t>
      </w:r>
    </w:p>
    <w:p>
      <w:pPr>
        <w:keepNext/>
        <w:spacing w:after="120" w:line="480" w:lineRule="auto"/>
      </w:pPr>
      <w:r>
        <w:rPr>
          <w:rFonts w:ascii="Times New Roman" w:cs="Times New Roman" w:eastAsia="Times New Roman" w:hAnsi="Times New Roman"/>
          <w:i/>
          <w:iCs/>
          <w:color w:val="000000"/>
          <w:sz w:val="24"/>
          <w:szCs w:val="24"/>
        </w:rPr>
        <w:t xml:space="preserve">Matriz de correlación entre las seis criptomonedas, calculada sobre retornos diarios del panel 11/08/2020 – 04/08/2026 (n = 2 185)</w:t>
      </w:r>
    </w:p>
    <w:p>
      <w:pPr>
        <w:spacing w:after="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spacing w:after="0" w:line="480" w:lineRule="auto"/>
        <w:ind w:firstLine="720"/>
      </w:pPr>
      <w:r>
        <w:rPr>
          <w:rFonts w:ascii="Times New Roman" w:cs="Times New Roman" w:eastAsia="Times New Roman" w:hAnsi="Times New Roman"/>
          <w:b/>
          <w:bCs/>
          <w:color w:val="000000"/>
          <w:sz w:val="24"/>
          <w:szCs w:val="24"/>
        </w:rPr>
        <w:t xml:space="preserve">Medido sobre retornos:</w:t>
      </w:r>
      <w:r>
        <w:rPr>
          <w:rFonts w:ascii="Times New Roman" w:cs="Times New Roman" w:eastAsia="Times New Roman" w:hAnsi="Times New Roman"/>
          <w:color w:val="000000"/>
          <w:sz w:val="24"/>
          <w:szCs w:val="24"/>
        </w:rPr>
        <w:t xml:space="preserve"> todas las parejas caen entre </w:t>
      </w:r>
      <w:r>
        <w:rPr>
          <w:rFonts w:ascii="Times New Roman" w:cs="Times New Roman" w:eastAsia="Times New Roman" w:hAnsi="Times New Roman"/>
          <w:b/>
          <w:bCs/>
          <w:color w:val="000000"/>
          <w:sz w:val="24"/>
          <w:szCs w:val="24"/>
        </w:rPr>
        <w:t xml:space="preserve">0,475 y 0,806</w:t>
      </w:r>
      <w:r>
        <w:rPr>
          <w:rFonts w:ascii="Times New Roman" w:cs="Times New Roman" w:eastAsia="Times New Roman" w:hAnsi="Times New Roman"/>
          <w:color w:val="000000"/>
          <w:sz w:val="24"/>
          <w:szCs w:val="24"/>
        </w:rPr>
        <w:t xml:space="preserve">, con una media fuera de la diagonal de </w:t>
      </w:r>
      <w:r>
        <w:rPr>
          <w:rFonts w:ascii="Times New Roman" w:cs="Times New Roman" w:eastAsia="Times New Roman" w:hAnsi="Times New Roman"/>
          <w:b/>
          <w:bCs/>
          <w:color w:val="000000"/>
          <w:sz w:val="24"/>
          <w:szCs w:val="24"/>
        </w:rPr>
        <w:t xml:space="preserve">0,625</w:t>
      </w:r>
      <w:r>
        <w:rPr>
          <w:rFonts w:ascii="Times New Roman" w:cs="Times New Roman" w:eastAsia="Times New Roman" w:hAnsi="Times New Roman"/>
          <w:color w:val="000000"/>
          <w:sz w:val="24"/>
          <w:szCs w:val="24"/>
        </w:rPr>
        <w:t xml:space="preserve">. LTC se correlaciona más con </w:t>
      </w:r>
      <w:r>
        <w:rPr>
          <w:rFonts w:ascii="Times New Roman" w:cs="Times New Roman" w:eastAsia="Times New Roman" w:hAnsi="Times New Roman"/>
          <w:b/>
          <w:bCs/>
          <w:color w:val="000000"/>
          <w:sz w:val="24"/>
          <w:szCs w:val="24"/>
        </w:rPr>
        <w:t xml:space="preserve">ETH (0,740)</w:t>
      </w:r>
      <w:r>
        <w:rPr>
          <w:rFonts w:ascii="Times New Roman" w:cs="Times New Roman" w:eastAsia="Times New Roman" w:hAnsi="Times New Roman"/>
          <w:color w:val="000000"/>
          <w:sz w:val="24"/>
          <w:szCs w:val="24"/>
        </w:rPr>
        <w:t xml:space="preserve"> y con </w:t>
      </w:r>
      <w:r>
        <w:rPr>
          <w:rFonts w:ascii="Times New Roman" w:cs="Times New Roman" w:eastAsia="Times New Roman" w:hAnsi="Times New Roman"/>
          <w:b/>
          <w:bCs/>
          <w:color w:val="000000"/>
          <w:sz w:val="24"/>
          <w:szCs w:val="24"/>
        </w:rPr>
        <w:t xml:space="preserve">BTC (0,715)</w:t>
      </w:r>
      <w:r>
        <w:rPr>
          <w:rFonts w:ascii="Times New Roman" w:cs="Times New Roman" w:eastAsia="Times New Roman" w:hAnsi="Times New Roman"/>
          <w:color w:val="000000"/>
          <w:sz w:val="24"/>
          <w:szCs w:val="24"/>
        </w:rPr>
        <w:t xml:space="preserve">, y menos con </w:t>
      </w:r>
      <w:r>
        <w:rPr>
          <w:rFonts w:ascii="Times New Roman" w:cs="Times New Roman" w:eastAsia="Times New Roman" w:hAnsi="Times New Roman"/>
          <w:b/>
          <w:bCs/>
          <w:color w:val="000000"/>
          <w:sz w:val="24"/>
          <w:szCs w:val="24"/>
        </w:rPr>
        <w:t xml:space="preserve">SOL (0,524)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M1 desarrolla en su sección la mecánica estadística de la correlación cruzada. Lo que sigue es la interpretación económica.</w:t>
      </w:r>
    </w:p>
    <w:p>
      <w:pPr>
        <w:spacing w:after="0" w:line="480" w:lineRule="auto"/>
        <w:ind w:firstLine="720"/>
      </w:pPr>
      <w:r>
        <w:rPr>
          <w:rFonts w:ascii="Times New Roman" w:cs="Times New Roman" w:eastAsia="Times New Roman" w:hAnsi="Times New Roman"/>
          <w:b/>
          <w:bCs/>
          <w:color w:val="000000"/>
          <w:sz w:val="24"/>
          <w:szCs w:val="24"/>
        </w:rPr>
        <w:t xml:space="preserve">Por qué ETH y BTC encabezan la lista.</w:t>
      </w:r>
      <w:r>
        <w:rPr>
          <w:rFonts w:ascii="Times New Roman" w:cs="Times New Roman" w:eastAsia="Times New Roman" w:hAnsi="Times New Roman"/>
          <w:color w:val="000000"/>
          <w:sz w:val="24"/>
          <w:szCs w:val="24"/>
        </w:rPr>
        <w:t xml:space="preserve"> LTC nació como una variante técnica de Bitcoin y comparte con él la función económica de moneda de pago; se negocia mayoritariamente en las mismas plazas, contra los mismos pares, y ante los mismos flujos de noticias. BTC es además el activo de referencia del sector: Ji et al. (2019) lo identifican como el principal emisor de choques de retorno hacia el resto del mercado, de modo que un movimiento de BTC se propaga a LTC casi por definición. ETH aparece incluso ligeramente por encima porque comparte con LTC el estatus de activo de gran capitalización y alta liquidez, lo que lo convierte en destino habitual de los mismos flujos de entrada y salida del sector.</w:t>
      </w:r>
    </w:p>
    <w:p>
      <w:pPr>
        <w:spacing w:after="0" w:line="480" w:lineRule="auto"/>
        <w:ind w:firstLine="720"/>
      </w:pPr>
      <w:r>
        <w:rPr>
          <w:rFonts w:ascii="Times New Roman" w:cs="Times New Roman" w:eastAsia="Times New Roman" w:hAnsi="Times New Roman"/>
          <w:b/>
          <w:bCs/>
          <w:color w:val="000000"/>
          <w:sz w:val="24"/>
          <w:szCs w:val="24"/>
        </w:rPr>
        <w:t xml:space="preserve">Por qué SOL es la menos correlacionada.</w:t>
      </w:r>
      <w:r>
        <w:rPr>
          <w:rFonts w:ascii="Times New Roman" w:cs="Times New Roman" w:eastAsia="Times New Roman" w:hAnsi="Times New Roman"/>
          <w:color w:val="000000"/>
          <w:sz w:val="24"/>
          <w:szCs w:val="24"/>
        </w:rPr>
        <w:t xml:space="preserve"> SOL es el activo más joven de la canasta y el de perfil más especulativo. Su precio responde en mayor medida a factores propios de su ecosistema —actividad de aplicaciones, incidentes de red, ciclos de narrativa— que no afectan a LTC. Es, en otras palabras, el activo cuya información resulta </w:t>
      </w:r>
      <w:r>
        <w:rPr>
          <w:rFonts w:ascii="Times New Roman" w:cs="Times New Roman" w:eastAsia="Times New Roman" w:hAnsi="Times New Roman"/>
          <w:b/>
          <w:bCs/>
          <w:color w:val="000000"/>
          <w:sz w:val="24"/>
          <w:szCs w:val="24"/>
        </w:rPr>
        <w:t xml:space="preserve">menos redundante</w:t>
      </w:r>
      <w:r>
        <w:rPr>
          <w:rFonts w:ascii="Times New Roman" w:cs="Times New Roman" w:eastAsia="Times New Roman" w:hAnsi="Times New Roman"/>
          <w:color w:val="000000"/>
          <w:sz w:val="24"/>
          <w:szCs w:val="24"/>
        </w:rPr>
        <w:t xml:space="preserve"> respecto de la de LTC, y por eso mismo el candidato más interesante a aportar señal incremental. La medición de importancia de características de la Semana 3 (RF-F4) permitirá contrastar esta hipótesis con un número, en lugar de dejarla como conjetura.</w:t>
      </w:r>
    </w:p>
    <w:p>
      <w:pPr>
        <w:spacing w:after="0" w:line="480" w:lineRule="auto"/>
        <w:ind w:firstLine="720"/>
      </w:pPr>
      <w:r>
        <w:rPr>
          <w:rFonts w:ascii="Times New Roman" w:cs="Times New Roman" w:eastAsia="Times New Roman" w:hAnsi="Times New Roman"/>
          <w:b/>
          <w:bCs/>
          <w:color w:val="000000"/>
          <w:sz w:val="24"/>
          <w:szCs w:val="24"/>
        </w:rPr>
        <w:t xml:space="preserve">Qué significa un mercado con correlaciones de 0,5 a 0,8.</w:t>
      </w:r>
      <w:r>
        <w:rPr>
          <w:rFonts w:ascii="Times New Roman" w:cs="Times New Roman" w:eastAsia="Times New Roman" w:hAnsi="Times New Roman"/>
          <w:color w:val="000000"/>
          <w:sz w:val="24"/>
          <w:szCs w:val="24"/>
        </w:rPr>
        <w:t xml:space="preserve"> Tres consecuencias: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La diversificación dentro del sector es limitada.</w:t>
      </w:r>
      <w:r>
        <w:rPr>
          <w:rFonts w:ascii="Times New Roman" w:cs="Times New Roman" w:eastAsia="Times New Roman" w:hAnsi="Times New Roman"/>
          <w:color w:val="000000"/>
          <w:sz w:val="24"/>
          <w:szCs w:val="24"/>
        </w:rPr>
        <w:t xml:space="preserve"> Una cartera de las seis criptomonedas no es una cartera de seis activos: se comporta aproximadamente como una posición sobre un factor común. Yi et al. (2018) llegan a una conclusión equivalente sobre una muestra de 52 criptomonedas: la red de transmisión de volatilidad entre ellas es densa, de manera que el riesgo no se reparte al añadir más activos del mismo sector. 2. </w:t>
      </w:r>
      <w:r>
        <w:rPr>
          <w:rFonts w:ascii="Times New Roman" w:cs="Times New Roman" w:eastAsia="Times New Roman" w:hAnsi="Times New Roman"/>
          <w:b/>
          <w:bCs/>
          <w:color w:val="000000"/>
          <w:sz w:val="24"/>
          <w:szCs w:val="24"/>
        </w:rPr>
        <w:t xml:space="preserve">El contagio es rápido.</w:t>
      </w:r>
      <w:r>
        <w:rPr>
          <w:rFonts w:ascii="Times New Roman" w:cs="Times New Roman" w:eastAsia="Times New Roman" w:hAnsi="Times New Roman"/>
          <w:color w:val="000000"/>
          <w:sz w:val="24"/>
          <w:szCs w:val="24"/>
        </w:rPr>
        <w:t xml:space="preserve"> Con correlaciones de esa magnitud sobre retornos diarios, un choque en un activo se refleja en los demás dentro de la misma vela. 3. </w:t>
      </w:r>
      <w:r>
        <w:rPr>
          <w:rFonts w:ascii="Times New Roman" w:cs="Times New Roman" w:eastAsia="Times New Roman" w:hAnsi="Times New Roman"/>
          <w:b/>
          <w:bCs/>
          <w:color w:val="000000"/>
          <w:sz w:val="24"/>
          <w:szCs w:val="24"/>
        </w:rPr>
        <w:t xml:space="preserve">Hay información compartida, pero no toda la información lo es.</w:t>
      </w:r>
      <w:r>
        <w:rPr>
          <w:rFonts w:ascii="Times New Roman" w:cs="Times New Roman" w:eastAsia="Times New Roman" w:hAnsi="Times New Roman"/>
          <w:color w:val="000000"/>
          <w:sz w:val="24"/>
          <w:szCs w:val="24"/>
        </w:rPr>
        <w:t xml:space="preserve"> Una correlación media de 0,625 implica que alrededor del 39 % de la varianza es común y el 61 % restante es idiosincrásico. Esa es exactamente la condición que hace útil el enfoque multivariante: si la correlación fuera 0,99, las cinco series de apoyo serían redundantes; si fuera 0,1, no aportarían nada. El valor medido está en el rango donde sí puede aportar.</w:t>
      </w:r>
    </w:p>
    <w:p>
      <w:pPr>
        <w:spacing w:after="0" w:line="480" w:lineRule="auto"/>
        <w:ind w:firstLine="720"/>
      </w:pPr>
      <w:r>
        <w:rPr>
          <w:rFonts w:ascii="Times New Roman" w:cs="Times New Roman" w:eastAsia="Times New Roman" w:hAnsi="Times New Roman"/>
          <w:b/>
          <w:bCs/>
          <w:color w:val="000000"/>
          <w:sz w:val="24"/>
          <w:szCs w:val="24"/>
        </w:rPr>
        <w:t xml:space="preserve">Una advertencia metodológica que conviene declarar nosotros.</w:t>
      </w:r>
      <w:r>
        <w:rPr>
          <w:rFonts w:ascii="Times New Roman" w:cs="Times New Roman" w:eastAsia="Times New Roman" w:hAnsi="Times New Roman"/>
          <w:color w:val="000000"/>
          <w:sz w:val="24"/>
          <w:szCs w:val="24"/>
        </w:rPr>
        <w:t xml:space="preserve"> Sobre precios en </w:t>
      </w:r>
      <w:r>
        <w:rPr>
          <w:rFonts w:ascii="Times New Roman" w:cs="Times New Roman" w:eastAsia="Times New Roman" w:hAnsi="Times New Roman"/>
          <w:b/>
          <w:bCs/>
          <w:color w:val="000000"/>
          <w:sz w:val="24"/>
          <w:szCs w:val="24"/>
        </w:rPr>
        <w:t xml:space="preserve">nivel</w:t>
      </w:r>
      <w:r>
        <w:rPr>
          <w:rFonts w:ascii="Times New Roman" w:cs="Times New Roman" w:eastAsia="Times New Roman" w:hAnsi="Times New Roman"/>
          <w:color w:val="000000"/>
          <w:sz w:val="24"/>
          <w:szCs w:val="24"/>
        </w:rPr>
        <w:t xml:space="preserve"> el rango de correlaciones se dispara a </w:t>
      </w:r>
      <w:r>
        <w:rPr>
          <w:rFonts w:ascii="Times New Roman" w:cs="Times New Roman" w:eastAsia="Times New Roman" w:hAnsi="Times New Roman"/>
          <w:b/>
          <w:bCs/>
          <w:color w:val="000000"/>
          <w:sz w:val="24"/>
          <w:szCs w:val="24"/>
        </w:rPr>
        <w:t xml:space="preserve">0,126 – 0,888</w:t>
      </w:r>
      <w:r>
        <w:rPr>
          <w:rFonts w:ascii="Times New Roman" w:cs="Times New Roman" w:eastAsia="Times New Roman" w:hAnsi="Times New Roman"/>
          <w:color w:val="000000"/>
          <w:sz w:val="24"/>
          <w:szCs w:val="24"/>
        </w:rPr>
        <w:t xml:space="preserve"> y el orden económico se desmorona: la pareja LTC–BTC, que sobre retornos es la segunda más fuerte (0,715), cae a </w:t>
      </w:r>
      <w:r>
        <w:rPr>
          <w:rFonts w:ascii="Times New Roman" w:cs="Times New Roman" w:eastAsia="Times New Roman" w:hAnsi="Times New Roman"/>
          <w:b/>
          <w:bCs/>
          <w:color w:val="000000"/>
          <w:sz w:val="24"/>
          <w:szCs w:val="24"/>
        </w:rPr>
        <w:t xml:space="preserve">0,126</w:t>
      </w:r>
      <w:r>
        <w:rPr>
          <w:rFonts w:ascii="Times New Roman" w:cs="Times New Roman" w:eastAsia="Times New Roman" w:hAnsi="Times New Roman"/>
          <w:color w:val="000000"/>
          <w:sz w:val="24"/>
          <w:szCs w:val="24"/>
        </w:rPr>
        <w:t xml:space="preserve"> en nivel, mientras que LTC–ADA sube de 0,641 a </w:t>
      </w:r>
      <w:r>
        <w:rPr>
          <w:rFonts w:ascii="Times New Roman" w:cs="Times New Roman" w:eastAsia="Times New Roman" w:hAnsi="Times New Roman"/>
          <w:b/>
          <w:bCs/>
          <w:color w:val="000000"/>
          <w:sz w:val="24"/>
          <w:szCs w:val="24"/>
        </w:rPr>
        <w:t xml:space="preserve">0,796</w:t>
      </w:r>
      <w:r>
        <w:rPr>
          <w:rFonts w:ascii="Times New Roman" w:cs="Times New Roman" w:eastAsia="Times New Roman" w:hAnsi="Times New Roman"/>
          <w:color w:val="000000"/>
          <w:sz w:val="24"/>
          <w:szCs w:val="24"/>
        </w:rPr>
        <w:t xml:space="preserve">. La razón es que las seis series son no estacionarias —la prueba ADF no rechaza la raíz unitaria en ninguna de ellas, con p-valores entre 0,059 y 0,483 según midió M1—, y la correlación entre series con tendencia mide la coincidencia de tendencias, no la codependencia de sus movimientos. Es el fenómeno clásico de la regresión espuria (Granger &amp; Newbold, 1974). Toda la correlación cruzada del proyecto se calcula sobre retornos por esta razón, y es una decisión respaldada por medición propia.</w:t>
      </w:r>
    </w:p>
    <w:p>
      <w:pPr>
        <w:spacing w:after="0" w:line="480" w:lineRule="auto"/>
        <w:ind w:firstLine="720"/>
      </w:pPr>
      <w:r>
        <w:rPr>
          <w:rFonts w:ascii="Times New Roman" w:cs="Times New Roman" w:eastAsia="Times New Roman" w:hAnsi="Times New Roman"/>
          <w:b/>
          <w:bCs/>
          <w:color w:val="000000"/>
          <w:sz w:val="24"/>
          <w:szCs w:val="24"/>
        </w:rPr>
        <w:t xml:space="preserve">Control sobre serie construida.</w:t>
      </w:r>
      <w:r>
        <w:rPr>
          <w:rFonts w:ascii="Times New Roman" w:cs="Times New Roman" w:eastAsia="Times New Roman" w:hAnsi="Times New Roman"/>
          <w:color w:val="000000"/>
          <w:sz w:val="24"/>
          <w:szCs w:val="24"/>
        </w:rPr>
        <w:t xml:space="preserve"> Sobre paneles sintéticos generados con correlación objetivo conocida, la medición recupera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cuando pedimos correlación baja y </w:t>
      </w:r>
      <w:r>
        <w:rPr>
          <w:rFonts w:ascii="Times New Roman" w:cs="Times New Roman" w:eastAsia="Times New Roman" w:hAnsi="Times New Roman"/>
          <w:b/>
          <w:bCs/>
          <w:color w:val="000000"/>
          <w:sz w:val="24"/>
          <w:szCs w:val="24"/>
        </w:rPr>
        <w:t xml:space="preserve">0,903</w:t>
      </w:r>
      <w:r>
        <w:rPr>
          <w:rFonts w:ascii="Times New Roman" w:cs="Times New Roman" w:eastAsia="Times New Roman" w:hAnsi="Times New Roman"/>
          <w:color w:val="000000"/>
          <w:sz w:val="24"/>
          <w:szCs w:val="24"/>
        </w:rPr>
        <w:t xml:space="preserve"> cuando pedimos correlación alta. Esto verifica que el procedimiento de medición hace lo que decimos que hace, antes de aplicarlo a datos donde nadie conoce la respuesta.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7. Definición de punto de inflexión</w:t>
      </w:r>
    </w:p>
    <w:p>
      <w:pPr>
        <w:keepNext/>
        <w:spacing w:after="0" w:before="240" w:line="480" w:lineRule="auto"/>
      </w:pPr>
      <w:r>
        <w:rPr>
          <w:rFonts w:ascii="Times New Roman" w:cs="Times New Roman" w:eastAsia="Times New Roman" w:hAnsi="Times New Roman"/>
          <w:b/>
          <w:bCs/>
          <w:color w:val="000000"/>
          <w:sz w:val="24"/>
          <w:szCs w:val="24"/>
        </w:rPr>
        <w:t xml:space="preserve">Figura 9</w:t>
      </w:r>
    </w:p>
    <w:p>
      <w:pPr>
        <w:keepNext/>
        <w:spacing w:after="120" w:line="480" w:lineRule="auto"/>
      </w:pPr>
      <w:r>
        <w:rPr>
          <w:rFonts w:ascii="Times New Roman" w:cs="Times New Roman" w:eastAsia="Times New Roman" w:hAnsi="Times New Roman"/>
          <w:i/>
          <w:iCs/>
          <w:color w:val="000000"/>
          <w:sz w:val="24"/>
          <w:szCs w:val="24"/>
        </w:rPr>
        <w:t xml:space="preserve">Serie construida por nosotros mediante </w:t>
      </w:r>
      <w:r>
        <w:rPr>
          <w:rFonts w:ascii="Courier New" w:cs="Courier New" w:eastAsia="Courier New" w:hAnsi="Courier New"/>
          <w:i/>
          <w:iCs/>
          <w:color w:val="000000"/>
          <w:sz w:val="22"/>
          <w:szCs w:val="22"/>
        </w:rPr>
        <w:t xml:space="preserve">serie_zigzag()</w:t>
      </w:r>
      <w:r>
        <w:rPr>
          <w:rFonts w:ascii="Times New Roman" w:cs="Times New Roman" w:eastAsia="Times New Roman" w:hAnsi="Times New Roman"/>
          <w:i/>
          <w:iCs/>
          <w:color w:val="000000"/>
          <w:sz w:val="24"/>
          <w:szCs w:val="24"/>
        </w:rPr>
        <w:t xml:space="preserve">. Los giros marcados son exactamente los vértices que colocamos al generarla; </w:t>
      </w:r>
      <w:r>
        <w:rPr>
          <w:rFonts w:ascii="Times New Roman" w:cs="Times New Roman" w:eastAsia="Times New Roman" w:hAnsi="Times New Roman"/>
          <w:b/>
          <w:bCs/>
          <w:i/>
          <w:iCs/>
          <w:color w:val="000000"/>
          <w:sz w:val="24"/>
          <w:szCs w:val="24"/>
        </w:rPr>
        <w:t xml:space="preserve">no son datos de mercado</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color w:val="000000"/>
          <w:sz w:val="24"/>
          <w:szCs w:val="24"/>
        </w:rPr>
        <w:t xml:space="preserve">Intuitivamente, un máximo es el punto donde el precio deja de subir y empieza a bajar. El problema es que un precio sube y baja continuamente, a todas las escalas, de modo que la intuición no basta para construir una etiqueta.</w:t>
      </w:r>
    </w:p>
    <w:p>
      <w:pPr>
        <w:spacing w:after="0" w:line="480" w:lineRule="auto"/>
        <w:ind w:firstLine="720"/>
      </w:pPr>
      <w:r>
        <w:rPr>
          <w:rFonts w:ascii="Times New Roman" w:cs="Times New Roman" w:eastAsia="Times New Roman" w:hAnsi="Times New Roman"/>
          <w:b/>
          <w:bCs/>
          <w:color w:val="000000"/>
          <w:sz w:val="24"/>
          <w:szCs w:val="24"/>
        </w:rPr>
        <w:t xml:space="preserve">Un máximo no existe en términos absolutos: existe respecto de una ventana.</w:t>
      </w:r>
      <w:r>
        <w:rPr>
          <w:rFonts w:ascii="Times New Roman" w:cs="Times New Roman" w:eastAsia="Times New Roman" w:hAnsi="Times New Roman"/>
          <w:color w:val="000000"/>
          <w:sz w:val="24"/>
          <w:szCs w:val="24"/>
        </w:rPr>
        <w:t xml:space="preserve"> Considérese la siguiente serie, inventada para ilustrar el punto y sin ninguna relación con datos reales:</w:t>
      </w:r>
    </w:p>
    <w:p>
      <w:pPr>
        <w:spacing w:after="0" w:line="480" w:lineRule="auto"/>
        <w:ind w:firstLine="720"/>
      </w:pPr>
      <w:r>
        <w:rPr>
          <w:rFonts w:ascii="Times New Roman" w:cs="Times New Roman" w:eastAsia="Times New Roman" w:hAnsi="Times New Roman"/>
          <w:color w:val="000000"/>
          <w:sz w:val="24"/>
          <w:szCs w:val="24"/>
        </w:rPr>
        <w:t xml:space="preserve">Mirando un día a cada lado, el día 3 es un máximo: 105 supera a 102 y a 103. Mirando cinco días a cada lado deja de serlo, porque dentro de esa vecindad está el día 6 con 110. El día 3 no cambió; cambió la lupa. </w:t>
      </w:r>
      <w:r>
        <w:rPr>
          <w:rFonts w:ascii="Times New Roman" w:cs="Times New Roman" w:eastAsia="Times New Roman" w:hAnsi="Times New Roman"/>
          <w:b/>
          <w:bCs/>
          <w:color w:val="000000"/>
          <w:sz w:val="24"/>
          <w:szCs w:val="24"/>
        </w:rPr>
        <w:t xml:space="preserve">Las dos lecturas son correctas</w:t>
      </w:r>
      <w:r>
        <w:rPr>
          <w:rFonts w:ascii="Times New Roman" w:cs="Times New Roman" w:eastAsia="Times New Roman" w:hAnsi="Times New Roman"/>
          <w:color w:val="000000"/>
          <w:sz w:val="24"/>
          <w:szCs w:val="24"/>
        </w:rPr>
        <w:t xml:space="preserve">: el día 3 es un giro local pequeño y no es un giro estructural.</w:t>
      </w:r>
    </w:p>
    <w:p>
      <w:pPr>
        <w:spacing w:after="0" w:line="480" w:lineRule="auto"/>
        <w:ind w:firstLine="720"/>
      </w:pPr>
      <w:r>
        <w:rPr>
          <w:rFonts w:ascii="Times New Roman" w:cs="Times New Roman" w:eastAsia="Times New Roman" w:hAnsi="Times New Roman"/>
          <w:color w:val="000000"/>
          <w:sz w:val="24"/>
          <w:szCs w:val="24"/>
        </w:rPr>
        <w:t xml:space="preserve">De aquí se sigue lo esencial de esta sección: no estamos buscando la definición verdadera de máximo, porque no existe. Estamos </w:t>
      </w:r>
      <w:r>
        <w:rPr>
          <w:rFonts w:ascii="Times New Roman" w:cs="Times New Roman" w:eastAsia="Times New Roman" w:hAnsi="Times New Roman"/>
          <w:b/>
          <w:bCs/>
          <w:color w:val="000000"/>
          <w:sz w:val="24"/>
          <w:szCs w:val="24"/>
        </w:rPr>
        <w:t xml:space="preserve">eligiendo a qué escala trabaja el modelo</w:t>
      </w:r>
      <w:r>
        <w:rPr>
          <w:rFonts w:ascii="Times New Roman" w:cs="Times New Roman" w:eastAsia="Times New Roman" w:hAnsi="Times New Roman"/>
          <w:color w:val="000000"/>
          <w:sz w:val="24"/>
          <w:szCs w:val="24"/>
        </w:rPr>
        <w:t xml:space="preserve">, y esa elección hay que justificarla con datos en lugar de adoptarla por convención.</w:t>
      </w:r>
    </w:p>
    <w:p>
      <w:pPr>
        <w:spacing w:after="0" w:line="480" w:lineRule="auto"/>
        <w:ind w:firstLine="720"/>
      </w:pPr>
      <w:r>
        <w:rPr>
          <w:rFonts w:ascii="Times New Roman" w:cs="Times New Roman" w:eastAsia="Times New Roman" w:hAnsi="Times New Roman"/>
          <w:b/>
          <w:bCs/>
          <w:color w:val="000000"/>
          <w:sz w:val="24"/>
          <w:szCs w:val="24"/>
        </w:rPr>
        <w:t xml:space="preserve">Definición operativa adoptada.</w:t>
      </w:r>
      <w:r>
        <w:rPr>
          <w:rFonts w:ascii="Times New Roman" w:cs="Times New Roman" w:eastAsia="Times New Roman" w:hAnsi="Times New Roman"/>
          <w:color w:val="000000"/>
          <w:sz w:val="24"/>
          <w:szCs w:val="24"/>
        </w:rPr>
        <w:t xml:space="preserve"> El proyecto fija la etiqueta en un único lugar (</w:t>
      </w:r>
      <w:r>
        <w:rPr>
          <w:rFonts w:ascii="Courier New" w:cs="Courier New" w:eastAsia="Courier New" w:hAnsi="Courier New"/>
          <w:color w:val="000000"/>
          <w:sz w:val="22"/>
          <w:szCs w:val="22"/>
        </w:rPr>
        <w:t xml:space="preserve">contracts/labeling.py</w:t>
      </w:r>
      <w:r>
        <w:rPr>
          <w:rFonts w:ascii="Times New Roman" w:cs="Times New Roman" w:eastAsia="Times New Roman" w:hAnsi="Times New Roman"/>
          <w:color w:val="000000"/>
          <w:sz w:val="24"/>
          <w:szCs w:val="24"/>
        </w:rPr>
        <w:t xml:space="preserve">) y los cuatro módulos la consumen:</w:t>
      </w:r>
    </w:p>
    <w:p>
      <w:pPr>
        <w:spacing w:after="0" w:line="480" w:lineRule="auto"/>
        <w:ind w:left="720"/>
      </w:pPr>
      <w:r>
        <w:rPr>
          <w:rFonts w:ascii="Times New Roman" w:cs="Times New Roman" w:eastAsia="Times New Roman" w:hAnsi="Times New Roman"/>
          <w:color w:val="000000"/>
          <w:sz w:val="24"/>
          <w:szCs w:val="24"/>
        </w:rPr>
        <w:t xml:space="preserve">Una vela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si su precio de cierre es estrictamente mayor que el de todas las velas entre </w:t>
      </w:r>
      <w:r>
        <w:rPr>
          <w:rFonts w:ascii="Courier New" w:cs="Courier New" w:eastAsia="Courier New" w:hAnsi="Courier New"/>
          <w:color w:val="000000"/>
          <w:sz w:val="22"/>
          <w:szCs w:val="22"/>
        </w:rPr>
        <w:t xml:space="preserve">t-w</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t+w</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si es estrictamente menor que todas ellas. En cualquier otro caso es </w:t>
      </w:r>
      <w:r>
        <w:rPr>
          <w:rFonts w:ascii="Times New Roman" w:cs="Times New Roman" w:eastAsia="Times New Roman" w:hAnsi="Times New Roman"/>
          <w:b/>
          <w:bCs/>
          <w:color w:val="000000"/>
          <w:sz w:val="24"/>
          <w:szCs w:val="24"/>
        </w:rPr>
        <w:t xml:space="preserve">Zona de 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Dos precisiones que no son cosméticas. Primera: la exigencia de desigualdad </w:t>
      </w:r>
      <w:r>
        <w:rPr>
          <w:rFonts w:ascii="Times New Roman" w:cs="Times New Roman" w:eastAsia="Times New Roman" w:hAnsi="Times New Roman"/>
          <w:b/>
          <w:bCs/>
          <w:color w:val="000000"/>
          <w:sz w:val="24"/>
          <w:szCs w:val="24"/>
        </w:rPr>
        <w:t xml:space="preserve">estricta</w:t>
      </w:r>
      <w:r>
        <w:rPr>
          <w:rFonts w:ascii="Times New Roman" w:cs="Times New Roman" w:eastAsia="Times New Roman" w:hAnsi="Times New Roman"/>
          <w:color w:val="000000"/>
          <w:sz w:val="24"/>
          <w:szCs w:val="24"/>
        </w:rPr>
        <w:t xml:space="preserve"> contra las 2w vecinas —y no simplemente ser igual al máximo de la ventana— es lo que garantiza la propiedad aritmética del párrafo siguiente; admitiendo empates, la propiedad se pierde. Segunda: las primeras y últimas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de la serie quedan </w:t>
      </w:r>
      <w:r>
        <w:rPr>
          <w:rFonts w:ascii="Times New Roman" w:cs="Times New Roman" w:eastAsia="Times New Roman" w:hAnsi="Times New Roman"/>
          <w:b/>
          <w:bCs/>
          <w:color w:val="000000"/>
          <w:sz w:val="24"/>
          <w:szCs w:val="24"/>
        </w:rPr>
        <w:t xml:space="preserve">sin etiqueta</w:t>
      </w:r>
      <w:r>
        <w:rPr>
          <w:rFonts w:ascii="Times New Roman" w:cs="Times New Roman" w:eastAsia="Times New Roman" w:hAnsi="Times New Roman"/>
          <w:color w:val="000000"/>
          <w:sz w:val="24"/>
          <w:szCs w:val="24"/>
        </w:rPr>
        <w:t xml:space="preserve">, no etiquetadas como Continuidad. No tienen ventana completa, así que su clase es desconocida, y desconocida no es lo mismo que neutra: contarlas como Continuidad inflaría artificialmente la clase mayoritaria.</w:t>
      </w:r>
    </w:p>
    <w:p>
      <w:pPr>
        <w:spacing w:after="0" w:line="480" w:lineRule="auto"/>
        <w:ind w:firstLine="720"/>
      </w:pPr>
      <w:r>
        <w:rPr>
          <w:rFonts w:ascii="Times New Roman" w:cs="Times New Roman" w:eastAsia="Times New Roman" w:hAnsi="Times New Roman"/>
          <w:b/>
          <w:bCs/>
          <w:color w:val="000000"/>
          <w:sz w:val="24"/>
          <w:szCs w:val="24"/>
        </w:rPr>
        <w:t xml:space="preserve">Propiedad aritmética: la cota superior del desbalance.</w:t>
      </w:r>
      <w:r>
        <w:rPr>
          <w:rFonts w:ascii="Times New Roman" w:cs="Times New Roman" w:eastAsia="Times New Roman" w:hAnsi="Times New Roman"/>
          <w:color w:val="000000"/>
          <w:sz w:val="24"/>
          <w:szCs w:val="24"/>
        </w:rPr>
        <w:t xml:space="preserve"> Dos máximos no pueden estar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de distancia. La demostración es inmediata: si lo estuvieran, cada uno caería dentro de la ventana del otro y, por definición, cada uno tendría que ser estrictamente mayor que el otro, lo cual es imposible. Por lo tanto, </w:t>
      </w:r>
      <w:r>
        <w:rPr>
          <w:rFonts w:ascii="Times New Roman" w:cs="Times New Roman" w:eastAsia="Times New Roman" w:hAnsi="Times New Roman"/>
          <w:b/>
          <w:bCs/>
          <w:color w:val="000000"/>
          <w:sz w:val="24"/>
          <w:szCs w:val="24"/>
        </w:rPr>
        <w:t xml:space="preserve">como mucho 1 de cada </w:t>
      </w:r>
      <w:r>
        <w:rPr>
          <w:rFonts w:ascii="Courier New" w:cs="Courier New" w:eastAsia="Courier New" w:hAnsi="Courier New"/>
          <w:b/>
          <w:bCs/>
          <w:color w:val="000000"/>
          <w:sz w:val="22"/>
          <w:szCs w:val="22"/>
        </w:rPr>
        <w:t xml:space="preserve">w+1</w:t>
      </w:r>
      <w:r>
        <w:rPr>
          <w:rFonts w:ascii="Times New Roman" w:cs="Times New Roman" w:eastAsia="Times New Roman" w:hAnsi="Times New Roman"/>
          <w:b/>
          <w:bCs/>
          <w:color w:val="000000"/>
          <w:sz w:val="24"/>
          <w:szCs w:val="24"/>
        </w:rPr>
        <w:t xml:space="preserve"> velas puede ser Máximo</w:t>
      </w:r>
      <w:r>
        <w:rPr>
          <w:rFonts w:ascii="Times New Roman" w:cs="Times New Roman" w:eastAsia="Times New Roman" w:hAnsi="Times New Roman"/>
          <w:color w:val="000000"/>
          <w:sz w:val="24"/>
          <w:szCs w:val="24"/>
        </w:rPr>
        <w:t xml:space="preserve">, y lo mismo vale para Mínimo.</w:t>
      </w:r>
    </w:p>
    <w:p>
      <w:pPr>
        <w:spacing w:after="0" w:line="480" w:lineRule="auto"/>
        <w:ind w:firstLine="720"/>
      </w:pPr>
      <w:r>
        <w:rPr>
          <w:rFonts w:ascii="Times New Roman" w:cs="Times New Roman" w:eastAsia="Times New Roman" w:hAnsi="Times New Roman"/>
          <w:color w:val="000000"/>
          <w:sz w:val="24"/>
          <w:szCs w:val="24"/>
        </w:rPr>
        <w:t xml:space="preserve">Esto es aritmética, no una medición, y tiene una consecuencia que condiciona todo el proyecto: el desbalance de clases </w:t>
      </w:r>
      <w:r>
        <w:rPr>
          <w:rFonts w:ascii="Times New Roman" w:cs="Times New Roman" w:eastAsia="Times New Roman" w:hAnsi="Times New Roman"/>
          <w:b/>
          <w:bCs/>
          <w:color w:val="000000"/>
          <w:sz w:val="24"/>
          <w:szCs w:val="24"/>
        </w:rPr>
        <w:t xml:space="preserve">está garantizado por la definición de la etiqueta</w:t>
      </w:r>
      <w:r>
        <w:rPr>
          <w:rFonts w:ascii="Times New Roman" w:cs="Times New Roman" w:eastAsia="Times New Roman" w:hAnsi="Times New Roman"/>
          <w:color w:val="000000"/>
          <w:sz w:val="24"/>
          <w:szCs w:val="24"/>
        </w:rPr>
        <w:t xml:space="preserve">, no es un accidente de los datos.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los máximos no pueden superar el 16,7 % de las observaciones;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el 12,5 %. Nuestra medición sobre LTC queda muy por debajo de la cota, como corresponde a un límite superior:</w:t>
      </w:r>
    </w:p>
    <w:p>
      <w:pPr>
        <w:keepNext/>
        <w:spacing w:after="0" w:before="240" w:line="480" w:lineRule="auto"/>
      </w:pPr>
      <w:r>
        <w:rPr>
          <w:rFonts w:ascii="Times New Roman" w:cs="Times New Roman" w:eastAsia="Times New Roman" w:hAnsi="Times New Roman"/>
          <w:b/>
          <w:bCs/>
          <w:color w:val="000000"/>
          <w:sz w:val="24"/>
          <w:szCs w:val="24"/>
        </w:rPr>
        <w:t xml:space="preserve">Tabla 1</w:t>
      </w:r>
    </w:p>
    <w:p>
      <w:pPr>
        <w:keepNext/>
        <w:spacing w:after="60" w:line="480" w:lineRule="auto"/>
      </w:pPr>
      <w:r>
        <w:rPr>
          <w:rFonts w:ascii="Times New Roman" w:cs="Times New Roman" w:eastAsia="Times New Roman" w:hAnsi="Times New Roman"/>
          <w:i/>
          <w:iCs/>
          <w:color w:val="000000"/>
          <w:sz w:val="24"/>
          <w:szCs w:val="24"/>
        </w:rPr>
        <w:t xml:space="preserve">Balance de clases por combinación de granularidad y ventana, con </w:t>
      </w:r>
      <w:r>
        <w:rPr>
          <w:rFonts w:ascii="Courier New" w:cs="Courier New" w:eastAsia="Courier New" w:hAnsi="Courier New"/>
          <w:i/>
          <w:iCs/>
          <w:color w:val="000000"/>
          <w:sz w:val="22"/>
          <w:szCs w:val="22"/>
        </w:rPr>
        <w:t xml:space="preserve">h = 3</w:t>
      </w:r>
      <w:r>
        <w:rPr>
          <w:rFonts w:ascii="Times New Roman" w:cs="Times New Roman" w:eastAsia="Times New Roman" w:hAnsi="Times New Roman"/>
          <w:i/>
          <w:iCs/>
          <w:color w:val="000000"/>
          <w:sz w:val="24"/>
          <w:szCs w:val="24"/>
        </w:rPr>
        <w:t xml:space="preserve">. Medido con </w:t>
      </w:r>
      <w:r>
        <w:rPr>
          <w:rFonts w:ascii="Courier New" w:cs="Courier New" w:eastAsia="Courier New" w:hAnsi="Courier New"/>
          <w:i/>
          <w:iCs/>
          <w:color w:val="000000"/>
          <w:sz w:val="22"/>
          <w:szCs w:val="22"/>
        </w:rPr>
        <w:t xml:space="preserve">scripts/spike_datos.py</w:t>
      </w:r>
      <w:r>
        <w:rPr>
          <w:rFonts w:ascii="Times New Roman" w:cs="Times New Roman" w:eastAsia="Times New Roman" w:hAnsi="Times New Roman"/>
          <w:i/>
          <w:iCs/>
          <w:color w:val="000000"/>
          <w:sz w:val="24"/>
          <w:szCs w:val="24"/>
        </w:rPr>
        <w:t xml:space="preserve"> el 5 de agosto de 2026 sobre el panel 11/08/2020 – 05/08/2026</w:t>
      </w:r>
    </w:p>
    <w:tbl>
      <w:tblPr>
        <w:tblW w:type="dxa" w:w="9360"/>
        <w:tblBorders>
          <w:top w:val="none"/>
          <w:left w:val="none"/>
          <w:bottom w:val="none"/>
          <w:right w:val="none"/>
          <w:insideH w:val="none"/>
          <w:insideV w:val="none"/>
        </w:tblBorders>
      </w:tblPr>
      <w:tblGrid>
        <w:gridCol w:w="1337"/>
        <w:gridCol w:w="1337"/>
        <w:gridCol w:w="1337"/>
        <w:gridCol w:w="1337"/>
        <w:gridCol w:w="1337"/>
        <w:gridCol w:w="1337"/>
        <w:gridCol w:w="1338"/>
      </w:tblGrid>
      <w:tr>
        <w:trPr>
          <w:tblHeader/>
        </w:trPr>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Courier New" w:cs="Courier New" w:eastAsia="Courier New" w:hAnsi="Courier New"/>
                <w:color w:val="000000"/>
                <w:sz w:val="20"/>
                <w:szCs w:val="20"/>
              </w:rPr>
              <w:t xml:space="preserve">w</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Cota teórica por clase extrema</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Máximo medido</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Mínimo medido</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Continuidad</w:t>
            </w:r>
          </w:p>
        </w:tc>
        <w:tc>
          <w:tcPr>
            <w:tcW w:type="dxa" w:w="1338"/>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Clase minoritaria en entrenamiento</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25,0 %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10,37 %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10,46 %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79,17 %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149</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6,58 %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6,48 %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86,94 %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12,5 %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4,47 %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90,93 %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3,51 %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93,12 %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53</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25,0 %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9,77 %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80,19 %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884</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6,15 %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87,45 %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557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12,5 %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4,63 %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4,66 %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420</w:t>
            </w:r>
          </w:p>
        </w:tc>
      </w:tr>
      <w:tr>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93,38 %</w:t>
            </w:r>
          </w:p>
        </w:tc>
        <w:tc>
          <w:tcPr>
            <w:tcW w:type="dxa" w:w="1338"/>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299</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spike-datos-1d.json</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spike-datos-4h.json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lectura de la tabla explica una decisión de diseño del proyecto. El criterio se fijó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medir: elegir el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más grande que deje al menos 300 ejemplos de la clase minoritaria en el conjunto de entrenamiento —un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grande detecta giros más significativos, y el piso de 300 garantiza que el modelo tenga de dónde aprender—. Con velas diarias </w:t>
      </w:r>
      <w:r>
        <w:rPr>
          <w:rFonts w:ascii="Times New Roman" w:cs="Times New Roman" w:eastAsia="Times New Roman" w:hAnsi="Times New Roman"/>
          <w:b/>
          <w:bCs/>
          <w:color w:val="000000"/>
          <w:sz w:val="24"/>
          <w:szCs w:val="24"/>
        </w:rPr>
        <w:t xml:space="preserve">ninguna combinación cumple el criterio</w:t>
      </w:r>
      <w:r>
        <w:rPr>
          <w:rFonts w:ascii="Times New Roman" w:cs="Times New Roman" w:eastAsia="Times New Roman" w:hAnsi="Times New Roman"/>
          <w:color w:val="000000"/>
          <w:sz w:val="24"/>
          <w:szCs w:val="24"/>
        </w:rPr>
        <w:t xml:space="preserve">: la mejor deja 149 ejemplos, la mitad del piso. Con velas de 4 horas,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es el mayor que lo cumple, con 420. Esa es la razón por la que el panel de trabajo es el de 4 horas, y es una razón medida, no una preferencia.</w:t>
      </w:r>
    </w:p>
    <w:p>
      <w:pPr>
        <w:spacing w:after="0" w:line="480" w:lineRule="auto"/>
        <w:ind w:firstLine="720"/>
      </w:pPr>
      <w:r>
        <w:rPr>
          <w:rFonts w:ascii="Times New Roman" w:cs="Times New Roman" w:eastAsia="Times New Roman" w:hAnsi="Times New Roman"/>
          <w:b/>
          <w:bCs/>
          <w:color w:val="000000"/>
          <w:sz w:val="24"/>
          <w:szCs w:val="24"/>
        </w:rPr>
        <w:t xml:space="preserve">El horizonte </w:t>
      </w:r>
      <w:r>
        <w:rPr>
          <w:rFonts w:ascii="Courier New" w:cs="Courier New" w:eastAsia="Courier New" w:hAnsi="Courier New"/>
          <w:b/>
          <w:bCs/>
          <w:color w:val="000000"/>
          <w:sz w:val="22"/>
          <w:szCs w:val="22"/>
        </w:rPr>
        <w:t xml:space="preserve">h</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 independiente de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mientras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define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 un giro,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define </w:t>
      </w:r>
      <w:r>
        <w:rPr>
          <w:rFonts w:ascii="Times New Roman" w:cs="Times New Roman" w:eastAsia="Times New Roman" w:hAnsi="Times New Roman"/>
          <w:i/>
          <w:iCs/>
          <w:color w:val="000000"/>
          <w:sz w:val="24"/>
          <w:szCs w:val="24"/>
        </w:rPr>
        <w:t xml:space="preserve">con cuánta anticipación</w:t>
      </w:r>
      <w:r>
        <w:rPr>
          <w:rFonts w:ascii="Times New Roman" w:cs="Times New Roman" w:eastAsia="Times New Roman" w:hAnsi="Times New Roman"/>
          <w:color w:val="000000"/>
          <w:sz w:val="24"/>
          <w:szCs w:val="24"/>
        </w:rPr>
        <w:t xml:space="preserve"> se anuncia. El modelo observa la información disponible hasta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y responde qué etiqueta corresponderá a la vela </w:t>
      </w:r>
      <w:r>
        <w:rPr>
          <w:rFonts w:ascii="Courier New" w:cs="Courier New" w:eastAsia="Courier New" w:hAnsi="Courier New"/>
          <w:color w:val="000000"/>
          <w:sz w:val="22"/>
          <w:szCs w:val="22"/>
        </w:rPr>
        <w:t xml:space="preserve">t+h</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latencia real del sistema.</w:t>
      </w:r>
      <w:r>
        <w:rPr>
          <w:rFonts w:ascii="Times New Roman" w:cs="Times New Roman" w:eastAsia="Times New Roman" w:hAnsi="Times New Roman"/>
          <w:color w:val="000000"/>
          <w:sz w:val="24"/>
          <w:szCs w:val="24"/>
        </w:rPr>
        <w:t xml:space="preserve"> Aquí hay un punto que conviene declarar antes de que lo pregunten. Para saber si la vela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observar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de modo que su etiqueta </w:t>
      </w:r>
      <w:r>
        <w:rPr>
          <w:rFonts w:ascii="Times New Roman" w:cs="Times New Roman" w:eastAsia="Times New Roman" w:hAnsi="Times New Roman"/>
          <w:b/>
          <w:bCs/>
          <w:color w:val="000000"/>
          <w:sz w:val="24"/>
          <w:szCs w:val="24"/>
        </w:rPr>
        <w:t xml:space="preserve">no se conoce hasta </w:t>
      </w:r>
      <w:r>
        <w:rPr>
          <w:rFonts w:ascii="Courier New" w:cs="Courier New" w:eastAsia="Courier New" w:hAnsi="Courier New"/>
          <w:b/>
          <w:bCs/>
          <w:color w:val="000000"/>
          <w:sz w:val="22"/>
          <w:szCs w:val="22"/>
        </w:rPr>
        <w:t xml:space="preserve">t+w</w:t>
      </w:r>
      <w:r>
        <w:rPr>
          <w:rFonts w:ascii="Times New Roman" w:cs="Times New Roman" w:eastAsia="Times New Roman" w:hAnsi="Times New Roman"/>
          <w:color w:val="000000"/>
          <w:sz w:val="24"/>
          <w:szCs w:val="24"/>
        </w:rPr>
        <w:t xml:space="preserve">. Si estamos parados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y predecimos la etiqueta de </w:t>
      </w:r>
      <w:r>
        <w:rPr>
          <w:rFonts w:ascii="Courier New" w:cs="Courier New" w:eastAsia="Courier New" w:hAnsi="Courier New"/>
          <w:color w:val="000000"/>
          <w:sz w:val="22"/>
          <w:szCs w:val="22"/>
        </w:rPr>
        <w:t xml:space="preserve">t+h</w:t>
      </w:r>
      <w:r>
        <w:rPr>
          <w:rFonts w:ascii="Times New Roman" w:cs="Times New Roman" w:eastAsia="Times New Roman" w:hAnsi="Times New Roman"/>
          <w:color w:val="000000"/>
          <w:sz w:val="24"/>
          <w:szCs w:val="24"/>
        </w:rPr>
        <w:t xml:space="preserve">, esa etiqueta no existirá hasta </w:t>
      </w:r>
      <w:r>
        <w:rPr>
          <w:rFonts w:ascii="Courier New" w:cs="Courier New" w:eastAsia="Courier New" w:hAnsi="Courier New"/>
          <w:color w:val="000000"/>
          <w:sz w:val="22"/>
          <w:szCs w:val="22"/>
        </w:rPr>
        <w:t xml:space="preserve">t+h+w</w:t>
      </w:r>
      <w:r>
        <w:rPr>
          <w:rFonts w:ascii="Times New Roman" w:cs="Times New Roman" w:eastAsia="Times New Roman" w:hAnsi="Times New Roman"/>
          <w:color w:val="000000"/>
          <w:sz w:val="24"/>
          <w:szCs w:val="24"/>
        </w:rPr>
        <w:t xml:space="preserve">. La anticipación efectiva del sistema es por lo tanto de </w:t>
      </w:r>
      <w:r>
        <w:rPr>
          <w:rFonts w:ascii="Courier New" w:cs="Courier New" w:eastAsia="Courier New" w:hAnsi="Courier New"/>
          <w:b/>
          <w:bCs/>
          <w:color w:val="000000"/>
          <w:sz w:val="22"/>
          <w:szCs w:val="22"/>
        </w:rPr>
        <w:t xml:space="preserve">h+w</w:t>
      </w:r>
      <w:r>
        <w:rPr>
          <w:rFonts w:ascii="Times New Roman" w:cs="Times New Roman" w:eastAsia="Times New Roman" w:hAnsi="Times New Roman"/>
          <w:b/>
          <w:bCs/>
          <w:color w:val="000000"/>
          <w:sz w:val="24"/>
          <w:szCs w:val="24"/>
        </w:rPr>
        <w:t xml:space="preserve"> velas, no de </w:t>
      </w:r>
      <w:r>
        <w:rPr>
          <w:rFonts w:ascii="Courier New" w:cs="Courier New" w:eastAsia="Courier New" w:hAnsi="Courier New"/>
          <w:b/>
          <w:bCs/>
          <w:color w:val="000000"/>
          <w:sz w:val="22"/>
          <w:szCs w:val="22"/>
        </w:rPr>
        <w:t xml:space="preserve">h</w:t>
      </w:r>
      <w:r>
        <w:rPr>
          <w:rFonts w:ascii="Times New Roman" w:cs="Times New Roman" w:eastAsia="Times New Roman" w:hAnsi="Times New Roman"/>
          <w:color w:val="000000"/>
          <w:sz w:val="24"/>
          <w:szCs w:val="24"/>
        </w:rPr>
        <w:t xml:space="preserve">, y reportar solo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sería engañoso. El proyecto expone esta cantidad como una función explícita (</w:t>
      </w:r>
      <w:r>
        <w:rPr>
          <w:rFonts w:ascii="Courier New" w:cs="Courier New" w:eastAsia="Courier New" w:hAnsi="Courier New"/>
          <w:color w:val="000000"/>
          <w:sz w:val="22"/>
          <w:szCs w:val="22"/>
        </w:rPr>
        <w:t xml:space="preserve">latencia_real(w, h)</w:t>
      </w:r>
      <w:r>
        <w:rPr>
          <w:rFonts w:ascii="Times New Roman" w:cs="Times New Roman" w:eastAsia="Times New Roman" w:hAnsi="Times New Roman"/>
          <w:color w:val="000000"/>
          <w:sz w:val="24"/>
          <w:szCs w:val="24"/>
        </w:rPr>
        <w:t xml:space="preserve">) para que el número entre al informe calculado y no estimado.</w:t>
      </w:r>
    </w:p>
    <w:p>
      <w:pPr>
        <w:spacing w:after="0" w:line="480" w:lineRule="auto"/>
        <w:ind w:firstLine="720"/>
      </w:pPr>
      <w:r>
        <w:rPr>
          <w:rFonts w:ascii="Times New Roman" w:cs="Times New Roman" w:eastAsia="Times New Roman" w:hAnsi="Times New Roman"/>
          <w:color w:val="000000"/>
          <w:sz w:val="24"/>
          <w:szCs w:val="24"/>
        </w:rPr>
        <w:t xml:space="preserve">De esta propiedad se desprende además el riesgo técnico más serio del proyecto. Como la etiqueta se construye mirando el futuro, es fácil contaminar las características con información posterior al instante de predicción sin darse cuenta. Es el riesgo R4 del PRD, y es particularmente peligroso porque </w:t>
      </w:r>
      <w:r>
        <w:rPr>
          <w:rFonts w:ascii="Times New Roman" w:cs="Times New Roman" w:eastAsia="Times New Roman" w:hAnsi="Times New Roman"/>
          <w:b/>
          <w:bCs/>
          <w:color w:val="000000"/>
          <w:sz w:val="24"/>
          <w:szCs w:val="24"/>
        </w:rPr>
        <w:t xml:space="preserve">no se manifiesta como un error</w:t>
      </w:r>
      <w:r>
        <w:rPr>
          <w:rFonts w:ascii="Times New Roman" w:cs="Times New Roman" w:eastAsia="Times New Roman" w:hAnsi="Times New Roman"/>
          <w:color w:val="000000"/>
          <w:sz w:val="24"/>
          <w:szCs w:val="24"/>
        </w:rPr>
        <w:t xml:space="preserve">: produce métricas excelentes y un sistema inservible. La literatura de aprendizaje automático aplicado a finanzas insiste en este punto (López de Prado, 2018), y por eso el proyecto lo trata con una prueba automática obligatoria (RF-E2) y con un embargo de </w:t>
      </w:r>
      <w:r>
        <w:rPr>
          <w:rFonts w:ascii="Courier New" w:cs="Courier New" w:eastAsia="Courier New" w:hAnsi="Courier New"/>
          <w:color w:val="000000"/>
          <w:sz w:val="22"/>
          <w:szCs w:val="22"/>
        </w:rPr>
        <w:t xml:space="preserve">w+h</w:t>
      </w:r>
      <w:r>
        <w:rPr>
          <w:rFonts w:ascii="Times New Roman" w:cs="Times New Roman" w:eastAsia="Times New Roman" w:hAnsi="Times New Roman"/>
          <w:color w:val="000000"/>
          <w:sz w:val="24"/>
          <w:szCs w:val="24"/>
        </w:rPr>
        <w:t xml:space="preserve"> velas en cada frontera de la partición temporal (Bergmeir &amp; Benítez, 2012).</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8. Cómo encontrar puntos de inflexión</w:t>
      </w:r>
    </w:p>
    <w:p>
      <w:pPr>
        <w:keepNext/>
        <w:spacing w:after="0" w:before="240" w:line="480" w:lineRule="auto"/>
      </w:pPr>
      <w:r>
        <w:rPr>
          <w:rFonts w:ascii="Times New Roman" w:cs="Times New Roman" w:eastAsia="Times New Roman" w:hAnsi="Times New Roman"/>
          <w:b/>
          <w:bCs/>
          <w:color w:val="000000"/>
          <w:sz w:val="24"/>
          <w:szCs w:val="24"/>
        </w:rPr>
        <w:t xml:space="preserve">Figura 10</w:t>
      </w:r>
    </w:p>
    <w:p>
      <w:pPr>
        <w:keepNext/>
        <w:spacing w:after="120" w:line="480" w:lineRule="auto"/>
      </w:pPr>
      <w:r>
        <w:rPr>
          <w:rFonts w:ascii="Times New Roman" w:cs="Times New Roman" w:eastAsia="Times New Roman" w:hAnsi="Times New Roman"/>
          <w:i/>
          <w:iCs/>
          <w:color w:val="000000"/>
          <w:sz w:val="24"/>
          <w:szCs w:val="24"/>
        </w:rPr>
        <w:t xml:space="preserve">Últimas 250 velas diarias de LTC con los giros detectados por el criterio de ventana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spacing w:after="0" w:line="480" w:lineRule="auto"/>
        <w:ind w:firstLine="720"/>
      </w:pPr>
      <w:r>
        <w:rPr>
          <w:rFonts w:ascii="Times New Roman" w:cs="Times New Roman" w:eastAsia="Times New Roman" w:hAnsi="Times New Roman"/>
          <w:color w:val="000000"/>
          <w:sz w:val="24"/>
          <w:szCs w:val="24"/>
        </w:rPr>
        <w:t xml:space="preserve">Existen dos enfoques, y contrastarlos aclara qué estamos haciendo y qué estamos dejando fuera.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8.1 Estructura de mercado (HH, HL, LH, LL)</w:t>
      </w:r>
    </w:p>
    <w:p>
      <w:pPr>
        <w:spacing w:after="0" w:line="480" w:lineRule="auto"/>
        <w:ind w:firstLine="720"/>
      </w:pPr>
      <w:r>
        <w:rPr>
          <w:rFonts w:ascii="Times New Roman" w:cs="Times New Roman" w:eastAsia="Times New Roman" w:hAnsi="Times New Roman"/>
          <w:color w:val="000000"/>
          <w:sz w:val="24"/>
          <w:szCs w:val="24"/>
        </w:rPr>
        <w:t xml:space="preserve">Es el enfoque clásico del análisis técnico y el que muestra la figura del enunciado. Se identifican máximos y mínimos sucesivos y se clasifican como </w:t>
      </w:r>
      <w:r>
        <w:rPr>
          <w:rFonts w:ascii="Times New Roman" w:cs="Times New Roman" w:eastAsia="Times New Roman" w:hAnsi="Times New Roman"/>
          <w:i/>
          <w:iCs/>
          <w:color w:val="000000"/>
          <w:sz w:val="24"/>
          <w:szCs w:val="24"/>
        </w:rPr>
        <w:t xml:space="preserve">higher high</w:t>
      </w:r>
      <w:r>
        <w:rPr>
          <w:rFonts w:ascii="Times New Roman" w:cs="Times New Roman" w:eastAsia="Times New Roman" w:hAnsi="Times New Roman"/>
          <w:color w:val="000000"/>
          <w:sz w:val="24"/>
          <w:szCs w:val="24"/>
        </w:rPr>
        <w:t xml:space="preserve"> (HH), </w:t>
      </w:r>
      <w:r>
        <w:rPr>
          <w:rFonts w:ascii="Times New Roman" w:cs="Times New Roman" w:eastAsia="Times New Roman" w:hAnsi="Times New Roman"/>
          <w:i/>
          <w:iCs/>
          <w:color w:val="000000"/>
          <w:sz w:val="24"/>
          <w:szCs w:val="24"/>
        </w:rPr>
        <w:t xml:space="preserve">higher low</w:t>
      </w:r>
      <w:r>
        <w:rPr>
          <w:rFonts w:ascii="Times New Roman" w:cs="Times New Roman" w:eastAsia="Times New Roman" w:hAnsi="Times New Roman"/>
          <w:color w:val="000000"/>
          <w:sz w:val="24"/>
          <w:szCs w:val="24"/>
        </w:rPr>
        <w:t xml:space="preserve"> (HL), </w:t>
      </w:r>
      <w:r>
        <w:rPr>
          <w:rFonts w:ascii="Times New Roman" w:cs="Times New Roman" w:eastAsia="Times New Roman" w:hAnsi="Times New Roman"/>
          <w:i/>
          <w:iCs/>
          <w:color w:val="000000"/>
          <w:sz w:val="24"/>
          <w:szCs w:val="24"/>
        </w:rPr>
        <w:t xml:space="preserve">lower high</w:t>
      </w:r>
      <w:r>
        <w:rPr>
          <w:rFonts w:ascii="Times New Roman" w:cs="Times New Roman" w:eastAsia="Times New Roman" w:hAnsi="Times New Roman"/>
          <w:color w:val="000000"/>
          <w:sz w:val="24"/>
          <w:szCs w:val="24"/>
        </w:rPr>
        <w:t xml:space="preserve"> (LH) y </w:t>
      </w:r>
      <w:r>
        <w:rPr>
          <w:rFonts w:ascii="Times New Roman" w:cs="Times New Roman" w:eastAsia="Times New Roman" w:hAnsi="Times New Roman"/>
          <w:i/>
          <w:iCs/>
          <w:color w:val="000000"/>
          <w:sz w:val="24"/>
          <w:szCs w:val="24"/>
        </w:rPr>
        <w:t xml:space="preserve">lower low</w:t>
      </w:r>
      <w:r>
        <w:rPr>
          <w:rFonts w:ascii="Times New Roman" w:cs="Times New Roman" w:eastAsia="Times New Roman" w:hAnsi="Times New Roman"/>
          <w:color w:val="000000"/>
          <w:sz w:val="24"/>
          <w:szCs w:val="24"/>
        </w:rPr>
        <w:t xml:space="preserve"> (LL). Una secuencia de HH y HL describe una tendencia alcista; una de LH y LL, una bajista. El cambio de tendencia se señala cuando la secuencia se rompe: en una tendencia alcista, el primer máximo que no supera al anterior (LH), seguido de un mínimo que perfora al anterior (LL), marca el giro (Murphy, 1999).</w:t>
      </w:r>
    </w:p>
    <w:p>
      <w:pPr>
        <w:spacing w:after="0" w:line="480" w:lineRule="auto"/>
        <w:ind w:firstLine="720"/>
      </w:pPr>
      <w:r>
        <w:rPr>
          <w:rFonts w:ascii="Times New Roman" w:cs="Times New Roman" w:eastAsia="Times New Roman" w:hAnsi="Times New Roman"/>
          <w:color w:val="000000"/>
          <w:sz w:val="24"/>
          <w:szCs w:val="24"/>
        </w:rPr>
        <w:t xml:space="preserve">Su virtud es que incorpora el contexto de la tendencia: no pregunta solo si un punto es un extremo local, sino si ese extremo rompe una estructura. Su limitación es decisiva para un trabajo cuantitativo: </w:t>
      </w:r>
      <w:r>
        <w:rPr>
          <w:rFonts w:ascii="Times New Roman" w:cs="Times New Roman" w:eastAsia="Times New Roman" w:hAnsi="Times New Roman"/>
          <w:b/>
          <w:bCs/>
          <w:color w:val="000000"/>
          <w:sz w:val="24"/>
          <w:szCs w:val="24"/>
        </w:rPr>
        <w:t xml:space="preserve">depende del criterio del observador</w:t>
      </w:r>
      <w:r>
        <w:rPr>
          <w:rFonts w:ascii="Times New Roman" w:cs="Times New Roman" w:eastAsia="Times New Roman" w:hAnsi="Times New Roman"/>
          <w:color w:val="000000"/>
          <w:sz w:val="24"/>
          <w:szCs w:val="24"/>
        </w:rPr>
        <w:t xml:space="preserve">. Qué oscilación cuenta como un máximo relevante y cuál es ruido no está definido por el método, y dos analistas pueden etiquetar la misma serie de forma distinta. Sin una regla explícita no hay verdad de referencia reproducible, y sin verdad de referencia no hay aprendizaje supervisado posible.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8.2 Criterio automático de ventana</w:t>
      </w:r>
    </w:p>
    <w:p>
      <w:pPr>
        <w:spacing w:after="0" w:line="480" w:lineRule="auto"/>
        <w:ind w:firstLine="720"/>
      </w:pPr>
      <w:r>
        <w:rPr>
          <w:rFonts w:ascii="Times New Roman" w:cs="Times New Roman" w:eastAsia="Times New Roman" w:hAnsi="Times New Roman"/>
          <w:color w:val="000000"/>
          <w:sz w:val="24"/>
          <w:szCs w:val="24"/>
        </w:rPr>
        <w:t xml:space="preserve">Es el que adopta el proyecto y el que quedó definido en la sección 7. Sus ventajas son las que le faltan al anterior: es </w:t>
      </w:r>
      <w:r>
        <w:rPr>
          <w:rFonts w:ascii="Times New Roman" w:cs="Times New Roman" w:eastAsia="Times New Roman" w:hAnsi="Times New Roman"/>
          <w:b/>
          <w:bCs/>
          <w:color w:val="000000"/>
          <w:sz w:val="24"/>
          <w:szCs w:val="24"/>
        </w:rPr>
        <w:t xml:space="preserve">reproducible</w:t>
      </w:r>
      <w:r>
        <w:rPr>
          <w:rFonts w:ascii="Times New Roman" w:cs="Times New Roman" w:eastAsia="Times New Roman" w:hAnsi="Times New Roman"/>
          <w:color w:val="000000"/>
          <w:sz w:val="24"/>
          <w:szCs w:val="24"/>
        </w:rPr>
        <w:t xml:space="preserve"> —la misma serie produce siempre las mismas etiquetas—, es </w:t>
      </w:r>
      <w:r>
        <w:rPr>
          <w:rFonts w:ascii="Times New Roman" w:cs="Times New Roman" w:eastAsia="Times New Roman" w:hAnsi="Times New Roman"/>
          <w:b/>
          <w:bCs/>
          <w:color w:val="000000"/>
          <w:sz w:val="24"/>
          <w:szCs w:val="24"/>
        </w:rPr>
        <w:t xml:space="preserve">auditable</w:t>
      </w:r>
      <w:r>
        <w:rPr>
          <w:rFonts w:ascii="Times New Roman" w:cs="Times New Roman" w:eastAsia="Times New Roman" w:hAnsi="Times New Roman"/>
          <w:color w:val="000000"/>
          <w:sz w:val="24"/>
          <w:szCs w:val="24"/>
        </w:rPr>
        <w:t xml:space="preserve"> —cabe en una función con pruebas— y es </w:t>
      </w:r>
      <w:r>
        <w:rPr>
          <w:rFonts w:ascii="Times New Roman" w:cs="Times New Roman" w:eastAsia="Times New Roman" w:hAnsi="Times New Roman"/>
          <w:b/>
          <w:bCs/>
          <w:color w:val="000000"/>
          <w:sz w:val="24"/>
          <w:szCs w:val="24"/>
        </w:rPr>
        <w:t xml:space="preserve">explícito</w:t>
      </w:r>
      <w:r>
        <w:rPr>
          <w:rFonts w:ascii="Times New Roman" w:cs="Times New Roman" w:eastAsia="Times New Roman" w:hAnsi="Times New Roman"/>
          <w:color w:val="000000"/>
          <w:sz w:val="24"/>
          <w:szCs w:val="24"/>
        </w:rPr>
        <w:t xml:space="preserve"> en su escala, porque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está a la vista.</w:t>
      </w:r>
    </w:p>
    <w:p>
      <w:pPr>
        <w:spacing w:after="0" w:line="480" w:lineRule="auto"/>
        <w:ind w:firstLine="720"/>
      </w:pPr>
      <w:r>
        <w:rPr>
          <w:rFonts w:ascii="Times New Roman" w:cs="Times New Roman" w:eastAsia="Times New Roman" w:hAnsi="Times New Roman"/>
          <w:color w:val="000000"/>
          <w:sz w:val="24"/>
          <w:szCs w:val="24"/>
        </w:rPr>
        <w:t xml:space="preserve">Su costo es que exige elegir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y que ignora el contexto de tendencia: trata por igual un máximo en medio de una tendencia alcista y uno que marca su final. Es un intercambio consciente, y la elección de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con criterio medido (Tabla 1) es lo que impide que se convierta en arbitrariedad.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8.3 Validación del detector sobre una serie donde conocemos la respuesta</w:t>
      </w:r>
    </w:p>
    <w:p>
      <w:pPr>
        <w:spacing w:after="0" w:line="480" w:lineRule="auto"/>
        <w:ind w:firstLine="720"/>
      </w:pPr>
      <w:r>
        <w:rPr>
          <w:rFonts w:ascii="Times New Roman" w:cs="Times New Roman" w:eastAsia="Times New Roman" w:hAnsi="Times New Roman"/>
          <w:color w:val="000000"/>
          <w:sz w:val="24"/>
          <w:szCs w:val="24"/>
        </w:rPr>
        <w:t xml:space="preserve">El argumento que sostiene todo lo demás es el siguiente: </w:t>
      </w:r>
      <w:r>
        <w:rPr>
          <w:rFonts w:ascii="Times New Roman" w:cs="Times New Roman" w:eastAsia="Times New Roman" w:hAnsi="Times New Roman"/>
          <w:b/>
          <w:bCs/>
          <w:color w:val="000000"/>
          <w:sz w:val="24"/>
          <w:szCs w:val="24"/>
        </w:rPr>
        <w:t xml:space="preserve">antes de creerle al detector sobre datos donde nadie sabe la verdad, hay que verificar que encuentra lo que tiene que encontrar sobre una serie donde la verdad la pusimos nosotros.</w:t>
      </w:r>
    </w:p>
    <w:p>
      <w:pPr>
        <w:spacing w:after="0" w:line="480" w:lineRule="auto"/>
        <w:ind w:firstLine="720"/>
      </w:pPr>
      <w:r>
        <w:rPr>
          <w:rFonts w:ascii="Times New Roman" w:cs="Times New Roman" w:eastAsia="Times New Roman" w:hAnsi="Times New Roman"/>
          <w:color w:val="000000"/>
          <w:sz w:val="24"/>
          <w:szCs w:val="24"/>
        </w:rPr>
        <w:t xml:space="preserve">Sobre la serie construida de la Figura 9 —lineal a tramos, con vértices colocados por construcción— el detector encontró </w:t>
      </w:r>
      <w:r>
        <w:rPr>
          <w:rFonts w:ascii="Times New Roman" w:cs="Times New Roman" w:eastAsia="Times New Roman" w:hAnsi="Times New Roman"/>
          <w:b/>
          <w:bCs/>
          <w:color w:val="000000"/>
          <w:sz w:val="24"/>
          <w:szCs w:val="24"/>
        </w:rPr>
        <w:t xml:space="preserve">18 de 18</w:t>
      </w:r>
      <w:r>
        <w:rPr>
          <w:rFonts w:ascii="Times New Roman" w:cs="Times New Roman" w:eastAsia="Times New Roman" w:hAnsi="Times New Roman"/>
          <w:color w:val="000000"/>
          <w:sz w:val="24"/>
          <w:szCs w:val="24"/>
        </w:rPr>
        <w:t xml:space="preserve"> vértices, exactamente y sin ningún falso positivo. Esta comprobación no dice nada sobre el mercado: dice que la implementación del etiquetador es correcta, y eso es una condición previa a cualquier otra afirmación del proyecto.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8.4 A qué nivel de ruido se rompe el etiquetado</w:t>
      </w:r>
    </w:p>
    <w:p>
      <w:pPr>
        <w:spacing w:after="0" w:line="480" w:lineRule="auto"/>
        <w:ind w:firstLine="720"/>
      </w:pPr>
      <w:r>
        <w:rPr>
          <w:rFonts w:ascii="Times New Roman" w:cs="Times New Roman" w:eastAsia="Times New Roman" w:hAnsi="Times New Roman"/>
          <w:color w:val="000000"/>
          <w:sz w:val="24"/>
          <w:szCs w:val="24"/>
        </w:rPr>
        <w:t xml:space="preserve">La comprobación anterior deja abierta la pregunta incómoda: </w:t>
      </w:r>
      <w:r>
        <w:rPr>
          <w:rFonts w:ascii="Times New Roman" w:cs="Times New Roman" w:eastAsia="Times New Roman" w:hAnsi="Times New Roman"/>
          <w:i/>
          <w:iCs/>
          <w:color w:val="000000"/>
          <w:sz w:val="24"/>
          <w:szCs w:val="24"/>
        </w:rPr>
        <w:t xml:space="preserve">¿cómo saben que sus etiquetas no son ruido?</w:t>
      </w:r>
      <w:r>
        <w:rPr>
          <w:rFonts w:ascii="Times New Roman" w:cs="Times New Roman" w:eastAsia="Times New Roman" w:hAnsi="Times New Roman"/>
          <w:color w:val="000000"/>
          <w:sz w:val="24"/>
          <w:szCs w:val="24"/>
        </w:rPr>
        <w:t xml:space="preserve"> Una serie lineal a tramos sin ruido es un caso fácil. La pregunta relevante es cuánto ruido tolera el detector antes de empezar a inventar giros que no existen. Es una medición que se puede hacer, y la hicimos (issue S1-M2-01).</w:t>
      </w:r>
    </w:p>
    <w:p>
      <w:pPr>
        <w:spacing w:after="0" w:line="480" w:lineRule="auto"/>
        <w:ind w:firstLine="720"/>
      </w:pPr>
      <w:r>
        <w:rPr>
          <w:rFonts w:ascii="Times New Roman" w:cs="Times New Roman" w:eastAsia="Times New Roman" w:hAnsi="Times New Roman"/>
          <w:b/>
          <w:bCs/>
          <w:color w:val="000000"/>
          <w:sz w:val="24"/>
          <w:szCs w:val="24"/>
        </w:rPr>
        <w:t xml:space="preserve">Diseño del experimento.</w:t>
      </w:r>
      <w:r>
        <w:rPr>
          <w:rFonts w:ascii="Times New Roman" w:cs="Times New Roman" w:eastAsia="Times New Roman" w:hAnsi="Times New Roman"/>
          <w:color w:val="000000"/>
          <w:sz w:val="24"/>
          <w:szCs w:val="24"/>
        </w:rPr>
        <w:t xml:space="preserve"> Se generan series de 800 velas con </w:t>
      </w:r>
      <w:r>
        <w:rPr>
          <w:rFonts w:ascii="Courier New" w:cs="Courier New" w:eastAsia="Courier New" w:hAnsi="Courier New"/>
          <w:color w:val="000000"/>
          <w:sz w:val="22"/>
          <w:szCs w:val="22"/>
        </w:rPr>
        <w:t xml:space="preserve">serie_zigzag(w = 7)</w:t>
      </w:r>
      <w:r>
        <w:rPr>
          <w:rFonts w:ascii="Times New Roman" w:cs="Times New Roman" w:eastAsia="Times New Roman" w:hAnsi="Times New Roman"/>
          <w:color w:val="000000"/>
          <w:sz w:val="24"/>
          <w:szCs w:val="24"/>
        </w:rPr>
        <w:t xml:space="preserve">, con los vértices colocados por construcción, y se les suma ruido gaussiano de desviación estándar creciente. La verdad de referencia se toma de los vértices de la serie </w:t>
      </w:r>
      <w:r>
        <w:rPr>
          <w:rFonts w:ascii="Times New Roman" w:cs="Times New Roman" w:eastAsia="Times New Roman" w:hAnsi="Times New Roman"/>
          <w:b/>
          <w:bCs/>
          <w:color w:val="000000"/>
          <w:sz w:val="24"/>
          <w:szCs w:val="24"/>
        </w:rPr>
        <w:t xml:space="preserve">limpia</w:t>
      </w:r>
      <w:r>
        <w:rPr>
          <w:rFonts w:ascii="Times New Roman" w:cs="Times New Roman" w:eastAsia="Times New Roman" w:hAnsi="Times New Roman"/>
          <w:color w:val="000000"/>
          <w:sz w:val="24"/>
          <w:szCs w:val="24"/>
        </w:rPr>
        <w:t xml:space="preserve">, no de la salida del etiquetador —de lo contrario la prueba compararía la función consigo misma y pasaría siempre—, y la detección se evalúa sobre la serie </w:t>
      </w:r>
      <w:r>
        <w:rPr>
          <w:rFonts w:ascii="Times New Roman" w:cs="Times New Roman" w:eastAsia="Times New Roman" w:hAnsi="Times New Roman"/>
          <w:b/>
          <w:bCs/>
          <w:color w:val="000000"/>
          <w:sz w:val="24"/>
          <w:szCs w:val="24"/>
        </w:rPr>
        <w:t xml:space="preserve">ruidosa</w:t>
      </w:r>
      <w:r>
        <w:rPr>
          <w:rFonts w:ascii="Times New Roman" w:cs="Times New Roman" w:eastAsia="Times New Roman" w:hAnsi="Times New Roman"/>
          <w:color w:val="000000"/>
          <w:sz w:val="24"/>
          <w:szCs w:val="24"/>
        </w:rPr>
        <w:t xml:space="preserve">. Ambas comparten vértices y alturas por construcción, lo que hace válida la comparación. Cada nivel de ruido se promedia sobre </w:t>
      </w:r>
      <w:r>
        <w:rPr>
          <w:rFonts w:ascii="Times New Roman" w:cs="Times New Roman" w:eastAsia="Times New Roman" w:hAnsi="Times New Roman"/>
          <w:b/>
          <w:bCs/>
          <w:color w:val="000000"/>
          <w:sz w:val="24"/>
          <w:szCs w:val="24"/>
        </w:rPr>
        <w:t xml:space="preserve">diez semillas</w:t>
      </w:r>
      <w:r>
        <w:rPr>
          <w:rFonts w:ascii="Times New Roman" w:cs="Times New Roman" w:eastAsia="Times New Roman" w:hAnsi="Times New Roman"/>
          <w:color w:val="000000"/>
          <w:sz w:val="24"/>
          <w:szCs w:val="24"/>
        </w:rPr>
        <w:t xml:space="preserve">, porque una sola serie no distingue el efecto del ruido del azar de esa serie concreta. En total, 498 giros verdaderos por nivel.</w:t>
      </w:r>
    </w:p>
    <w:p>
      <w:pPr>
        <w:spacing w:after="0" w:line="480" w:lineRule="auto"/>
        <w:ind w:firstLine="720"/>
      </w:pPr>
      <w:r>
        <w:rPr>
          <w:rFonts w:ascii="Times New Roman" w:cs="Times New Roman" w:eastAsia="Times New Roman" w:hAnsi="Times New Roman"/>
          <w:b/>
          <w:bCs/>
          <w:color w:val="000000"/>
          <w:sz w:val="24"/>
          <w:szCs w:val="24"/>
        </w:rPr>
        <w:t xml:space="preserve">Cómo se expresa el ruido.</w:t>
      </w:r>
      <w:r>
        <w:rPr>
          <w:rFonts w:ascii="Times New Roman" w:cs="Times New Roman" w:eastAsia="Times New Roman" w:hAnsi="Times New Roman"/>
          <w:color w:val="000000"/>
          <w:sz w:val="24"/>
          <w:szCs w:val="24"/>
        </w:rPr>
        <w:t xml:space="preserve"> No en unidades absolutas, sino </w:t>
      </w:r>
      <w:r>
        <w:rPr>
          <w:rFonts w:ascii="Times New Roman" w:cs="Times New Roman" w:eastAsia="Times New Roman" w:hAnsi="Times New Roman"/>
          <w:b/>
          <w:bCs/>
          <w:color w:val="000000"/>
          <w:sz w:val="24"/>
          <w:szCs w:val="24"/>
        </w:rPr>
        <w:t xml:space="preserve">relativo al cambio típico de precio entre dos velas consecutivas</w:t>
      </w:r>
      <w:r>
        <w:rPr>
          <w:rFonts w:ascii="Times New Roman" w:cs="Times New Roman" w:eastAsia="Times New Roman" w:hAnsi="Times New Roman"/>
          <w:color w:val="000000"/>
          <w:sz w:val="24"/>
          <w:szCs w:val="24"/>
        </w:rPr>
        <w:t xml:space="preserve"> de la serie limpia. Un σ de 0,5 es enorme en una serie que se mueve 0,2 por vela e irrelevante en una que se mueve 20; el cociente es lo que hace la medición comparable con cualquier otra serie.</w:t>
      </w:r>
    </w:p>
    <w:p>
      <w:pPr>
        <w:spacing w:after="0" w:line="480" w:lineRule="auto"/>
        <w:ind w:firstLine="720"/>
      </w:pPr>
      <w:r>
        <w:rPr>
          <w:rFonts w:ascii="Times New Roman" w:cs="Times New Roman" w:eastAsia="Times New Roman" w:hAnsi="Times New Roman"/>
          <w:b/>
          <w:bCs/>
          <w:color w:val="000000"/>
          <w:sz w:val="24"/>
          <w:szCs w:val="24"/>
        </w:rPr>
        <w:t xml:space="preserve">Se miden dos cosas distintas a propósito.</w:t>
      </w:r>
      <w:r>
        <w:rPr>
          <w:rFonts w:ascii="Times New Roman" w:cs="Times New Roman" w:eastAsia="Times New Roman" w:hAnsi="Times New Roman"/>
          <w:color w:val="000000"/>
          <w:sz w:val="24"/>
          <w:szCs w:val="24"/>
        </w:rPr>
        <w:t xml:space="preserve"> Perder un giro no es lo mismo que detectarlo corrido una vela. Por eso se reportan la detección </w:t>
      </w:r>
      <w:r>
        <w:rPr>
          <w:rFonts w:ascii="Times New Roman" w:cs="Times New Roman" w:eastAsia="Times New Roman" w:hAnsi="Times New Roman"/>
          <w:b/>
          <w:bCs/>
          <w:color w:val="000000"/>
          <w:sz w:val="24"/>
          <w:szCs w:val="24"/>
        </w:rPr>
        <w:t xml:space="preserve">exacta</w:t>
      </w:r>
      <w:r>
        <w:rPr>
          <w:rFonts w:ascii="Times New Roman" w:cs="Times New Roman" w:eastAsia="Times New Roman" w:hAnsi="Times New Roman"/>
          <w:color w:val="000000"/>
          <w:sz w:val="24"/>
          <w:szCs w:val="24"/>
        </w:rPr>
        <w:t xml:space="preserve"> —el giro cae en la vela precisa— y la detección </w:t>
      </w:r>
      <w:r>
        <w:rPr>
          <w:rFonts w:ascii="Times New Roman" w:cs="Times New Roman" w:eastAsia="Times New Roman" w:hAnsi="Times New Roman"/>
          <w:b/>
          <w:bCs/>
          <w:color w:val="000000"/>
          <w:sz w:val="24"/>
          <w:szCs w:val="24"/>
        </w:rPr>
        <w:t xml:space="preserve">con tolerancia de una vela</w:t>
      </w:r>
      <w:r>
        <w:rPr>
          <w:rFonts w:ascii="Times New Roman" w:cs="Times New Roman" w:eastAsia="Times New Roman" w:hAnsi="Times New Roman"/>
          <w:color w:val="000000"/>
          <w:sz w:val="24"/>
          <w:szCs w:val="24"/>
        </w:rPr>
        <w:t xml:space="preserve">. Una sola métrica no puede separar los dos fallos, y la diferencia entre ambas resultó ser el hallazgo principal.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Sensibilidad del etiquetador al ruido. Serie construida de 800 velas, </w:t>
      </w:r>
      <w:r>
        <w:rPr>
          <w:rFonts w:ascii="Courier New" w:cs="Courier New" w:eastAsia="Courier New" w:hAnsi="Courier New"/>
          <w:i/>
          <w:iCs/>
          <w:color w:val="000000"/>
          <w:sz w:val="22"/>
          <w:szCs w:val="22"/>
        </w:rPr>
        <w:t xml:space="preserve">w = 7</w:t>
      </w:r>
      <w:r>
        <w:rPr>
          <w:rFonts w:ascii="Times New Roman" w:cs="Times New Roman" w:eastAsia="Times New Roman" w:hAnsi="Times New Roman"/>
          <w:i/>
          <w:iCs/>
          <w:color w:val="000000"/>
          <w:sz w:val="24"/>
          <w:szCs w:val="24"/>
        </w:rPr>
        <w:t xml:space="preserve">, promedio de 10 semillas por nivel (498 giros verdaderos en cada uno). La fila σ = 0,70 proviene del barrido fino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σ</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Ruido relativo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recuperados (tolerancia 1 vela)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recuperados (vela exacta)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falsos por giro verdadero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0,25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0,998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0,50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0,944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0,70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0,50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0,857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0,960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0,729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0,852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0,501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0,150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0,669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0,325</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0,467</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m2-ruido-etiquetado.json</w:t>
      </w:r>
      <w:r>
        <w:rPr>
          <w:rFonts w:ascii="Times New Roman" w:cs="Times New Roman" w:eastAsia="Times New Roman" w:hAnsi="Times New Roman"/>
          <w:color w:val="000000"/>
          <w:sz w:val="24"/>
          <w:szCs w:val="24"/>
        </w:rPr>
        <w:t xml:space="preserve">, regenerable con </w:t>
      </w:r>
      <w:r>
        <w:rPr>
          <w:rFonts w:ascii="Courier New" w:cs="Courier New" w:eastAsia="Courier New" w:hAnsi="Courier New"/>
          <w:color w:val="000000"/>
          <w:sz w:val="22"/>
          <w:szCs w:val="22"/>
        </w:rPr>
        <w:t xml:space="preserve">uv run python -m src.sintetico.sensibilidad</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Figura 11</w:t>
      </w:r>
    </w:p>
    <w:p>
      <w:pPr>
        <w:keepNext/>
        <w:spacing w:after="120" w:line="480" w:lineRule="auto"/>
      </w:pPr>
      <w:r>
        <w:rPr>
          <w:rFonts w:ascii="Times New Roman" w:cs="Times New Roman" w:eastAsia="Times New Roman" w:hAnsi="Times New Roman"/>
          <w:i/>
          <w:iCs/>
          <w:color w:val="000000"/>
          <w:sz w:val="24"/>
          <w:szCs w:val="24"/>
        </w:rPr>
        <w:t xml:space="preserve">Izquierda: fracción de giros verdaderos recuperados, con y sin tolerancia de una vela. Derecha: giros falsos por giro verdadero. </w:t>
      </w:r>
      <w:r>
        <w:rPr>
          <w:rFonts w:ascii="Times New Roman" w:cs="Times New Roman" w:eastAsia="Times New Roman" w:hAnsi="Times New Roman"/>
          <w:b/>
          <w:bCs/>
          <w:i/>
          <w:iCs/>
          <w:color w:val="000000"/>
          <w:sz w:val="24"/>
          <w:szCs w:val="24"/>
        </w:rPr>
        <w:t xml:space="preserve">Serie construida por nosotros; no es Litecoin.</w:t>
      </w:r>
    </w:p>
    <w:p>
      <w:pPr>
        <w:spacing w:after="12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812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keepNext/>
        <w:spacing w:after="0" w:before="240" w:line="480" w:lineRule="auto"/>
      </w:pPr>
      <w:r>
        <w:rPr>
          <w:rFonts w:ascii="Times New Roman" w:cs="Times New Roman" w:eastAsia="Times New Roman" w:hAnsi="Times New Roman"/>
          <w:b/>
          <w:bCs/>
          <w:color w:val="000000"/>
          <w:sz w:val="24"/>
          <w:szCs w:val="24"/>
        </w:rPr>
        <w:t xml:space="preserve">Figura 12</w:t>
      </w:r>
    </w:p>
    <w:p>
      <w:pPr>
        <w:keepNext/>
        <w:spacing w:after="120" w:line="480" w:lineRule="auto"/>
      </w:pPr>
      <w:r>
        <w:rPr>
          <w:rFonts w:ascii="Times New Roman" w:cs="Times New Roman" w:eastAsia="Times New Roman" w:hAnsi="Times New Roman"/>
          <w:i/>
          <w:iCs/>
          <w:color w:val="000000"/>
          <w:sz w:val="24"/>
          <w:szCs w:val="24"/>
        </w:rPr>
        <w:t xml:space="preserve">Un mismo tramo de 220 velas a tres niveles de ruido: el caso limpio, el punto de quiebre medido y el ruido máximo probado. Punto relleno: giro verdadero, colocado por construcción. Círculo hueco: giro detectado. Los conteos del título corresponden a este tramo y esta semilla; los valores citables son los promedios de la Tabla 2</w:t>
      </w:r>
    </w:p>
    <w:p>
      <w:pPr>
        <w:spacing w:after="120"/>
        <w:jc w:val="center"/>
      </w:pPr>
      <w:r>
        <w:drawing>
          <wp:inline distT="0" distB="0" distL="0" distR="0">
            <wp:extent cx="57150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053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Tres resultados, en orden de importancia:</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El umbral de aparición de giros falsos está en un ruido relativo de 0,50.</w:t>
      </w:r>
      <w:r>
        <w:rPr>
          <w:rFonts w:ascii="Times New Roman" w:cs="Times New Roman" w:eastAsia="Times New Roman" w:hAnsi="Times New Roman"/>
          <w:color w:val="000000"/>
          <w:sz w:val="24"/>
          <w:szCs w:val="24"/>
        </w:rPr>
        <w:t xml:space="preserve"> Hasta un σ equivalente al 36 % del movimiento típico por vela, el detector recupera los 498 giros verdaderos sin inventar ni uno solo. El primer falso positivo aparece cuando σ alcanza aproximadamente </w:t>
      </w:r>
      <w:r>
        <w:rPr>
          <w:rFonts w:ascii="Times New Roman" w:cs="Times New Roman" w:eastAsia="Times New Roman" w:hAnsi="Times New Roman"/>
          <w:b/>
          <w:bCs/>
          <w:color w:val="000000"/>
          <w:sz w:val="24"/>
          <w:szCs w:val="24"/>
        </w:rPr>
        <w:t xml:space="preserve">la mitad del movimiento por vela</w:t>
      </w:r>
      <w:r>
        <w:rPr>
          <w:rFonts w:ascii="Times New Roman" w:cs="Times New Roman" w:eastAsia="Times New Roman" w:hAnsi="Times New Roman"/>
          <w:color w:val="000000"/>
          <w:sz w:val="24"/>
          <w:szCs w:val="24"/>
        </w:rPr>
        <w:t xml:space="preserve">. Ese es el número que responde la pregunta del título. 2. </w:t>
      </w:r>
      <w:r>
        <w:rPr>
          <w:rFonts w:ascii="Times New Roman" w:cs="Times New Roman" w:eastAsia="Times New Roman" w:hAnsi="Times New Roman"/>
          <w:b/>
          <w:bCs/>
          <w:color w:val="000000"/>
          <w:sz w:val="24"/>
          <w:szCs w:val="24"/>
        </w:rPr>
        <w:t xml:space="preserve">La detección exacta se degrada mucho antes que la detección del giro.</w:t>
      </w:r>
      <w:r>
        <w:rPr>
          <w:rFonts w:ascii="Times New Roman" w:cs="Times New Roman" w:eastAsia="Times New Roman" w:hAnsi="Times New Roman"/>
          <w:color w:val="000000"/>
          <w:sz w:val="24"/>
          <w:szCs w:val="24"/>
        </w:rPr>
        <w:t xml:space="preserve"> Con un ruido relativo de 0,36 el detector sigue encontrando el 100 % de los giros, pero solo el 94,4 % cae en la vela exacta. Con ruido relativo 0,72 encuentra el 96,0 % de los giros y acierta la vela en apenas el 72,9 % de los casos. </w:t>
      </w:r>
      <w:r>
        <w:rPr>
          <w:rFonts w:ascii="Times New Roman" w:cs="Times New Roman" w:eastAsia="Times New Roman" w:hAnsi="Times New Roman"/>
          <w:b/>
          <w:bCs/>
          <w:color w:val="000000"/>
          <w:sz w:val="24"/>
          <w:szCs w:val="24"/>
        </w:rPr>
        <w:t xml:space="preserve">El fallo dominante en régimen de ruido moderado no es perder giros: es correrlos de lugar.</w:t>
      </w:r>
      <w:r>
        <w:rPr>
          <w:rFonts w:ascii="Times New Roman" w:cs="Times New Roman" w:eastAsia="Times New Roman" w:hAnsi="Times New Roman"/>
          <w:color w:val="000000"/>
          <w:sz w:val="24"/>
          <w:szCs w:val="24"/>
        </w:rPr>
        <w:t xml:space="preserve"> Tiene una implicación directa para el proyecto: evaluar el modelo exigiendo la vela exacta puede penalizar como error lo que es un desplazamiento de una vela, y conviene tenerlo presente al leer la matriz de confusión. 3. </w:t>
      </w:r>
      <w:r>
        <w:rPr>
          <w:rFonts w:ascii="Times New Roman" w:cs="Times New Roman" w:eastAsia="Times New Roman" w:hAnsi="Times New Roman"/>
          <w:b/>
          <w:bCs/>
          <w:color w:val="000000"/>
          <w:sz w:val="24"/>
          <w:szCs w:val="24"/>
        </w:rPr>
        <w:t xml:space="preserve">La degradación es gradual, no catastrófica.</w:t>
      </w:r>
      <w:r>
        <w:rPr>
          <w:rFonts w:ascii="Times New Roman" w:cs="Times New Roman" w:eastAsia="Times New Roman" w:hAnsi="Times New Roman"/>
          <w:color w:val="000000"/>
          <w:sz w:val="24"/>
          <w:szCs w:val="24"/>
        </w:rPr>
        <w:t xml:space="preserve"> Incluso con σ casi tres veces el movimiento típico por vela, el detector todavía recupera el 66,9 % de los giros. No hay un punto donde el etiquetado deje de funcionar de golpe; hay una pendiente. Como contraste, la confusión de tipo —marcar un máximo donde había un mínimo, el peor error posible— aparece </w:t>
      </w:r>
      <w:r>
        <w:rPr>
          <w:rFonts w:ascii="Times New Roman" w:cs="Times New Roman" w:eastAsia="Times New Roman" w:hAnsi="Times New Roman"/>
          <w:b/>
          <w:bCs/>
          <w:color w:val="000000"/>
          <w:sz w:val="24"/>
          <w:szCs w:val="24"/>
        </w:rPr>
        <w:t xml:space="preserve">una sola vez en los 3 486 giros evaluados</w:t>
      </w:r>
      <w:r>
        <w:rPr>
          <w:rFonts w:ascii="Times New Roman" w:cs="Times New Roman" w:eastAsia="Times New Roman" w:hAnsi="Times New Roman"/>
          <w:color w:val="000000"/>
          <w:sz w:val="24"/>
          <w:szCs w:val="24"/>
        </w:rPr>
        <w:t xml:space="preserve">, y solo en el nivel de ruido más alto.</w:t>
      </w:r>
    </w:p>
    <w:p>
      <w:pPr>
        <w:spacing w:after="0" w:line="480" w:lineRule="auto"/>
        <w:ind w:firstLine="720"/>
      </w:pPr>
      <w:r>
        <w:rPr>
          <w:rFonts w:ascii="Times New Roman" w:cs="Times New Roman" w:eastAsia="Times New Roman" w:hAnsi="Times New Roman"/>
          <w:b/>
          <w:bCs/>
          <w:color w:val="000000"/>
          <w:sz w:val="24"/>
          <w:szCs w:val="24"/>
        </w:rPr>
        <w:t xml:space="preserve">Cómo hay que leer esto.</w:t>
      </w:r>
      <w:r>
        <w:rPr>
          <w:rFonts w:ascii="Times New Roman" w:cs="Times New Roman" w:eastAsia="Times New Roman" w:hAnsi="Times New Roman"/>
          <w:color w:val="000000"/>
          <w:sz w:val="24"/>
          <w:szCs w:val="24"/>
        </w:rPr>
        <w:t xml:space="preserve"> La serie es lineal a tramos con ruido gaussiano: </w:t>
      </w:r>
      <w:r>
        <w:rPr>
          <w:rFonts w:ascii="Times New Roman" w:cs="Times New Roman" w:eastAsia="Times New Roman" w:hAnsi="Times New Roman"/>
          <w:b/>
          <w:bCs/>
          <w:color w:val="000000"/>
          <w:sz w:val="24"/>
          <w:szCs w:val="24"/>
        </w:rPr>
        <w:t xml:space="preserve">no es Litecoin</w:t>
      </w:r>
      <w:r>
        <w:rPr>
          <w:rFonts w:ascii="Times New Roman" w:cs="Times New Roman" w:eastAsia="Times New Roman" w:hAnsi="Times New Roman"/>
          <w:color w:val="000000"/>
          <w:sz w:val="24"/>
          <w:szCs w:val="24"/>
        </w:rPr>
        <w:t xml:space="preserve">. No tiene heterocedasticidad, ni colas pesadas, ni saltos, y su relación señal-ruido la fijamos nosotros. Estos números </w:t>
      </w:r>
      <w:r>
        <w:rPr>
          <w:rFonts w:ascii="Times New Roman" w:cs="Times New Roman" w:eastAsia="Times New Roman" w:hAnsi="Times New Roman"/>
          <w:b/>
          <w:bCs/>
          <w:color w:val="000000"/>
          <w:sz w:val="24"/>
          <w:szCs w:val="24"/>
        </w:rPr>
        <w:t xml:space="preserve">caracterizan al etiquetador</w:t>
      </w:r>
      <w:r>
        <w:rPr>
          <w:rFonts w:ascii="Times New Roman" w:cs="Times New Roman" w:eastAsia="Times New Roman" w:hAnsi="Times New Roman"/>
          <w:color w:val="000000"/>
          <w:sz w:val="24"/>
          <w:szCs w:val="24"/>
        </w:rPr>
        <w:t xml:space="preserve">, no al mercado, y no permiten afirmar que un porcentaje determinado de las etiquetas de LTC sea correcto. Lo que sí permiten afirmar —y es lo que aporta a la defensa del trabajo— es que el etiquetador tiene un régimen medido de funcionamiento correcto, que ese régimen está expresado en una magnitud comparable entre series, y que su modo de fallo dominante está identificado: desplaza antes de perder, y prácticamente nunca invierte el tipo.</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Métricas de Evaluación para Puntos de Inflexión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S1-M2-06</w:t>
      </w:r>
    </w:p>
    <w:p>
      <w:pPr>
        <w:spacing w:after="0" w:line="480" w:lineRule="auto"/>
        <w:ind w:firstLine="720"/>
      </w:pPr>
      <w:r>
        <w:rPr>
          <w:rFonts w:ascii="Times New Roman" w:cs="Times New Roman" w:eastAsia="Times New Roman" w:hAnsi="Times New Roman"/>
          <w:color w:val="000000"/>
          <w:sz w:val="24"/>
          <w:szCs w:val="24"/>
        </w:rPr>
        <w:t xml:space="preserve">Es el noveno punto del bloque de criptoactivos del enunciado. Va en archivo aparte porque tiene evidencia propia y da para una sección completa.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1. El problema que hay que explicar antes que nada</w:t>
      </w:r>
    </w:p>
    <w:p>
      <w:pPr>
        <w:keepNext/>
        <w:spacing w:after="0" w:before="240" w:line="480" w:lineRule="auto"/>
      </w:pPr>
      <w:r>
        <w:rPr>
          <w:rFonts w:ascii="Times New Roman" w:cs="Times New Roman" w:eastAsia="Times New Roman" w:hAnsi="Times New Roman"/>
          <w:b/>
          <w:bCs/>
          <w:color w:val="000000"/>
          <w:sz w:val="24"/>
          <w:szCs w:val="24"/>
        </w:rPr>
        <w:t xml:space="preserve">Figura 13</w:t>
      </w:r>
    </w:p>
    <w:p>
      <w:pPr>
        <w:keepNext/>
        <w:spacing w:after="120" w:line="480" w:lineRule="auto"/>
      </w:pPr>
      <w:r>
        <w:rPr>
          <w:rFonts w:ascii="Times New Roman" w:cs="Times New Roman" w:eastAsia="Times New Roman" w:hAnsi="Times New Roman"/>
          <w:i/>
          <w:iCs/>
          <w:color w:val="000000"/>
          <w:sz w:val="24"/>
          <w:szCs w:val="24"/>
        </w:rPr>
        <w:t xml:space="preserve">Distribución de las tres clases en LTC con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sobre velas diarias (n = 2 175 velas con etiqueta definida)</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1718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Balance de clases sobre la serie completa,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velas diarias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6,58 %</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141</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6,48 %</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Zona de Continuidad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1 891</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86,94 %</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clases están desbalanceadas </w:t>
      </w:r>
      <w:r>
        <w:rPr>
          <w:rFonts w:ascii="Times New Roman" w:cs="Times New Roman" w:eastAsia="Times New Roman" w:hAnsi="Times New Roman"/>
          <w:b/>
          <w:bCs/>
          <w:color w:val="000000"/>
          <w:sz w:val="24"/>
          <w:szCs w:val="24"/>
        </w:rPr>
        <w:t xml:space="preserve">por construcción, no por accidente de los datos</w:t>
      </w:r>
      <w:r>
        <w:rPr>
          <w:rFonts w:ascii="Times New Roman" w:cs="Times New Roman" w:eastAsia="Times New Roman" w:hAnsi="Times New Roman"/>
          <w:color w:val="000000"/>
          <w:sz w:val="24"/>
          <w:szCs w:val="24"/>
        </w:rPr>
        <w:t xml:space="preserve">. Como se demostró en la sección 7 de </w:t>
      </w:r>
      <w:r>
        <w:rPr>
          <w:rFonts w:ascii="Courier New" w:cs="Courier New" w:eastAsia="Courier New" w:hAnsi="Courier New"/>
          <w:color w:val="000000"/>
          <w:sz w:val="22"/>
          <w:szCs w:val="22"/>
        </w:rPr>
        <w:t xml:space="preserve">m2-criptoactivos.md</w:t>
      </w:r>
      <w:r>
        <w:rPr>
          <w:rFonts w:ascii="Times New Roman" w:cs="Times New Roman" w:eastAsia="Times New Roman" w:hAnsi="Times New Roman"/>
          <w:color w:val="000000"/>
          <w:sz w:val="24"/>
          <w:szCs w:val="24"/>
        </w:rPr>
        <w:t xml:space="preserve">, dos máximos no pueden estar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de distancia —cada uno caería en la ventana del otro y cada uno tendría que ser estrictamente mayor que el otro—, de modo que </w:t>
      </w:r>
      <w:r>
        <w:rPr>
          <w:rFonts w:ascii="Times New Roman" w:cs="Times New Roman" w:eastAsia="Times New Roman" w:hAnsi="Times New Roman"/>
          <w:b/>
          <w:bCs/>
          <w:color w:val="000000"/>
          <w:sz w:val="24"/>
          <w:szCs w:val="24"/>
        </w:rPr>
        <w:t xml:space="preserve">como mucho 1 de cada </w:t>
      </w:r>
      <w:r>
        <w:rPr>
          <w:rFonts w:ascii="Courier New" w:cs="Courier New" w:eastAsia="Courier New" w:hAnsi="Courier New"/>
          <w:b/>
          <w:bCs/>
          <w:color w:val="000000"/>
          <w:sz w:val="22"/>
          <w:szCs w:val="22"/>
        </w:rPr>
        <w:t xml:space="preserve">w+1</w:t>
      </w:r>
      <w:r>
        <w:rPr>
          <w:rFonts w:ascii="Times New Roman" w:cs="Times New Roman" w:eastAsia="Times New Roman" w:hAnsi="Times New Roman"/>
          <w:b/>
          <w:bCs/>
          <w:color w:val="000000"/>
          <w:sz w:val="24"/>
          <w:szCs w:val="24"/>
        </w:rPr>
        <w:t xml:space="preserve"> velas puede ser Máximo</w:t>
      </w:r>
      <w:r>
        <w:rPr>
          <w:rFonts w:ascii="Times New Roman" w:cs="Times New Roman" w:eastAsia="Times New Roman" w:hAnsi="Times New Roman"/>
          <w:color w:val="000000"/>
          <w:sz w:val="24"/>
          <w:szCs w:val="24"/>
        </w:rPr>
        <w:t xml:space="preserve">.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esa cota aritmética es del 16,67 % por clase extrema, y la medición sobre LTC da 6,58 %: bastante por debajo, como corresponde a un límite superior.</w:t>
      </w:r>
    </w:p>
    <w:p>
      <w:pPr>
        <w:spacing w:after="0" w:line="480" w:lineRule="auto"/>
        <w:ind w:firstLine="720"/>
      </w:pPr>
      <w:r>
        <w:rPr>
          <w:rFonts w:ascii="Times New Roman" w:cs="Times New Roman" w:eastAsia="Times New Roman" w:hAnsi="Times New Roman"/>
          <w:color w:val="000000"/>
          <w:sz w:val="24"/>
          <w:szCs w:val="24"/>
        </w:rPr>
        <w:t xml:space="preserve">La distinción importa porque cambia qué se puede hacer al respecto. Un desbalance accidental —una muestra mal recogida— se corrige recogiendo mejor. Este desbalance </w:t>
      </w:r>
      <w:r>
        <w:rPr>
          <w:rFonts w:ascii="Times New Roman" w:cs="Times New Roman" w:eastAsia="Times New Roman" w:hAnsi="Times New Roman"/>
          <w:b/>
          <w:bCs/>
          <w:color w:val="000000"/>
          <w:sz w:val="24"/>
          <w:szCs w:val="24"/>
        </w:rPr>
        <w:t xml:space="preserve">no se puede corregir sin cambiar la definición del problema</w:t>
      </w:r>
      <w:r>
        <w:rPr>
          <w:rFonts w:ascii="Times New Roman" w:cs="Times New Roman" w:eastAsia="Times New Roman" w:hAnsi="Times New Roman"/>
          <w:color w:val="000000"/>
          <w:sz w:val="24"/>
          <w:szCs w:val="24"/>
        </w:rPr>
        <w:t xml:space="preserve">: bajar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produciría más ejemplos extremos, pero serían giros más pequeños, es decir, otro problema. Elegir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es elegir simultáneamente la escala del fenómeno y el grado de desbalance, y las dos cosas se deciden juntas o no se deciden.</w:t>
      </w:r>
    </w:p>
    <w:p>
      <w:pPr>
        <w:spacing w:after="0" w:line="480" w:lineRule="auto"/>
        <w:ind w:firstLine="720"/>
      </w:pPr>
      <w:r>
        <w:rPr>
          <w:rFonts w:ascii="Times New Roman" w:cs="Times New Roman" w:eastAsia="Times New Roman" w:hAnsi="Times New Roman"/>
          <w:color w:val="000000"/>
          <w:sz w:val="24"/>
          <w:szCs w:val="24"/>
        </w:rPr>
        <w:t xml:space="preserve">La consecuencia práctica es que el desbalance no es un obstáculo que haya que quitar antes de medir: es una propiedad permanente del problema, y las métricas tienen que elegirse sabiendo que va a estar ahí en todas las evaluaciones (He &amp; Garcia, 2009).</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2. Por qué la exactitud no sirve: medido, no argumentado</w:t>
      </w:r>
    </w:p>
    <w:p>
      <w:pPr>
        <w:keepNext/>
        <w:spacing w:after="0" w:before="240" w:line="480" w:lineRule="auto"/>
      </w:pPr>
      <w:r>
        <w:rPr>
          <w:rFonts w:ascii="Times New Roman" w:cs="Times New Roman" w:eastAsia="Times New Roman" w:hAnsi="Times New Roman"/>
          <w:b/>
          <w:bCs/>
          <w:color w:val="000000"/>
          <w:sz w:val="24"/>
          <w:szCs w:val="24"/>
        </w:rPr>
        <w:t xml:space="preserve">Figura 14</w:t>
      </w:r>
    </w:p>
    <w:p>
      <w:pPr>
        <w:keepNext/>
        <w:spacing w:after="120" w:line="480" w:lineRule="auto"/>
      </w:pPr>
      <w:r>
        <w:rPr>
          <w:rFonts w:ascii="Times New Roman" w:cs="Times New Roman" w:eastAsia="Times New Roman" w:hAnsi="Times New Roman"/>
          <w:i/>
          <w:iCs/>
          <w:color w:val="000000"/>
          <w:sz w:val="24"/>
          <w:szCs w:val="24"/>
        </w:rPr>
        <w:t xml:space="preserve">Matriz de confusión del </w:t>
      </w:r>
      <w:r>
        <w:rPr>
          <w:rFonts w:ascii="Times New Roman" w:cs="Times New Roman" w:eastAsia="Times New Roman" w:hAnsi="Times New Roman"/>
          <w:i/>
          <w:iCs/>
          <w:color w:val="000000"/>
          <w:sz w:val="24"/>
          <w:szCs w:val="24"/>
        </w:rPr>
        <w:t xml:space="preserve">baseline</w:t>
      </w:r>
      <w:r>
        <w:rPr>
          <w:rFonts w:ascii="Times New Roman" w:cs="Times New Roman" w:eastAsia="Times New Roman" w:hAnsi="Times New Roman"/>
          <w:i/>
          <w:iCs/>
          <w:color w:val="000000"/>
          <w:sz w:val="24"/>
          <w:szCs w:val="24"/>
        </w:rPr>
        <w:t xml:space="preserve"> trivial —el modelo que siempre responde "Zona de Continuidad"— sobre LTC con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velas diarias</w:t>
      </w:r>
    </w:p>
    <w:p>
      <w:pPr>
        <w:spacing w:after="120"/>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4291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Medido sobre la serie completa de LTC, </w:t>
      </w:r>
      <w:r>
        <w:rPr>
          <w:rFonts w:ascii="Courier New" w:cs="Courier New" w:eastAsia="Courier New" w:hAnsi="Courier New"/>
          <w:b/>
          <w:bCs/>
          <w:color w:val="000000"/>
          <w:sz w:val="22"/>
          <w:szCs w:val="22"/>
        </w:rPr>
        <w:t xml:space="preserve">w = 5</w:t>
      </w:r>
      <w:r>
        <w:rPr>
          <w:rFonts w:ascii="Times New Roman" w:cs="Times New Roman" w:eastAsia="Times New Roman" w:hAnsi="Times New Roman"/>
          <w:b/>
          <w:bCs/>
          <w:color w:val="000000"/>
          <w:sz w:val="24"/>
          <w:szCs w:val="24"/>
        </w:rPr>
        <w:t xml:space="preserve">, velas diarias (n = 2 175):</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Rendimiento del baseline trivial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Baseline trivial</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Exactitud</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0,869</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0,310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Precisión direccional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Máximo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Mínimo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Continuidad</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0,930</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Este es el resultado más importante de la sección y conviene decirlo sin rodeos.</w:t>
      </w:r>
    </w:p>
    <w:p>
      <w:pPr>
        <w:spacing w:after="0" w:line="480" w:lineRule="auto"/>
        <w:ind w:firstLine="720"/>
      </w:pPr>
      <w:r>
        <w:rPr>
          <w:rFonts w:ascii="Times New Roman" w:cs="Times New Roman" w:eastAsia="Times New Roman" w:hAnsi="Times New Roman"/>
          <w:color w:val="000000"/>
          <w:sz w:val="24"/>
          <w:szCs w:val="24"/>
        </w:rPr>
        <w:t xml:space="preserve">Un modelo que </w:t>
      </w:r>
      <w:r>
        <w:rPr>
          <w:rFonts w:ascii="Times New Roman" w:cs="Times New Roman" w:eastAsia="Times New Roman" w:hAnsi="Times New Roman"/>
          <w:b/>
          <w:bCs/>
          <w:color w:val="000000"/>
          <w:sz w:val="24"/>
          <w:szCs w:val="24"/>
        </w:rPr>
        <w:t xml:space="preserve">no detecta ni un solo punto de inflexión</w:t>
      </w:r>
      <w:r>
        <w:rPr>
          <w:rFonts w:ascii="Times New Roman" w:cs="Times New Roman" w:eastAsia="Times New Roman" w:hAnsi="Times New Roman"/>
          <w:color w:val="000000"/>
          <w:sz w:val="24"/>
          <w:szCs w:val="24"/>
        </w:rPr>
        <w:t xml:space="preserve"> —que es literalmente lo único que este proyecto tiene que hacer— alcanza un </w:t>
      </w:r>
      <w:r>
        <w:rPr>
          <w:rFonts w:ascii="Times New Roman" w:cs="Times New Roman" w:eastAsia="Times New Roman" w:hAnsi="Times New Roman"/>
          <w:b/>
          <w:bCs/>
          <w:color w:val="000000"/>
          <w:sz w:val="24"/>
          <w:szCs w:val="24"/>
        </w:rPr>
        <w:t xml:space="preserve">86,9 % de exactitud</w:t>
      </w:r>
      <w:r>
        <w:rPr>
          <w:rFonts w:ascii="Times New Roman" w:cs="Times New Roman" w:eastAsia="Times New Roman" w:hAnsi="Times New Roman"/>
          <w:color w:val="000000"/>
          <w:sz w:val="24"/>
          <w:szCs w:val="24"/>
        </w:rPr>
        <w:t xml:space="preserve">. Si el informe reportara exactitud, ese modelo parecería razonablemente bueno. Es la trampa completa del desbalance en un solo número: la clase mayoritaria es tan dominante que ignorarla todo el resto sale barato.</w:t>
      </w:r>
    </w:p>
    <w:p>
      <w:pPr>
        <w:spacing w:after="0" w:line="480" w:lineRule="auto"/>
        <w:ind w:firstLine="720"/>
      </w:pPr>
      <w:r>
        <w:rPr>
          <w:rFonts w:ascii="Times New Roman" w:cs="Times New Roman" w:eastAsia="Times New Roman" w:hAnsi="Times New Roman"/>
          <w:color w:val="000000"/>
          <w:sz w:val="24"/>
          <w:szCs w:val="24"/>
        </w:rPr>
        <w:t xml:space="preserve">Las otras dos métricas lo desenmascaran de inmediato: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F1 macro = 0,310.</w:t>
      </w:r>
      <w:r>
        <w:rPr>
          <w:rFonts w:ascii="Times New Roman" w:cs="Times New Roman" w:eastAsia="Times New Roman" w:hAnsi="Times New Roman"/>
          <w:color w:val="000000"/>
          <w:sz w:val="24"/>
          <w:szCs w:val="24"/>
        </w:rPr>
        <w:t xml:space="preserve"> Como promedia las tres clases con igual peso, los ceros de Máximo y Mínimo arrastran el promedio hacia abajo. El 0,310 es esencialmente 0,930 / 3.</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Precisión direccional = 0,000.</w:t>
      </w:r>
      <w:r>
        <w:rPr>
          <w:rFonts w:ascii="Times New Roman" w:cs="Times New Roman" w:eastAsia="Times New Roman" w:hAnsi="Times New Roman"/>
          <w:color w:val="000000"/>
          <w:sz w:val="24"/>
          <w:szCs w:val="24"/>
        </w:rPr>
        <w:t xml:space="preserve"> De los 284 puntos de inflexión reales de la serie no acertó ninguno, porque no anunció ninguno.</w:t>
      </w:r>
    </w:p>
    <w:p>
      <w:pPr>
        <w:spacing w:after="0" w:line="480" w:lineRule="auto"/>
        <w:ind w:firstLine="720"/>
      </w:pPr>
      <w:r>
        <w:rPr>
          <w:rFonts w:ascii="Times New Roman" w:cs="Times New Roman" w:eastAsia="Times New Roman" w:hAnsi="Times New Roman"/>
          <w:color w:val="000000"/>
          <w:sz w:val="24"/>
          <w:szCs w:val="24"/>
        </w:rPr>
        <w:t xml:space="preserve">Es exactamente el tipo de resultado que conviene poner nosotros en el informe antes de que lo pregunten en la exposición.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Un contraste que lo deja más claro todavía</w:t>
      </w:r>
    </w:p>
    <w:p>
      <w:pPr>
        <w:spacing w:after="0" w:line="480" w:lineRule="auto"/>
        <w:ind w:firstLine="720"/>
      </w:pPr>
      <w:r>
        <w:rPr>
          <w:rFonts w:ascii="Times New Roman" w:cs="Times New Roman" w:eastAsia="Times New Roman" w:hAnsi="Times New Roman"/>
          <w:color w:val="000000"/>
          <w:sz w:val="24"/>
          <w:szCs w:val="24"/>
        </w:rPr>
        <w:t xml:space="preserve">La exactitud no solo infla al modelo inútil: </w:t>
      </w:r>
      <w:r>
        <w:rPr>
          <w:rFonts w:ascii="Times New Roman" w:cs="Times New Roman" w:eastAsia="Times New Roman" w:hAnsi="Times New Roman"/>
          <w:b/>
          <w:bCs/>
          <w:color w:val="000000"/>
          <w:sz w:val="24"/>
          <w:szCs w:val="24"/>
        </w:rPr>
        <w:t xml:space="preserve">puede ordenar los modelos al revés</w:t>
      </w:r>
      <w:r>
        <w:rPr>
          <w:rFonts w:ascii="Times New Roman" w:cs="Times New Roman" w:eastAsia="Times New Roman" w:hAnsi="Times New Roman"/>
          <w:color w:val="000000"/>
          <w:sz w:val="24"/>
          <w:szCs w:val="24"/>
        </w:rPr>
        <w:t xml:space="preserve">. Para mostrarlo se midieron los tres baselines obligatorios (RF-V2) sobre el </w:t>
      </w:r>
      <w:r>
        <w:rPr>
          <w:rFonts w:ascii="Times New Roman" w:cs="Times New Roman" w:eastAsia="Times New Roman" w:hAnsi="Times New Roman"/>
          <w:b/>
          <w:bCs/>
          <w:color w:val="000000"/>
          <w:sz w:val="24"/>
          <w:szCs w:val="24"/>
        </w:rPr>
        <w:t xml:space="preserve">bloque de prueba</w:t>
      </w:r>
      <w:r>
        <w:rPr>
          <w:rFonts w:ascii="Times New Roman" w:cs="Times New Roman" w:eastAsia="Times New Roman" w:hAnsi="Times New Roman"/>
          <w:color w:val="000000"/>
          <w:sz w:val="24"/>
          <w:szCs w:val="24"/>
        </w:rPr>
        <w:t xml:space="preserve"> —el último 15 % cronológico de la serie, con embargo de </w:t>
      </w:r>
      <w:r>
        <w:rPr>
          <w:rFonts w:ascii="Courier New" w:cs="Courier New" w:eastAsia="Courier New" w:hAnsi="Courier New"/>
          <w:color w:val="000000"/>
          <w:sz w:val="22"/>
          <w:szCs w:val="22"/>
        </w:rPr>
        <w:t xml:space="preserve">w+h</w:t>
      </w:r>
      <w:r>
        <w:rPr>
          <w:rFonts w:ascii="Times New Roman" w:cs="Times New Roman" w:eastAsia="Times New Roman" w:hAnsi="Times New Roman"/>
          <w:color w:val="000000"/>
          <w:sz w:val="24"/>
          <w:szCs w:val="24"/>
        </w:rPr>
        <w:t xml:space="preserve"> velas en la frontera—, que es la partición contra la que se evaluarán los modelos reales:</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Los tres baselines sobre el bloque de prueba (11/09/2025 – 04/08/2026),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w:t>
      </w:r>
      <w:r>
        <w:rPr>
          <w:rFonts w:ascii="Courier New" w:cs="Courier New" w:eastAsia="Courier New" w:hAnsi="Courier New"/>
          <w:i/>
          <w:iCs/>
          <w:color w:val="000000"/>
          <w:sz w:val="22"/>
          <w:szCs w:val="22"/>
        </w:rPr>
        <w:t xml:space="preserve">h = 3</w:t>
      </w:r>
      <w:r>
        <w:rPr>
          <w:rFonts w:ascii="Times New Roman" w:cs="Times New Roman" w:eastAsia="Times New Roman" w:hAnsi="Times New Roman"/>
          <w:i/>
          <w:iCs/>
          <w:color w:val="000000"/>
          <w:sz w:val="24"/>
          <w:szCs w:val="24"/>
        </w:rPr>
        <w:t xml:space="preserve">, velas diarias</w:t>
      </w:r>
    </w:p>
    <w:tbl>
      <w:tblPr>
        <w:tblW w:type="dxa" w:w="9360"/>
        <w:tblBorders>
          <w:top w:val="none"/>
          <w:left w:val="none"/>
          <w:bottom w:val="none"/>
          <w:right w:val="none"/>
          <w:insideH w:val="none"/>
          <w:insideV w:val="none"/>
        </w:tblBorders>
      </w:tblPr>
      <w:tblGrid>
        <w:gridCol w:w="1170"/>
        <w:gridCol w:w="1170"/>
        <w:gridCol w:w="1170"/>
        <w:gridCol w:w="1170"/>
        <w:gridCol w:w="1170"/>
        <w:gridCol w:w="1170"/>
        <w:gridCol w:w="1170"/>
        <w:gridCol w:w="1170"/>
      </w:tblGrid>
      <w:tr>
        <w:trPr>
          <w:tblHeader/>
        </w:trPr>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Exactitud</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Continuidad</w:t>
            </w:r>
          </w:p>
        </w:tc>
      </w:tr>
      <w:tr>
        <w:tc>
          <w:tcPr>
            <w:tcW w:type="dxa" w:w="117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Trivial (siempre Continuidad)</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0,856</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0,923</w:t>
            </w:r>
          </w:p>
        </w:tc>
      </w:tr>
      <w:tr>
        <w:tc>
          <w:tcPr>
            <w:tcW w:type="dxa" w:w="117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Mayoritario</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0,856</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0,923</w:t>
            </w:r>
          </w:p>
        </w:tc>
      </w:tr>
      <w:tr>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Aleatorio (semilla 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0,716</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0,320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0,065</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0,125</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0,835</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docs/evidencias/m2-baselines.json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Léase la tabla por columnas y el punto salta a la vista. </w:t>
      </w:r>
      <w:r>
        <w:rPr>
          <w:rFonts w:ascii="Times New Roman" w:cs="Times New Roman" w:eastAsia="Times New Roman" w:hAnsi="Times New Roman"/>
          <w:b/>
          <w:bCs/>
          <w:color w:val="000000"/>
          <w:sz w:val="24"/>
          <w:szCs w:val="24"/>
        </w:rPr>
        <w:t xml:space="preserve">Por exactitud, el baseline trivial le gana al aleatorio por 14 puntos porcentuales. Por F1 macro, el aleatorio le gana al trivial.</w:t>
      </w:r>
      <w:r>
        <w:rPr>
          <w:rFonts w:ascii="Times New Roman" w:cs="Times New Roman" w:eastAsia="Times New Roman" w:hAnsi="Times New Roman"/>
          <w:color w:val="000000"/>
          <w:sz w:val="24"/>
          <w:szCs w:val="24"/>
        </w:rPr>
        <w:t xml:space="preserve"> Las dos métricas ordenan los mismos dos modelos en sentidos opuestos.</w:t>
      </w:r>
    </w:p>
    <w:p>
      <w:pPr>
        <w:spacing w:after="0" w:line="480" w:lineRule="auto"/>
        <w:ind w:firstLine="720"/>
      </w:pPr>
      <w:r>
        <w:rPr>
          <w:rFonts w:ascii="Times New Roman" w:cs="Times New Roman" w:eastAsia="Times New Roman" w:hAnsi="Times New Roman"/>
          <w:color w:val="000000"/>
          <w:sz w:val="24"/>
          <w:szCs w:val="24"/>
        </w:rPr>
        <w:t xml:space="preserve">La razón es que el baseline aleatorio, por puro azar, anuncia algunos giros y acierta unos pocos —precisión direccional de 0,065, es decir, 3 de los 46 extremos reales del bloque—, mientras que el trivial nunca anuncia ninguno y acierta cero. En términos del problema que nos pusieron, adivinar al azar es preferible a no intentarlo; la exactitud dice lo contrario. </w:t>
      </w:r>
      <w:r>
        <w:rPr>
          <w:rFonts w:ascii="Times New Roman" w:cs="Times New Roman" w:eastAsia="Times New Roman" w:hAnsi="Times New Roman"/>
          <w:b/>
          <w:bCs/>
          <w:color w:val="000000"/>
          <w:sz w:val="24"/>
          <w:szCs w:val="24"/>
        </w:rPr>
        <w:t xml:space="preserve">Si la métrica de decisión del proyecto fuera la exactitud, el proyecto premiaría al modelo que no hace nada.</w:t>
      </w:r>
    </w:p>
    <w:p>
      <w:pPr>
        <w:spacing w:after="0" w:line="480" w:lineRule="auto"/>
        <w:ind w:firstLine="720"/>
      </w:pPr>
      <w:r>
        <w:rPr>
          <w:rFonts w:ascii="Times New Roman" w:cs="Times New Roman" w:eastAsia="Times New Roman" w:hAnsi="Times New Roman"/>
          <w:color w:val="000000"/>
          <w:sz w:val="24"/>
          <w:szCs w:val="24"/>
        </w:rPr>
        <w:t xml:space="preserve">Dos observaciones más sobre la tabla, por honestidad:</w:t>
      </w:r>
    </w:p>
    <w:p>
      <w:pPr>
        <w:spacing w:after="0" w:line="480" w:lineRule="auto"/>
        <w:ind w:left="720"/>
      </w:pPr>
      <w:r>
        <w:rPr>
          <w:rFonts w:ascii="Times New Roman" w:cs="Times New Roman" w:eastAsia="Times New Roman" w:hAnsi="Times New Roman"/>
          <w:color w:val="000000"/>
          <w:sz w:val="24"/>
          <w:szCs w:val="24"/>
        </w:rPr>
        <w:t xml:space="preserve">• El baseline </w:t>
      </w:r>
      <w:r>
        <w:rPr>
          <w:rFonts w:ascii="Times New Roman" w:cs="Times New Roman" w:eastAsia="Times New Roman" w:hAnsi="Times New Roman"/>
          <w:b/>
          <w:bCs/>
          <w:color w:val="000000"/>
          <w:sz w:val="24"/>
          <w:szCs w:val="24"/>
        </w:rPr>
        <w:t xml:space="preserve">mayoritario da exactamente lo mismo que el trivial</w:t>
      </w:r>
      <w:r>
        <w:rPr>
          <w:rFonts w:ascii="Times New Roman" w:cs="Times New Roman" w:eastAsia="Times New Roman" w:hAnsi="Times New Roman"/>
          <w:color w:val="000000"/>
          <w:sz w:val="24"/>
          <w:szCs w:val="24"/>
        </w:rPr>
        <w:t xml:space="preserve">, y no es casualidad: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la clase más frecuente en entrenamiento es Continuidad, así que ambos aprenden a responder lo mismo. Se mantienen separados porque si alguna combinación de </w:t>
      </w:r>
      <w:r>
        <w:rPr>
          <w:rFonts w:ascii="Courier New" w:cs="Courier New" w:eastAsia="Courier New" w:hAnsi="Courier New"/>
          <w:color w:val="000000"/>
          <w:sz w:val="22"/>
          <w:szCs w:val="22"/>
        </w:rPr>
        <w:t xml:space="preserve">(w, h)</w:t>
      </w:r>
      <w:r>
        <w:rPr>
          <w:rFonts w:ascii="Times New Roman" w:cs="Times New Roman" w:eastAsia="Times New Roman" w:hAnsi="Times New Roman"/>
          <w:color w:val="000000"/>
          <w:sz w:val="24"/>
          <w:szCs w:val="24"/>
        </w:rPr>
        <w:t xml:space="preserve"> cambiara la clase dominante, el mayoritario lo reflejaría y el trivial no.</w:t>
      </w:r>
    </w:p>
    <w:p>
      <w:pPr>
        <w:spacing w:after="0" w:line="480" w:lineRule="auto"/>
        <w:ind w:left="720"/>
      </w:pPr>
      <w:r>
        <w:rPr>
          <w:rFonts w:ascii="Times New Roman" w:cs="Times New Roman" w:eastAsia="Times New Roman" w:hAnsi="Times New Roman"/>
          <w:color w:val="000000"/>
          <w:sz w:val="24"/>
          <w:szCs w:val="24"/>
        </w:rPr>
        <w:t xml:space="preserve">• El baseline aleatorio tiene </w:t>
      </w:r>
      <w:r>
        <w:rPr>
          <w:rFonts w:ascii="Times New Roman" w:cs="Times New Roman" w:eastAsia="Times New Roman" w:hAnsi="Times New Roman"/>
          <w:b/>
          <w:bCs/>
          <w:color w:val="000000"/>
          <w:sz w:val="24"/>
          <w:szCs w:val="24"/>
        </w:rPr>
        <w:t xml:space="preserve">F1 de Máximo igual a 0,000</w:t>
      </w:r>
      <w:r>
        <w:rPr>
          <w:rFonts w:ascii="Times New Roman" w:cs="Times New Roman" w:eastAsia="Times New Roman" w:hAnsi="Times New Roman"/>
          <w:color w:val="000000"/>
          <w:sz w:val="24"/>
          <w:szCs w:val="24"/>
        </w:rPr>
        <w:t xml:space="preserve">: acertó algún mínimo por azar, pero ningún máximo. Con 24 máximos reales en 320 velas, ese resultado es esperable y recuerda que un número obtenido de una sola semilla tiene varianza.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3. Las métricas que sí usamos</w:t>
      </w:r>
    </w:p>
    <w:p>
      <w:pPr>
        <w:spacing w:after="0" w:line="480" w:lineRule="auto"/>
        <w:ind w:firstLine="720"/>
      </w:pPr>
      <w:r>
        <w:rPr>
          <w:rFonts w:ascii="Times New Roman" w:cs="Times New Roman" w:eastAsia="Times New Roman" w:hAnsi="Times New Roman"/>
          <w:color w:val="000000"/>
          <w:sz w:val="24"/>
          <w:szCs w:val="24"/>
        </w:rPr>
        <w:t xml:space="preserve">Todas provienen de una única función compartida, </w:t>
      </w:r>
      <w:r>
        <w:rPr>
          <w:rFonts w:ascii="Courier New" w:cs="Courier New" w:eastAsia="Courier New" w:hAnsi="Courier New"/>
          <w:color w:val="000000"/>
          <w:sz w:val="22"/>
          <w:szCs w:val="22"/>
        </w:rPr>
        <w:t xml:space="preserve">contracts/metrics.py::evaluar</w:t>
      </w:r>
      <w:r>
        <w:rPr>
          <w:rFonts w:ascii="Times New Roman" w:cs="Times New Roman" w:eastAsia="Times New Roman" w:hAnsi="Times New Roman"/>
          <w:color w:val="000000"/>
          <w:sz w:val="24"/>
          <w:szCs w:val="24"/>
        </w:rPr>
        <w:t xml:space="preserve"> (RF-V1). Que haya una sola implementación no es burocracia: si dos personas calcularan el F1 con criterios distintos, la comparación entre el modelo fundacional y el avanzado —que es la conclusión central del proyecto— dejaría de ser una comparación.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3.1 F1-Score por clase</w:t>
      </w:r>
    </w:p>
    <w:p>
      <w:pPr>
        <w:spacing w:after="0" w:line="480" w:lineRule="auto"/>
        <w:ind w:firstLine="720"/>
      </w:pPr>
      <w:r>
        <w:rPr>
          <w:rFonts w:ascii="Times New Roman" w:cs="Times New Roman" w:eastAsia="Times New Roman" w:hAnsi="Times New Roman"/>
          <w:color w:val="000000"/>
          <w:sz w:val="24"/>
          <w:szCs w:val="24"/>
        </w:rPr>
        <w:t xml:space="preserve">El F1 combina dos preguntas distintas sobre una misma clase: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Precisión:</w:t>
      </w:r>
      <w:r>
        <w:rPr>
          <w:rFonts w:ascii="Times New Roman" w:cs="Times New Roman" w:eastAsia="Times New Roman" w:hAnsi="Times New Roman"/>
          <w:color w:val="000000"/>
          <w:sz w:val="24"/>
          <w:szCs w:val="24"/>
        </w:rPr>
        <w:t xml:space="preserve"> de todos los giros que el modelo anunció, ¿cuántos eran de verdad giros? Mide cuánto cuesta creerle cuando habla.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i/>
          <w:iCs/>
          <w:color w:val="000000"/>
          <w:sz w:val="24"/>
          <w:szCs w:val="24"/>
        </w:rPr>
        <w:t xml:space="preserve">Exhaustividad (</w:t>
      </w:r>
      <w:r>
        <w:rPr>
          <w:rFonts w:ascii="Times New Roman" w:cs="Times New Roman" w:eastAsia="Times New Roman" w:hAnsi="Times New Roman"/>
          <w:color w:val="000000"/>
          <w:sz w:val="24"/>
          <w:szCs w:val="24"/>
        </w:rPr>
        <w:t xml:space="preserve">recall</w:t>
      </w:r>
      <w:r>
        <w:rPr>
          <w:rFonts w:ascii="Times New Roman" w:cs="Times New Roman" w:eastAsia="Times New Roman" w:hAnsi="Times New Roman"/>
          <w:i/>
          <w:iCs/>
          <w:color w:val="000000"/>
          <w:sz w:val="24"/>
          <w:szCs w:val="24"/>
        </w:rPr>
        <w:t xml:space="preserve">):</w:t>
      </w:r>
      <w:r>
        <w:rPr>
          <w:rFonts w:ascii="Times New Roman" w:cs="Times New Roman" w:eastAsia="Times New Roman" w:hAnsi="Times New Roman"/>
          <w:color w:val="000000"/>
          <w:sz w:val="24"/>
          <w:szCs w:val="24"/>
        </w:rPr>
        <w:t xml:space="preserve">* de todos los giros que de verdad ocurrieron, ¿cuántos anunció? Mide cuánto se pierde.</w:t>
      </w:r>
    </w:p>
    <w:p>
      <w:pPr>
        <w:spacing w:after="0" w:line="480" w:lineRule="auto"/>
        <w:ind w:firstLine="720"/>
      </w:pPr>
      <w:r>
        <w:rPr>
          <w:rFonts w:ascii="Times New Roman" w:cs="Times New Roman" w:eastAsia="Times New Roman" w:hAnsi="Times New Roman"/>
          <w:color w:val="000000"/>
          <w:sz w:val="24"/>
          <w:szCs w:val="24"/>
        </w:rPr>
        <w:t xml:space="preserve">El F1 es su </w:t>
      </w:r>
      <w:r>
        <w:rPr>
          <w:rFonts w:ascii="Times New Roman" w:cs="Times New Roman" w:eastAsia="Times New Roman" w:hAnsi="Times New Roman"/>
          <w:b/>
          <w:bCs/>
          <w:color w:val="000000"/>
          <w:sz w:val="24"/>
          <w:szCs w:val="24"/>
        </w:rPr>
        <w:t xml:space="preserve">media armónica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F1 = 2·P·R / (P+R)</w:t>
      </w:r>
      <w:r>
        <w:rPr>
          <w:rFonts w:ascii="Times New Roman" w:cs="Times New Roman" w:eastAsia="Times New Roman" w:hAnsi="Times New Roman"/>
          <w:color w:val="000000"/>
          <w:sz w:val="24"/>
          <w:szCs w:val="24"/>
        </w:rPr>
        <w:t xml:space="preserve">. Se usa la media armónica y no la aritmética porque la armónica está dominada por el término más pequeño y por lo tanto </w:t>
      </w:r>
      <w:r>
        <w:rPr>
          <w:rFonts w:ascii="Times New Roman" w:cs="Times New Roman" w:eastAsia="Times New Roman" w:hAnsi="Times New Roman"/>
          <w:b/>
          <w:bCs/>
          <w:color w:val="000000"/>
          <w:sz w:val="24"/>
          <w:szCs w:val="24"/>
        </w:rPr>
        <w:t xml:space="preserve">castiga el desequilibrio entre las dos</w:t>
      </w:r>
      <w:r>
        <w:rPr>
          <w:rFonts w:ascii="Times New Roman" w:cs="Times New Roman" w:eastAsia="Times New Roman" w:hAnsi="Times New Roman"/>
          <w:color w:val="000000"/>
          <w:sz w:val="24"/>
          <w:szCs w:val="24"/>
        </w:rPr>
        <w:t xml:space="preserve">. Un modelo con precisión 1,00 y exhaustividad 0,02 —anuncia un solo giro en toda la serie y acierta— tiene media aritmética 0,51, que suena aceptable, y F1 de 0,039, que es lo que corresponde. En un problema donde es trivial obtener precisión perfecta a costa de no anunciar casi nada, esa propiedad es exactamente la que hace falta.</w:t>
      </w:r>
    </w:p>
    <w:p>
      <w:pPr>
        <w:spacing w:after="0" w:line="480" w:lineRule="auto"/>
        <w:ind w:firstLine="720"/>
      </w:pPr>
      <w:r>
        <w:rPr>
          <w:rFonts w:ascii="Times New Roman" w:cs="Times New Roman" w:eastAsia="Times New Roman" w:hAnsi="Times New Roman"/>
          <w:color w:val="000000"/>
          <w:sz w:val="24"/>
          <w:szCs w:val="24"/>
        </w:rPr>
        <w:t xml:space="preserve">Reportarlo </w:t>
      </w:r>
      <w:r>
        <w:rPr>
          <w:rFonts w:ascii="Times New Roman" w:cs="Times New Roman" w:eastAsia="Times New Roman" w:hAnsi="Times New Roman"/>
          <w:b/>
          <w:bCs/>
          <w:color w:val="000000"/>
          <w:sz w:val="24"/>
          <w:szCs w:val="24"/>
        </w:rPr>
        <w:t xml:space="preserve">por clase</w:t>
      </w:r>
      <w:r>
        <w:rPr>
          <w:rFonts w:ascii="Times New Roman" w:cs="Times New Roman" w:eastAsia="Times New Roman" w:hAnsi="Times New Roman"/>
          <w:color w:val="000000"/>
          <w:sz w:val="24"/>
          <w:szCs w:val="24"/>
        </w:rPr>
        <w:t xml:space="preserve"> y no solo agregado es indispensable aquí, porque las tres clases tienen dificultades muy distintas: Continuidad es fácil por abundancia, y Máximo y Mínimo son el objetivo real del trabajo. En la Tabla 4 se ve que el número agregado esconde dos ceros.</w:t>
      </w:r>
    </w:p>
    <w:p>
      <w:pPr>
        <w:spacing w:after="0" w:line="480" w:lineRule="auto"/>
        <w:ind w:firstLine="720"/>
      </w:pPr>
      <w:r>
        <w:rPr>
          <w:rFonts w:ascii="Times New Roman" w:cs="Times New Roman" w:eastAsia="Times New Roman" w:hAnsi="Times New Roman"/>
          <w:color w:val="000000"/>
          <w:sz w:val="24"/>
          <w:szCs w:val="24"/>
        </w:rPr>
        <w:t xml:space="preserve">Que el par precisión-exhaustividad sea el adecuado para este problema no es una preferencia: Saito y Rehmsmeier (2015) muestran que, con clases fuertemente desbalanceadas, las medidas construidas sobre precisión y exhaustividad reflejan el rendimiento sobre la clase rara mucho mejor que las basadas en la tasa de falsos positivos, porque esta última se diluye contra una clase mayoritaria muy grande. Con un 90,7 % de Continuidad, ese es exactamente nuestro caso.</w:t>
      </w:r>
    </w:p>
    <w:p>
      <w:pPr>
        <w:spacing w:after="0" w:line="480" w:lineRule="auto"/>
        <w:ind w:firstLine="720"/>
      </w:pPr>
      <w:r>
        <w:rPr>
          <w:rFonts w:ascii="Times New Roman" w:cs="Times New Roman" w:eastAsia="Times New Roman" w:hAnsi="Times New Roman"/>
          <w:b/>
          <w:bCs/>
          <w:color w:val="000000"/>
          <w:sz w:val="24"/>
          <w:szCs w:val="24"/>
        </w:rPr>
        <w:t xml:space="preserve">Una limitación del F1 que conviene declarar nosotros.</w:t>
      </w:r>
      <w:r>
        <w:rPr>
          <w:rFonts w:ascii="Times New Roman" w:cs="Times New Roman" w:eastAsia="Times New Roman" w:hAnsi="Times New Roman"/>
          <w:color w:val="000000"/>
          <w:sz w:val="24"/>
          <w:szCs w:val="24"/>
        </w:rPr>
        <w:t xml:space="preserve"> El F1 ignora los verdaderos negativos y no es simétrico entre las clases, y por eso hay literatura que propone el coeficiente de correlación de Matthews como alternativa más informativa (Chicco &amp; Jurman, 2020). No lo adoptamos como métrica principal porque el enunciado pide F1-Score explícitamente y cambiar la métrica de decisión por cuenta propia rompería la comparabilidad con lo que se nos solicitó; queda anotado como limitación conocida y no como algo que se nos haya pasado.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3.2 F1 macro, y por qué no ponderado</w:t>
      </w:r>
    </w:p>
    <w:p>
      <w:pPr>
        <w:spacing w:after="0" w:line="480" w:lineRule="auto"/>
        <w:ind w:firstLine="720"/>
      </w:pPr>
      <w:r>
        <w:rPr>
          <w:rFonts w:ascii="Times New Roman" w:cs="Times New Roman" w:eastAsia="Times New Roman" w:hAnsi="Times New Roman"/>
          <w:color w:val="000000"/>
          <w:sz w:val="24"/>
          <w:szCs w:val="24"/>
        </w:rPr>
        <w:t xml:space="preserve">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es el promedio simple de los tres F1 por clase. El </w:t>
      </w:r>
      <w:r>
        <w:rPr>
          <w:rFonts w:ascii="Times New Roman" w:cs="Times New Roman" w:eastAsia="Times New Roman" w:hAnsi="Times New Roman"/>
          <w:b/>
          <w:bCs/>
          <w:color w:val="000000"/>
          <w:sz w:val="24"/>
          <w:szCs w:val="24"/>
        </w:rPr>
        <w:t xml:space="preserve">F1 ponderado</w:t>
      </w:r>
      <w:r>
        <w:rPr>
          <w:rFonts w:ascii="Times New Roman" w:cs="Times New Roman" w:eastAsia="Times New Roman" w:hAnsi="Times New Roman"/>
          <w:color w:val="000000"/>
          <w:sz w:val="24"/>
          <w:szCs w:val="24"/>
        </w:rPr>
        <w:t xml:space="preserve"> promedia pesando cada clase por su frecuencia.</w:t>
      </w:r>
    </w:p>
    <w:p>
      <w:pPr>
        <w:spacing w:after="0" w:line="480" w:lineRule="auto"/>
        <w:ind w:firstLine="720"/>
      </w:pPr>
      <w:r>
        <w:rPr>
          <w:rFonts w:ascii="Times New Roman" w:cs="Times New Roman" w:eastAsia="Times New Roman" w:hAnsi="Times New Roman"/>
          <w:color w:val="000000"/>
          <w:sz w:val="24"/>
          <w:szCs w:val="24"/>
        </w:rPr>
        <w:t xml:space="preserve">La elección es macro y es deliberada. Con la distribución de la Tabla 3, el ponderado le daría a Continuidad un peso del 87 % del total, de modo que </w:t>
      </w:r>
      <w:r>
        <w:rPr>
          <w:rFonts w:ascii="Times New Roman" w:cs="Times New Roman" w:eastAsia="Times New Roman" w:hAnsi="Times New Roman"/>
          <w:b/>
          <w:bCs/>
          <w:color w:val="000000"/>
          <w:sz w:val="24"/>
          <w:szCs w:val="24"/>
        </w:rPr>
        <w:t xml:space="preserve">premiaría acertar precisamente la clase que un modelo inútil acierta bien</w:t>
      </w:r>
      <w:r>
        <w:rPr>
          <w:rFonts w:ascii="Times New Roman" w:cs="Times New Roman" w:eastAsia="Times New Roman" w:hAnsi="Times New Roman"/>
          <w:color w:val="000000"/>
          <w:sz w:val="24"/>
          <w:szCs w:val="24"/>
        </w:rPr>
        <w:t xml:space="preserve">. El baseline trivial tendría un F1 ponderado de aproximadamente 0,81 —el 87 % de 0,930— frente a su F1 macro de 0,310. La misma predicción, dos números que cuentan historias opuestas.</w:t>
      </w:r>
    </w:p>
    <w:p>
      <w:pPr>
        <w:spacing w:after="0" w:line="480" w:lineRule="auto"/>
        <w:ind w:firstLine="720"/>
      </w:pPr>
      <w:r>
        <w:rPr>
          <w:rFonts w:ascii="Times New Roman" w:cs="Times New Roman" w:eastAsia="Times New Roman" w:hAnsi="Times New Roman"/>
          <w:color w:val="000000"/>
          <w:sz w:val="24"/>
          <w:szCs w:val="24"/>
        </w:rPr>
        <w:t xml:space="preserve">El macro tiene el efecto contrario y es el que corresponde: al dar igual peso a las tres clases, un modelo solo puede obtener un buen valor si aprende algo sobre las clases raras. Es la recomendación estándar cuando las clases minoritarias son las de interés (Sokolova &amp; Lapalme, 2009; He &amp; Garcia, 2009).</w:t>
      </w:r>
    </w:p>
    <w:p>
      <w:pPr>
        <w:spacing w:after="0" w:line="480" w:lineRule="auto"/>
        <w:ind w:firstLine="720"/>
      </w:pPr>
      <w:r>
        <w:rPr>
          <w:rFonts w:ascii="Times New Roman" w:cs="Times New Roman" w:eastAsia="Times New Roman" w:hAnsi="Times New Roman"/>
          <w:color w:val="000000"/>
          <w:sz w:val="24"/>
          <w:szCs w:val="24"/>
        </w:rPr>
        <w:t xml:space="preserve">Hay además un argumento formal contra los promedios ponderados por prevalencia. Farhadpour et al. (2024) muestran que, en clasificación multiclase de etiqueta única, el F1 micro-promediado es </w:t>
      </w:r>
      <w:r>
        <w:rPr>
          <w:rFonts w:ascii="Times New Roman" w:cs="Times New Roman" w:eastAsia="Times New Roman" w:hAnsi="Times New Roman"/>
          <w:b/>
          <w:bCs/>
          <w:color w:val="000000"/>
          <w:sz w:val="24"/>
          <w:szCs w:val="24"/>
        </w:rPr>
        <w:t xml:space="preserve">matemáticamente idéntico a la exactitud global</w:t>
      </w:r>
      <w:r>
        <w:rPr>
          <w:rFonts w:ascii="Times New Roman" w:cs="Times New Roman" w:eastAsia="Times New Roman" w:hAnsi="Times New Roman"/>
          <w:color w:val="000000"/>
          <w:sz w:val="24"/>
          <w:szCs w:val="24"/>
        </w:rPr>
        <w:t xml:space="preserve">, de modo que reportarlo no agrega ninguna información sobre lo que la exactitud ya dice; y advierten que los promedios ponderados por la frecuencia de cada clase quedan dominados por las mayoritarias. Aplicado a este proyecto: el promedio ponderado hereda el mismo defecto que la Tabla 4 le demuestra a la exactitud. El macro es la única de las tres variantes que puede ordenar los modelos por lo que nos importa.</w:t>
      </w:r>
    </w:p>
    <w:p>
      <w:pPr>
        <w:spacing w:after="0" w:line="480" w:lineRule="auto"/>
        <w:ind w:firstLine="720"/>
      </w:pPr>
      <w:r>
        <w:rPr>
          <w:rFonts w:ascii="Times New Roman" w:cs="Times New Roman" w:eastAsia="Times New Roman" w:hAnsi="Times New Roman"/>
          <w:b/>
          <w:bCs/>
          <w:color w:val="000000"/>
          <w:sz w:val="24"/>
          <w:szCs w:val="24"/>
        </w:rPr>
        <w:t xml:space="preserve">Lo que hay que declarar como costo:</w:t>
      </w:r>
      <w:r>
        <w:rPr>
          <w:rFonts w:ascii="Times New Roman" w:cs="Times New Roman" w:eastAsia="Times New Roman" w:hAnsi="Times New Roman"/>
          <w:color w:val="000000"/>
          <w:sz w:val="24"/>
          <w:szCs w:val="24"/>
        </w:rPr>
        <w:t xml:space="preserve"> el macro tiene mayor varianza. Con 24 máximos en el bloque de prueba, unos pocos aciertos o fallos mueven el F1 de esa clase de forma apreciable, y como el macro pesa esa clase a un tercio, el ruido se propaga al número final. Por eso la comparación entre modelos del proyecto exige un margen mínimo (</w:t>
      </w:r>
      <w:r>
        <w:rPr>
          <w:rFonts w:ascii="Courier New" w:cs="Courier New" w:eastAsia="Courier New" w:hAnsi="Courier New"/>
          <w:color w:val="000000"/>
          <w:sz w:val="22"/>
          <w:szCs w:val="22"/>
        </w:rPr>
        <w:t xml:space="preserve">DELTA_F1_DECISIVO = 0,02</w:t>
      </w:r>
      <w:r>
        <w:rPr>
          <w:rFonts w:ascii="Times New Roman" w:cs="Times New Roman" w:eastAsia="Times New Roman" w:hAnsi="Times New Roman"/>
          <w:color w:val="000000"/>
          <w:sz w:val="24"/>
          <w:szCs w:val="24"/>
        </w:rPr>
        <w:t xml:space="preserve">) fijado antes de medir, en lugar de declarar ganador a cualquier diferencia positiva.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3.3 Precisión direccional</w:t>
      </w:r>
    </w:p>
    <w:p>
      <w:pPr>
        <w:spacing w:after="0" w:line="480" w:lineRule="auto"/>
        <w:ind w:firstLine="720"/>
      </w:pPr>
      <w:r>
        <w:rPr>
          <w:rFonts w:ascii="Times New Roman" w:cs="Times New Roman" w:eastAsia="Times New Roman" w:hAnsi="Times New Roman"/>
          <w:b/>
          <w:bCs/>
          <w:color w:val="000000"/>
          <w:sz w:val="24"/>
          <w:szCs w:val="24"/>
        </w:rPr>
        <w:t xml:space="preserve">Definición adoptada:</w:t>
      </w:r>
      <w:r>
        <w:rPr>
          <w:rFonts w:ascii="Times New Roman" w:cs="Times New Roman" w:eastAsia="Times New Roman" w:hAnsi="Times New Roman"/>
          <w:color w:val="000000"/>
          <w:sz w:val="24"/>
          <w:szCs w:val="24"/>
        </w:rPr>
        <w:t xml:space="preserve"> de todas las velas que de verdad fueron Máximo o Mínimo, qué fracción se anunció con el tipo correcto. Las velas de Continuidad se ignoran, porque acertar "aquí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Esta definición es nuestra y hay que decirlo.</w:t>
      </w:r>
      <w:r>
        <w:rPr>
          <w:rFonts w:ascii="Times New Roman" w:cs="Times New Roman" w:eastAsia="Times New Roman" w:hAnsi="Times New Roman"/>
          <w:color w:val="000000"/>
          <w:sz w:val="24"/>
          <w:szCs w:val="24"/>
        </w:rPr>
        <w:t xml:space="preserve"> El enunciado pide Precisión Direccional sin precisar qué significa en un problema de clasificación de tres clases; el término proviene de la literatura de pronóstico de series, donde se aplica a modelos de regresión y mide la fracción de períodos en que se acierta el signo del cambio (Blaskowitz &amp; Herwartz, 2011). Trasladarlo a un problema multiclase admite más de una lectura, así que adoptamos una, la documentamos en un solo lugar y la consultamos con el profesor. Declarar una ambigüedad del enunciado y explicar cómo se resolvió suma en el criterio de análisis de la rúbrica; dejarla tapada, resta.</w:t>
      </w:r>
    </w:p>
    <w:p>
      <w:pPr>
        <w:spacing w:after="0" w:line="480" w:lineRule="auto"/>
        <w:ind w:firstLine="720"/>
      </w:pPr>
      <w:r>
        <w:rPr>
          <w:rFonts w:ascii="Times New Roman" w:cs="Times New Roman" w:eastAsia="Times New Roman" w:hAnsi="Times New Roman"/>
          <w:color w:val="000000"/>
          <w:sz w:val="24"/>
          <w:szCs w:val="24"/>
        </w:rPr>
        <w:t xml:space="preserve">Dos propiedades de la implementación que conviene explicar: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Devuelve </w:t>
      </w:r>
      <w:r>
        <w:rPr>
          <w:rFonts w:ascii="Courier New" w:cs="Courier New" w:eastAsia="Courier New" w:hAnsi="Courier New"/>
          <w:b/>
          <w:bCs/>
          <w:color w:val="000000"/>
          <w:sz w:val="22"/>
          <w:szCs w:val="22"/>
        </w:rPr>
        <w:t xml:space="preserve">NaN</w:t>
      </w:r>
      <w:r>
        <w:rPr>
          <w:rFonts w:ascii="Times New Roman" w:cs="Times New Roman" w:eastAsia="Times New Roman" w:hAnsi="Times New Roman"/>
          <w:b/>
          <w:bCs/>
          <w:color w:val="000000"/>
          <w:sz w:val="24"/>
          <w:szCs w:val="24"/>
        </w:rPr>
        <w:t xml:space="preserve">, no 0,0, cuando en el período evaluado no hubo ningún extremo real.</w:t>
      </w:r>
      <w:r>
        <w:rPr>
          <w:rFonts w:ascii="Times New Roman" w:cs="Times New Roman" w:eastAsia="Times New Roman" w:hAnsi="Times New Roman"/>
          <w:color w:val="000000"/>
          <w:sz w:val="24"/>
          <w:szCs w:val="24"/>
        </w:rPr>
        <w:t xml:space="preserve"> No hubo nada que acertar; un cero se leería como fracaso del modelo cuando en realidad es ausencia de evidencia.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Es ciega a los falsos positivos.</w:t>
      </w:r>
      <w:r>
        <w:rPr>
          <w:rFonts w:ascii="Times New Roman" w:cs="Times New Roman" w:eastAsia="Times New Roman" w:hAnsi="Times New Roman"/>
          <w:color w:val="000000"/>
          <w:sz w:val="24"/>
          <w:szCs w:val="24"/>
        </w:rPr>
        <w:t xml:space="preserve"> Un modelo que anunciara "Máximo" en todas las velas obtendría una precisión direccional cercana a 0,50 —acertaría todos los máximos reales y ningún mínimo; sobre el bloque de prueba serían 24 de 46, esto es 0,52— pese a ser inservible. Por eso la precisión direccional </w:t>
      </w:r>
      <w:r>
        <w:rPr>
          <w:rFonts w:ascii="Times New Roman" w:cs="Times New Roman" w:eastAsia="Times New Roman" w:hAnsi="Times New Roman"/>
          <w:b/>
          <w:bCs/>
          <w:color w:val="000000"/>
          <w:sz w:val="24"/>
          <w:szCs w:val="24"/>
        </w:rPr>
        <w:t xml:space="preserve">nunca se reporta sola</w:t>
      </w:r>
      <w:r>
        <w:rPr>
          <w:rFonts w:ascii="Times New Roman" w:cs="Times New Roman" w:eastAsia="Times New Roman" w:hAnsi="Times New Roman"/>
          <w:color w:val="000000"/>
          <w:sz w:val="24"/>
          <w:szCs w:val="24"/>
        </w:rPr>
        <w:t xml:space="preserve">: acompaña al F1 macro, que sí penaliza los falsos positivos. Es una métrica que responde "cuando hay un giro, ¿le acertamos al tipo?", y esa pregunta solo tiene sentido junto a "¿cuántas veces lo anuncia cuando no lo hay?".</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3.4 Matriz de confusión</w:t>
      </w:r>
    </w:p>
    <w:p>
      <w:pPr>
        <w:spacing w:after="0" w:line="480" w:lineRule="auto"/>
        <w:ind w:firstLine="720"/>
      </w:pPr>
      <w:r>
        <w:rPr>
          <w:rFonts w:ascii="Times New Roman" w:cs="Times New Roman" w:eastAsia="Times New Roman" w:hAnsi="Times New Roman"/>
          <w:color w:val="000000"/>
          <w:sz w:val="24"/>
          <w:szCs w:val="24"/>
        </w:rPr>
        <w:t xml:space="preserve">Es la única de las cuatro que muestra </w:t>
      </w:r>
      <w:r>
        <w:rPr>
          <w:rFonts w:ascii="Times New Roman" w:cs="Times New Roman" w:eastAsia="Times New Roman" w:hAnsi="Times New Roman"/>
          <w:b/>
          <w:bCs/>
          <w:color w:val="000000"/>
          <w:sz w:val="24"/>
          <w:szCs w:val="24"/>
        </w:rPr>
        <w:t xml:space="preserve">qué tipo</w:t>
      </w:r>
      <w:r>
        <w:rPr>
          <w:rFonts w:ascii="Times New Roman" w:cs="Times New Roman" w:eastAsia="Times New Roman" w:hAnsi="Times New Roman"/>
          <w:color w:val="000000"/>
          <w:sz w:val="24"/>
          <w:szCs w:val="24"/>
        </w:rPr>
        <w:t xml:space="preserve"> de error comete el modelo, y en este problema los tipos de error no son equivalentes: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Confundir un extremo con Continuidad</w:t>
      </w:r>
      <w:r>
        <w:rPr>
          <w:rFonts w:ascii="Times New Roman" w:cs="Times New Roman" w:eastAsia="Times New Roman" w:hAnsi="Times New Roman"/>
          <w:color w:val="000000"/>
          <w:sz w:val="24"/>
          <w:szCs w:val="24"/>
        </w:rPr>
        <w:t xml:space="preserve"> es un error de </w:t>
      </w:r>
      <w:r>
        <w:rPr>
          <w:rFonts w:ascii="Times New Roman" w:cs="Times New Roman" w:eastAsia="Times New Roman" w:hAnsi="Times New Roman"/>
          <w:i/>
          <w:iCs/>
          <w:color w:val="000000"/>
          <w:sz w:val="24"/>
          <w:szCs w:val="24"/>
        </w:rPr>
        <w:t xml:space="preserve">detección</w:t>
      </w:r>
      <w:r>
        <w:rPr>
          <w:rFonts w:ascii="Times New Roman" w:cs="Times New Roman" w:eastAsia="Times New Roman" w:hAnsi="Times New Roman"/>
          <w:color w:val="000000"/>
          <w:sz w:val="24"/>
          <w:szCs w:val="24"/>
        </w:rPr>
        <w:t xml:space="preserve">: el sistema se quedó callado cuando había algo que anunciar. Cuesta una oportunidad.</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Confundir un Máximo con un Mínimo</w:t>
      </w:r>
      <w:r>
        <w:rPr>
          <w:rFonts w:ascii="Times New Roman" w:cs="Times New Roman" w:eastAsia="Times New Roman" w:hAnsi="Times New Roman"/>
          <w:color w:val="000000"/>
          <w:sz w:val="24"/>
          <w:szCs w:val="24"/>
        </w:rPr>
        <w:t xml:space="preserve"> es un error de </w:t>
      </w:r>
      <w:r>
        <w:rPr>
          <w:rFonts w:ascii="Times New Roman" w:cs="Times New Roman" w:eastAsia="Times New Roman" w:hAnsi="Times New Roman"/>
          <w:i/>
          <w:iCs/>
          <w:color w:val="000000"/>
          <w:sz w:val="24"/>
          <w:szCs w:val="24"/>
        </w:rPr>
        <w:t xml:space="preserve">dirección</w:t>
      </w:r>
      <w:r>
        <w:rPr>
          <w:rFonts w:ascii="Times New Roman" w:cs="Times New Roman" w:eastAsia="Times New Roman" w:hAnsi="Times New Roman"/>
          <w:color w:val="000000"/>
          <w:sz w:val="24"/>
          <w:szCs w:val="24"/>
        </w:rPr>
        <w:t xml:space="preserve">: el sistema anunció lo contrario de lo que pasaba. En una aplicación real, esa es la diferencia entre no operar y operar en el sentido equivocado.</w:t>
      </w:r>
    </w:p>
    <w:p>
      <w:pPr>
        <w:spacing w:after="0" w:line="480" w:lineRule="auto"/>
        <w:ind w:firstLine="720"/>
      </w:pPr>
      <w:r>
        <w:rPr>
          <w:rFonts w:ascii="Times New Roman" w:cs="Times New Roman" w:eastAsia="Times New Roman" w:hAnsi="Times New Roman"/>
          <w:color w:val="000000"/>
          <w:sz w:val="24"/>
          <w:szCs w:val="24"/>
        </w:rPr>
        <w:t xml:space="preserve">Ningún número agregado distingue esos dos casos; la matriz sí. En la Figura 14 se ve que el baseline trivial concentra todos sus errores en la columna de Continuidad: 24 máximos y 22 mínimos clasificados como "no pasa nada". No comete ni un solo error de dirección, porque nunca anuncia dirección alguna.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3.5 Exactitud</w:t>
      </w:r>
    </w:p>
    <w:p>
      <w:pPr>
        <w:spacing w:after="0" w:line="480" w:lineRule="auto"/>
        <w:ind w:firstLine="720"/>
      </w:pPr>
      <w:r>
        <w:rPr>
          <w:rFonts w:ascii="Times New Roman" w:cs="Times New Roman" w:eastAsia="Times New Roman" w:hAnsi="Times New Roman"/>
          <w:color w:val="000000"/>
          <w:sz w:val="24"/>
          <w:szCs w:val="24"/>
        </w:rPr>
        <w:t xml:space="preserve">Se reporta, pero </w:t>
      </w:r>
      <w:r>
        <w:rPr>
          <w:rFonts w:ascii="Times New Roman" w:cs="Times New Roman" w:eastAsia="Times New Roman" w:hAnsi="Times New Roman"/>
          <w:b/>
          <w:bCs/>
          <w:color w:val="000000"/>
          <w:sz w:val="24"/>
          <w:szCs w:val="24"/>
        </w:rPr>
        <w:t xml:space="preserve">solo para mostrar por qué no sirve</w:t>
      </w:r>
      <w:r>
        <w:rPr>
          <w:rFonts w:ascii="Times New Roman" w:cs="Times New Roman" w:eastAsia="Times New Roman" w:hAnsi="Times New Roman"/>
          <w:color w:val="000000"/>
          <w:sz w:val="24"/>
          <w:szCs w:val="24"/>
        </w:rPr>
        <w:t xml:space="preserve">. Las Tablas 4 y 3 son el argumento completo, y tenerlo medido en el informe es más convincente que argumentarlo.</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4. Una advertencia sobre cómo leer la matriz de confusión de este problema</w:t>
      </w:r>
    </w:p>
    <w:p>
      <w:pPr>
        <w:spacing w:after="0" w:line="480" w:lineRule="auto"/>
        <w:ind w:firstLine="720"/>
      </w:pPr>
      <w:r>
        <w:rPr>
          <w:rFonts w:ascii="Times New Roman" w:cs="Times New Roman" w:eastAsia="Times New Roman" w:hAnsi="Times New Roman"/>
          <w:color w:val="000000"/>
          <w:sz w:val="24"/>
          <w:szCs w:val="24"/>
        </w:rPr>
        <w:t xml:space="preserve">La medición de sensibilidad al ruido de la sección 8.4 de </w:t>
      </w:r>
      <w:r>
        <w:rPr>
          <w:rFonts w:ascii="Courier New" w:cs="Courier New" w:eastAsia="Courier New" w:hAnsi="Courier New"/>
          <w:color w:val="000000"/>
          <w:sz w:val="22"/>
          <w:szCs w:val="22"/>
        </w:rPr>
        <w:t xml:space="preserve">m2-criptoactivos.md</w:t>
      </w:r>
      <w:r>
        <w:rPr>
          <w:rFonts w:ascii="Times New Roman" w:cs="Times New Roman" w:eastAsia="Times New Roman" w:hAnsi="Times New Roman"/>
          <w:color w:val="000000"/>
          <w:sz w:val="24"/>
          <w:szCs w:val="24"/>
        </w:rPr>
        <w:t xml:space="preserve"> arrojó un resultado que condiciona la lectura de todas las métricas anteriores: </w:t>
      </w:r>
      <w:r>
        <w:rPr>
          <w:rFonts w:ascii="Times New Roman" w:cs="Times New Roman" w:eastAsia="Times New Roman" w:hAnsi="Times New Roman"/>
          <w:b/>
          <w:bCs/>
          <w:color w:val="000000"/>
          <w:sz w:val="24"/>
          <w:szCs w:val="24"/>
        </w:rPr>
        <w:t xml:space="preserve">el modo de fallo dominante del etiquetado bajo ruido no es perder giros, es correrlos una vela de lugar</w:t>
      </w:r>
      <w:r>
        <w:rPr>
          <w:rFonts w:ascii="Times New Roman" w:cs="Times New Roman" w:eastAsia="Times New Roman" w:hAnsi="Times New Roman"/>
          <w:color w:val="000000"/>
          <w:sz w:val="24"/>
          <w:szCs w:val="24"/>
        </w:rPr>
        <w:t xml:space="preserve">. Con un ruido equivalente al 72 % del movimiento típico por vela, el detector encuentra el 96,0 % de los giros verdaderos pero solo el 72,9 % cae en la vela exacta.</w:t>
      </w:r>
    </w:p>
    <w:p>
      <w:pPr>
        <w:spacing w:after="0" w:line="480" w:lineRule="auto"/>
        <w:ind w:firstLine="720"/>
      </w:pPr>
      <w:r>
        <w:rPr>
          <w:rFonts w:ascii="Times New Roman" w:cs="Times New Roman" w:eastAsia="Times New Roman" w:hAnsi="Times New Roman"/>
          <w:color w:val="000000"/>
          <w:sz w:val="24"/>
          <w:szCs w:val="24"/>
        </w:rPr>
        <w:t xml:space="preserve">Las cuatro métricas de esta sección evalúan vela a vela, sin ninguna tolerancia temporal. Eso significa que un modelo que anuncie un máximo una vela antes o después del real será penalizado igual que uno que no lo anuncie nunca: la matriz de confusión lo registrará como un falso positivo en Máximo más un falso negativo en Máximo. </w:t>
      </w:r>
      <w:r>
        <w:rPr>
          <w:rFonts w:ascii="Times New Roman" w:cs="Times New Roman" w:eastAsia="Times New Roman" w:hAnsi="Times New Roman"/>
          <w:b/>
          <w:bCs/>
          <w:color w:val="000000"/>
          <w:sz w:val="24"/>
          <w:szCs w:val="24"/>
        </w:rPr>
        <w:t xml:space="preserve">Conviene tenerlo presente al interpretar los resultados y decirlo explícitamente en el informe</w:t>
      </w:r>
      <w:r>
        <w:rPr>
          <w:rFonts w:ascii="Times New Roman" w:cs="Times New Roman" w:eastAsia="Times New Roman" w:hAnsi="Times New Roman"/>
          <w:color w:val="000000"/>
          <w:sz w:val="24"/>
          <w:szCs w:val="24"/>
        </w:rPr>
        <w:t xml:space="preserve">, porque la diferencia entre "el modelo no detecta los giros" y "el modelo los detecta con un desfase de una vela" es enorme en términos prácticos y nula en términos de F1.</w:t>
      </w:r>
    </w:p>
    <w:p>
      <w:pPr>
        <w:spacing w:after="0" w:line="480" w:lineRule="auto"/>
        <w:ind w:firstLine="720"/>
      </w:pPr>
      <w:r>
        <w:rPr>
          <w:rFonts w:ascii="Times New Roman" w:cs="Times New Roman" w:eastAsia="Times New Roman" w:hAnsi="Times New Roman"/>
          <w:color w:val="000000"/>
          <w:sz w:val="24"/>
          <w:szCs w:val="24"/>
        </w:rPr>
        <w:t xml:space="preserve">No proponemos cambiar las métricas: el enunciado pide estas y la comparación entre modelos tiene que hacerse sobre una definición fija. Lo que proponemos es </w:t>
      </w:r>
      <w:r>
        <w:rPr>
          <w:rFonts w:ascii="Times New Roman" w:cs="Times New Roman" w:eastAsia="Times New Roman" w:hAnsi="Times New Roman"/>
          <w:b/>
          <w:bCs/>
          <w:color w:val="000000"/>
          <w:sz w:val="24"/>
          <w:szCs w:val="24"/>
        </w:rPr>
        <w:t xml:space="preserve">reportar además, como análisis complementario, la distribución del desfase temporal de las detecciones</w:t>
      </w:r>
      <w:r>
        <w:rPr>
          <w:rFonts w:ascii="Times New Roman" w:cs="Times New Roman" w:eastAsia="Times New Roman" w:hAnsi="Times New Roman"/>
          <w:color w:val="000000"/>
          <w:sz w:val="24"/>
          <w:szCs w:val="24"/>
        </w:rPr>
        <w:t xml:space="preserve">, que es información que las cuatro métricas oficiales no pueden expresar.</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5. El baseline como piso obligatorio</w:t>
      </w:r>
    </w:p>
    <w:p>
      <w:pPr>
        <w:spacing w:after="0" w:line="480" w:lineRule="auto"/>
        <w:ind w:firstLine="720"/>
      </w:pPr>
      <w:r>
        <w:rPr>
          <w:rFonts w:ascii="Times New Roman" w:cs="Times New Roman" w:eastAsia="Times New Roman" w:hAnsi="Times New Roman"/>
          <w:color w:val="000000"/>
          <w:sz w:val="24"/>
          <w:szCs w:val="24"/>
        </w:rPr>
        <w:t xml:space="preserve">El criterio de decisión del proyecto, fijado antes de ver ningún resultado:</w:t>
      </w:r>
    </w:p>
    <w:p>
      <w:pPr>
        <w:spacing w:after="0" w:line="480" w:lineRule="auto"/>
        <w:ind w:left="720"/>
      </w:pPr>
      <w:r>
        <w:rPr>
          <w:rFonts w:ascii="Times New Roman" w:cs="Times New Roman" w:eastAsia="Times New Roman" w:hAnsi="Times New Roman"/>
          <w:b/>
          <w:bCs/>
          <w:color w:val="000000"/>
          <w:sz w:val="24"/>
          <w:szCs w:val="24"/>
        </w:rPr>
        <w:t xml:space="preserve">Todo modelo se compara contra los tres baselines, y si no supera al mejor de ellos en F1 macro por al menos </w:t>
      </w:r>
      <w:r>
        <w:rPr>
          <w:rFonts w:ascii="Courier New" w:cs="Courier New" w:eastAsia="Courier New" w:hAnsi="Courier New"/>
          <w:b/>
          <w:bCs/>
          <w:color w:val="000000"/>
          <w:sz w:val="22"/>
          <w:szCs w:val="22"/>
        </w:rPr>
        <w:t xml:space="preserve">DELTA_F1_DECISIVO = 0,02</w:t>
      </w:r>
      <w:r>
        <w:rPr>
          <w:rFonts w:ascii="Times New Roman" w:cs="Times New Roman" w:eastAsia="Times New Roman" w:hAnsi="Times New Roman"/>
          <w:b/>
          <w:bCs/>
          <w:color w:val="000000"/>
          <w:sz w:val="24"/>
          <w:szCs w:val="24"/>
        </w:rPr>
        <w:t xml:space="preserve">, no aporta nada</w:t>
      </w:r>
      <w:r>
        <w:rPr>
          <w:rFonts w:ascii="Times New Roman" w:cs="Times New Roman" w:eastAsia="Times New Roman" w:hAnsi="Times New Roman"/>
          <w:color w:val="000000"/>
          <w:sz w:val="24"/>
          <w:szCs w:val="24"/>
        </w:rPr>
        <w:t xml:space="preserve"> —por mucho que su exactitud impresione en una lámina.</w:t>
      </w:r>
    </w:p>
    <w:p>
      <w:pPr>
        <w:spacing w:after="0" w:line="480" w:lineRule="auto"/>
        <w:ind w:firstLine="720"/>
      </w:pPr>
      <w:r>
        <w:rPr>
          <w:rFonts w:ascii="Times New Roman" w:cs="Times New Roman" w:eastAsia="Times New Roman" w:hAnsi="Times New Roman"/>
          <w:color w:val="000000"/>
          <w:sz w:val="24"/>
          <w:szCs w:val="24"/>
        </w:rPr>
        <w:t xml:space="preserve">Los tres baselines existen porque cada uno descarta una explicación alternativa distinta del resultado de un modelo: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Trivial</w:t>
      </w:r>
      <w:r>
        <w:rPr>
          <w:rFonts w:ascii="Times New Roman" w:cs="Times New Roman" w:eastAsia="Times New Roman" w:hAnsi="Times New Roman"/>
          <w:color w:val="000000"/>
          <w:sz w:val="24"/>
          <w:szCs w:val="24"/>
        </w:rPr>
        <w:t xml:space="preserve"> (siempre Continuidad): descarta que el modelo esté simplemente explotando el desbalance.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Mayoritario</w:t>
      </w:r>
      <w:r>
        <w:rPr>
          <w:rFonts w:ascii="Times New Roman" w:cs="Times New Roman" w:eastAsia="Times New Roman" w:hAnsi="Times New Roman"/>
          <w:color w:val="000000"/>
          <w:sz w:val="24"/>
          <w:szCs w:val="24"/>
        </w:rPr>
        <w:t xml:space="preserve"> (la clase más frecuente del entrenamiento): descarta lo mismo sin asumir de antemano cuál es la clase dominante, de modo que sigue siendo válido si se cambia </w:t>
      </w:r>
      <w:r>
        <w:rPr>
          <w:rFonts w:ascii="Courier New" w:cs="Courier New" w:eastAsia="Courier New" w:hAnsi="Courier New"/>
          <w:color w:val="000000"/>
          <w:sz w:val="22"/>
          <w:szCs w:val="22"/>
        </w:rPr>
        <w:t xml:space="preserve">(w, h)</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Aleatorio</w:t>
      </w:r>
      <w:r>
        <w:rPr>
          <w:rFonts w:ascii="Times New Roman" w:cs="Times New Roman" w:eastAsia="Times New Roman" w:hAnsi="Times New Roman"/>
          <w:color w:val="000000"/>
          <w:sz w:val="24"/>
          <w:szCs w:val="24"/>
        </w:rPr>
        <w:t xml:space="preserve"> (respetando las frecuencias de clase): descarta que los aciertos del modelo sobre las clases raras se expliquen por la frecuencia con que las anuncia. Es el más exigente de los tres en F1 macro, como muestra la Tabla 5, y por eso es el que hay que superar.</w:t>
      </w:r>
    </w:p>
    <w:p>
      <w:pPr>
        <w:spacing w:after="0" w:line="480" w:lineRule="auto"/>
        <w:ind w:firstLine="720"/>
      </w:pPr>
      <w:r>
        <w:rPr>
          <w:rFonts w:ascii="Times New Roman" w:cs="Times New Roman" w:eastAsia="Times New Roman" w:hAnsi="Times New Roman"/>
          <w:color w:val="000000"/>
          <w:sz w:val="24"/>
          <w:szCs w:val="24"/>
        </w:rPr>
        <w:t xml:space="preserve">Que el aleatorio resulte ser el piso más alto en F1 macro (0,320 contra 0,308 del trivial) es en sí mismo un resultado útil: </w:t>
      </w:r>
      <w:r>
        <w:rPr>
          <w:rFonts w:ascii="Times New Roman" w:cs="Times New Roman" w:eastAsia="Times New Roman" w:hAnsi="Times New Roman"/>
          <w:b/>
          <w:bCs/>
          <w:color w:val="000000"/>
          <w:sz w:val="24"/>
          <w:szCs w:val="24"/>
        </w:rPr>
        <w:t xml:space="preserve">fija la vara en el número correcto</w:t>
      </w:r>
      <w:r>
        <w:rPr>
          <w:rFonts w:ascii="Times New Roman" w:cs="Times New Roman" w:eastAsia="Times New Roman" w:hAnsi="Times New Roman"/>
          <w:color w:val="000000"/>
          <w:sz w:val="24"/>
          <w:szCs w:val="24"/>
        </w:rPr>
        <w:t xml:space="preserve">. Un modelo que reportara un F1 macro de 0,31 habría superado al baseline trivial y no habría demostrado nada.</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spacing w:after="0" w:line="480" w:lineRule="auto"/>
        <w:ind w:firstLine="720"/>
      </w:pPr>
      <w:r>
        <w:rPr>
          <w:rFonts w:ascii="Times New Roman" w:cs="Times New Roman" w:eastAsia="Times New Roman" w:hAnsi="Times New Roman"/>
          <w:color w:val="000000"/>
          <w:sz w:val="24"/>
          <w:szCs w:val="24"/>
        </w:rPr>
        <w:t xml:space="preserve">El marco teórico desarrollado permite extraer cuatro conclusiones que condicionan de manera directa el diseño del modelo, y que se enuncian aquí porque no son consecuencia de la literatura consultada sino de las mediciones realizadas sobre los datos del proyecto.</w:t>
      </w:r>
    </w:p>
    <w:p>
      <w:pPr>
        <w:spacing w:after="0" w:line="480" w:lineRule="auto"/>
        <w:ind w:firstLine="720"/>
      </w:pPr>
      <w:r>
        <w:rPr>
          <w:rFonts w:ascii="Times New Roman" w:cs="Times New Roman" w:eastAsia="Times New Roman" w:hAnsi="Times New Roman"/>
          <w:b/>
          <w:bCs/>
          <w:color w:val="000000"/>
          <w:sz w:val="24"/>
          <w:szCs w:val="24"/>
        </w:rPr>
        <w:t xml:space="preserve">Primera. La transformación a retornos no es una convención, sino una consecuencia medida.</w:t>
      </w:r>
      <w:r>
        <w:rPr>
          <w:rFonts w:ascii="Times New Roman" w:cs="Times New Roman" w:eastAsia="Times New Roman" w:hAnsi="Times New Roman"/>
          <w:color w:val="000000"/>
          <w:sz w:val="24"/>
          <w:szCs w:val="24"/>
        </w:rPr>
        <w:t xml:space="preserve"> Ninguna de las seis series rechaza la hipótesis de raíz unitaria al trabajar sobre precios en nivel, mientras que las seis la rechazan al hacerlo sobre retornos. La autocorrelación en el primer rezago pasa de 0,991 sobre niveles a −0,036 sobre retornos, lo que confirma el mismo hecho desde un ángulo distinto. En consecuencia, las características del modelo se construyen sobre retornos y sobre estadísticos normalizados por ventana, y no sobre magnitudes absolutas de precio.</w:t>
      </w:r>
    </w:p>
    <w:p>
      <w:pPr>
        <w:spacing w:after="0" w:line="480" w:lineRule="auto"/>
        <w:ind w:firstLine="720"/>
      </w:pPr>
      <w:r>
        <w:rPr>
          <w:rFonts w:ascii="Times New Roman" w:cs="Times New Roman" w:eastAsia="Times New Roman" w:hAnsi="Times New Roman"/>
          <w:b/>
          <w:bCs/>
          <w:color w:val="000000"/>
          <w:sz w:val="24"/>
          <w:szCs w:val="24"/>
        </w:rPr>
        <w:t xml:space="preserve">Segunda. La ausencia de autocorrelación lineal en los retornos justifica el enfoque del proyecto.</w:t>
      </w:r>
      <w:r>
        <w:rPr>
          <w:rFonts w:ascii="Times New Roman" w:cs="Times New Roman" w:eastAsia="Times New Roman" w:hAnsi="Times New Roman"/>
          <w:color w:val="000000"/>
          <w:sz w:val="24"/>
          <w:szCs w:val="24"/>
        </w:rPr>
        <w:t xml:space="preserve"> De los cuarenta rezagos examinados, únicamente tres exceden la banda de confianza del 95 %. Un modelo lineal construido sobre precios rezagados dispondría, por tanto, de muy poca estructura que explotar. Lejos de constituir un resultado negativo, esta observación es el argumento medido que sustenta el recurso a modelos no lineales y multivariantes, que es precisamente el planteamiento del caso.</w:t>
      </w:r>
    </w:p>
    <w:p>
      <w:pPr>
        <w:spacing w:after="0" w:line="480" w:lineRule="auto"/>
        <w:ind w:firstLine="720"/>
      </w:pPr>
      <w:r>
        <w:rPr>
          <w:rFonts w:ascii="Times New Roman" w:cs="Times New Roman" w:eastAsia="Times New Roman" w:hAnsi="Times New Roman"/>
          <w:b/>
          <w:bCs/>
          <w:color w:val="000000"/>
          <w:sz w:val="24"/>
          <w:szCs w:val="24"/>
        </w:rPr>
        <w:t xml:space="preserve">Tercera. La dependencia entre criptoactivos existe, pero debe medirse sobre retornos.</w:t>
      </w:r>
      <w:r>
        <w:rPr>
          <w:rFonts w:ascii="Times New Roman" w:cs="Times New Roman" w:eastAsia="Times New Roman" w:hAnsi="Times New Roman"/>
          <w:color w:val="000000"/>
          <w:sz w:val="24"/>
          <w:szCs w:val="24"/>
        </w:rPr>
        <w:t xml:space="preserve"> Calculada sobre precios en nivel, la correlación entre pares recorre un rango de 0,126 a 0,888 y produce un ordenamiento económicamente implausible, al atribuir a Litecoin una relación casi nula con Bitcoin. Calculada sobre retornos, el rango se estrecha a 0,475–0,806 y el ordenamiento resulta coherente con la estructura del mercado. La magnitud de esas correlaciones es lo que justifica que el problema se plantee como multivariante: si Litecoin se moviera de forma independiente, las cinco variables de apoyo serían redundantes.</w:t>
      </w:r>
    </w:p>
    <w:p>
      <w:pPr>
        <w:spacing w:after="0" w:line="480" w:lineRule="auto"/>
        <w:ind w:firstLine="720"/>
      </w:pPr>
      <w:r>
        <w:rPr>
          <w:rFonts w:ascii="Times New Roman" w:cs="Times New Roman" w:eastAsia="Times New Roman" w:hAnsi="Times New Roman"/>
          <w:b/>
          <w:bCs/>
          <w:color w:val="000000"/>
          <w:sz w:val="24"/>
          <w:szCs w:val="24"/>
        </w:rPr>
        <w:t xml:space="preserve">Cuarta. El desbalance de clases es estructural y determina la elección de las métricas.</w:t>
      </w:r>
      <w:r>
        <w:rPr>
          <w:rFonts w:ascii="Times New Roman" w:cs="Times New Roman" w:eastAsia="Times New Roman" w:hAnsi="Times New Roman"/>
          <w:color w:val="000000"/>
          <w:sz w:val="24"/>
          <w:szCs w:val="24"/>
        </w:rPr>
        <w:t xml:space="preserve"> Puesto que dos máximos no pueden situarse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observaciones de distancia, a lo sumo una de cada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puede clasificarse como máximo. El desbalance no es, por tanto, un defecto de la muestra que pueda corregirse recogiendo mejor los datos, sino una propiedad permanente del problema. Su consecuencia es directa: un modelo que no detecte ningún punto de inflexión alcanza una exactitud del 86,9 %, de modo que la exactitud queda descartada como métrica de decisión en favor del F1 macro y la Precisión Direccional.</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color w:val="000000"/>
          <w:sz w:val="24"/>
          <w:szCs w:val="24"/>
        </w:rPr>
        <w:t xml:space="preserve">Tres advertencias que conviene explicitar, y que se retomarán en las entregas siguientes.</w:t>
      </w:r>
    </w:p>
    <w:p>
      <w:pPr>
        <w:spacing w:after="0" w:line="480" w:lineRule="auto"/>
        <w:ind w:firstLine="720"/>
      </w:pPr>
      <w:r>
        <w:rPr>
          <w:rFonts w:ascii="Times New Roman" w:cs="Times New Roman" w:eastAsia="Times New Roman" w:hAnsi="Times New Roman"/>
          <w:color w:val="000000"/>
          <w:sz w:val="24"/>
          <w:szCs w:val="24"/>
        </w:rPr>
        <w:t xml:space="preserve">Los precios proceden de un único mercado y no de un promedio ponderado de la industria, de manera que los puntos de inflexión identificados lo son respecto de la formación de precios de esa plaza. La ventana temporal, acotada por el listado de Solana, sacrifica aproximadamente un tercio del historial disponible de Litecoin a cambio de poder plantear el problema como multivariante. Y la definición operativa del punto de inflexión depende de una ventana cuyo valor se fija por criterio del equipo, de modo que la escala del fenómeno estudiado es una elección metodológica y no una propiedad del mercado.</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Trabajo siguiente</w:t>
      </w:r>
    </w:p>
    <w:p>
      <w:pPr>
        <w:spacing w:after="0" w:line="480" w:lineRule="auto"/>
        <w:ind w:firstLine="720"/>
      </w:pPr>
      <w:r>
        <w:rPr>
          <w:rFonts w:ascii="Times New Roman" w:cs="Times New Roman" w:eastAsia="Times New Roman" w:hAnsi="Times New Roman"/>
          <w:color w:val="000000"/>
          <w:sz w:val="24"/>
          <w:szCs w:val="24"/>
        </w:rPr>
        <w:t xml:space="preserve">La segunda entrega aborda el marco teórico de los modelos estadísticos y de aprendizaje automático aplicables a series temporales, así como la definición del procedimiento completo de desarrollo: extracción y limpieza de datos, análisis exploratorio, ingeniería de características, selección del modelo, entrenamiento, optimización de hiperparámetros y evaluación. Las decisiones sobre granularidad de las observaciones y sobre los parámetros que definen el punto de inflexión se documentan en esa entrega, por corresponder a la etapa de extracción de datos del procedimiento.</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left="720" w:hanging="720"/>
      </w:pPr>
      <w:r>
        <w:rPr>
          <w:rFonts w:ascii="Times New Roman" w:cs="Times New Roman" w:eastAsia="Times New Roman" w:hAnsi="Times New Roman"/>
          <w:color w:val="000000"/>
          <w:sz w:val="24"/>
          <w:szCs w:val="24"/>
        </w:rPr>
        <w:t xml:space="preserve">Auer, R., &amp; Claessens, S. (2018). Regulating cryptocurrencies: Assessing market reactions. </w:t>
      </w:r>
      <w:r>
        <w:rPr>
          <w:rFonts w:ascii="Times New Roman" w:cs="Times New Roman" w:eastAsia="Times New Roman" w:hAnsi="Times New Roman"/>
          <w:i/>
          <w:iCs/>
          <w:color w:val="000000"/>
          <w:sz w:val="24"/>
          <w:szCs w:val="24"/>
        </w:rPr>
        <w:t xml:space="preserve">BIS Quarterly Review</w:t>
      </w:r>
      <w:r>
        <w:rPr>
          <w:rFonts w:ascii="Times New Roman" w:cs="Times New Roman" w:eastAsia="Times New Roman" w:hAnsi="Times New Roman"/>
          <w:color w:val="000000"/>
          <w:sz w:val="24"/>
          <w:szCs w:val="24"/>
        </w:rPr>
        <w:t xml:space="preserve">, septiembre, 51–65.</w:t>
      </w:r>
    </w:p>
    <w:p>
      <w:pPr>
        <w:spacing w:after="0" w:line="480" w:lineRule="auto"/>
        <w:ind w:left="720" w:hanging="720"/>
      </w:pPr>
      <w:r>
        <w:rPr>
          <w:rFonts w:ascii="Times New Roman" w:cs="Times New Roman" w:eastAsia="Times New Roman" w:hAnsi="Times New Roman"/>
          <w:color w:val="000000"/>
          <w:sz w:val="24"/>
          <w:szCs w:val="24"/>
        </w:rPr>
        <w:t xml:space="preserve">Baur, D. G., Hong, K., &amp; Lee, A. D. (2018). Bitcoin: Medium of exchange or speculative assets? </w:t>
      </w:r>
      <w:r>
        <w:rPr>
          <w:rFonts w:ascii="Times New Roman" w:cs="Times New Roman" w:eastAsia="Times New Roman" w:hAnsi="Times New Roman"/>
          <w:i/>
          <w:iCs/>
          <w:color w:val="000000"/>
          <w:sz w:val="24"/>
          <w:szCs w:val="24"/>
        </w:rPr>
        <w:t xml:space="preserve">Journal of International Financial Markets, Institutions and Money, 54</w:t>
      </w:r>
      <w:r>
        <w:rPr>
          <w:rFonts w:ascii="Times New Roman" w:cs="Times New Roman" w:eastAsia="Times New Roman" w:hAnsi="Times New Roman"/>
          <w:color w:val="000000"/>
          <w:sz w:val="24"/>
          <w:szCs w:val="24"/>
        </w:rPr>
        <w:t xml:space="preserve">, 177–189. https://doi.org/10.1016/j.intfin.2017.12.004</w:t>
      </w:r>
    </w:p>
    <w:p>
      <w:pPr>
        <w:spacing w:after="0" w:line="480" w:lineRule="auto"/>
        <w:ind w:left="720" w:hanging="720"/>
      </w:pPr>
      <w:r>
        <w:rPr>
          <w:rFonts w:ascii="Times New Roman" w:cs="Times New Roman" w:eastAsia="Times New Roman" w:hAnsi="Times New Roman"/>
          <w:color w:val="000000"/>
          <w:sz w:val="24"/>
          <w:szCs w:val="24"/>
        </w:rPr>
        <w:t xml:space="preserve">Bergmeir, C., &amp; Benítez, J. M. (2012). On the use of cross-validation for time series predictor evaluation. </w:t>
      </w:r>
      <w:r>
        <w:rPr>
          <w:rFonts w:ascii="Times New Roman" w:cs="Times New Roman" w:eastAsia="Times New Roman" w:hAnsi="Times New Roman"/>
          <w:i/>
          <w:iCs/>
          <w:color w:val="000000"/>
          <w:sz w:val="24"/>
          <w:szCs w:val="24"/>
        </w:rPr>
        <w:t xml:space="preserve">Information Sciences, 191</w:t>
      </w:r>
      <w:r>
        <w:rPr>
          <w:rFonts w:ascii="Times New Roman" w:cs="Times New Roman" w:eastAsia="Times New Roman" w:hAnsi="Times New Roman"/>
          <w:color w:val="000000"/>
          <w:sz w:val="24"/>
          <w:szCs w:val="24"/>
        </w:rPr>
        <w:t xml:space="preserve">, 192–213. https://doi.org/10.1016/j.ins.2011.12.028</w:t>
      </w:r>
    </w:p>
    <w:p>
      <w:pPr>
        <w:spacing w:after="0" w:line="480" w:lineRule="auto"/>
        <w:ind w:left="720" w:hanging="720"/>
      </w:pPr>
      <w:r>
        <w:rPr>
          <w:rFonts w:ascii="Times New Roman" w:cs="Times New Roman" w:eastAsia="Times New Roman" w:hAnsi="Times New Roman"/>
          <w:color w:val="000000"/>
          <w:sz w:val="24"/>
          <w:szCs w:val="24"/>
        </w:rPr>
        <w:t xml:space="preserve">Blaskowitz, O., &amp; Herwartz, H. (2011). On economic evaluation of directional forecasts. </w:t>
      </w:r>
      <w:r>
        <w:rPr>
          <w:rFonts w:ascii="Times New Roman" w:cs="Times New Roman" w:eastAsia="Times New Roman" w:hAnsi="Times New Roman"/>
          <w:i/>
          <w:iCs/>
          <w:color w:val="000000"/>
          <w:sz w:val="24"/>
          <w:szCs w:val="24"/>
        </w:rPr>
        <w:t xml:space="preserve">International Journal of Forecasting, 27</w:t>
      </w:r>
      <w:r>
        <w:rPr>
          <w:rFonts w:ascii="Times New Roman" w:cs="Times New Roman" w:eastAsia="Times New Roman" w:hAnsi="Times New Roman"/>
          <w:color w:val="000000"/>
          <w:sz w:val="24"/>
          <w:szCs w:val="24"/>
        </w:rPr>
        <w:t xml:space="preserve">(4), 1058–1065. https://doi.org/10.1016/j.ijforecast.2010.07.002</w:t>
      </w:r>
    </w:p>
    <w:p>
      <w:pPr>
        <w:spacing w:after="0" w:line="480" w:lineRule="auto"/>
        <w:ind w:left="720" w:hanging="720"/>
      </w:pPr>
      <w:r>
        <w:rPr>
          <w:rFonts w:ascii="Times New Roman" w:cs="Times New Roman" w:eastAsia="Times New Roman" w:hAnsi="Times New Roman"/>
          <w:color w:val="000000"/>
          <w:sz w:val="24"/>
          <w:szCs w:val="24"/>
        </w:rPr>
        <w:t xml:space="preserve">Böhme, R., Christin, N., Edelman, B., &amp; Moore, T. (2015). Bitcoin: Economics, technology, and governance. </w:t>
      </w:r>
      <w:r>
        <w:rPr>
          <w:rFonts w:ascii="Times New Roman" w:cs="Times New Roman" w:eastAsia="Times New Roman" w:hAnsi="Times New Roman"/>
          <w:i/>
          <w:iCs/>
          <w:color w:val="000000"/>
          <w:sz w:val="24"/>
          <w:szCs w:val="24"/>
        </w:rPr>
        <w:t xml:space="preserve">Journal of Economic Perspectives, 29</w:t>
      </w:r>
      <w:r>
        <w:rPr>
          <w:rFonts w:ascii="Times New Roman" w:cs="Times New Roman" w:eastAsia="Times New Roman" w:hAnsi="Times New Roman"/>
          <w:color w:val="000000"/>
          <w:sz w:val="24"/>
          <w:szCs w:val="24"/>
        </w:rPr>
        <w:t xml:space="preserve">(2), 213–238. https://doi.org/10.1257/jep.29.2.213</w:t>
      </w:r>
    </w:p>
    <w:p>
      <w:pPr>
        <w:spacing w:after="0" w:line="480" w:lineRule="auto"/>
        <w:ind w:left="720" w:hanging="720"/>
      </w:pPr>
      <w:r>
        <w:rPr>
          <w:rFonts w:ascii="Times New Roman" w:cs="Times New Roman" w:eastAsia="Times New Roman" w:hAnsi="Times New Roman"/>
          <w:color w:val="000000"/>
          <w:sz w:val="24"/>
          <w:szCs w:val="24"/>
        </w:rPr>
        <w:t xml:space="preserve">Caporale, G. M., &amp; Zekokh, T. (2019). Modelling volatility of cryptocurrencies using Markov-Switching GARCH models. </w:t>
      </w:r>
      <w:r>
        <w:rPr>
          <w:rFonts w:ascii="Times New Roman" w:cs="Times New Roman" w:eastAsia="Times New Roman" w:hAnsi="Times New Roman"/>
          <w:i/>
          <w:iCs/>
          <w:color w:val="000000"/>
          <w:sz w:val="24"/>
          <w:szCs w:val="24"/>
        </w:rPr>
        <w:t xml:space="preserve">Research in International Business and Finance, 48</w:t>
      </w:r>
      <w:r>
        <w:rPr>
          <w:rFonts w:ascii="Times New Roman" w:cs="Times New Roman" w:eastAsia="Times New Roman" w:hAnsi="Times New Roman"/>
          <w:color w:val="000000"/>
          <w:sz w:val="24"/>
          <w:szCs w:val="24"/>
        </w:rPr>
        <w:t xml:space="preserve">, 143–155. https://doi.org/10.1016/j.ribaf.2018.12.009</w:t>
      </w:r>
    </w:p>
    <w:p>
      <w:pPr>
        <w:spacing w:after="0" w:line="480" w:lineRule="auto"/>
        <w:ind w:left="720" w:hanging="720"/>
      </w:pPr>
      <w:r>
        <w:rPr>
          <w:rFonts w:ascii="Times New Roman" w:cs="Times New Roman" w:eastAsia="Times New Roman" w:hAnsi="Times New Roman"/>
          <w:color w:val="000000"/>
          <w:sz w:val="24"/>
          <w:szCs w:val="24"/>
        </w:rPr>
        <w:t xml:space="preserve">Chicco, D., &amp; Jurman, G. (2020). The advantages of the Matthews correlation coefficient (MCC) over F1 score and accuracy in binary classification evaluation. </w:t>
      </w:r>
      <w:r>
        <w:rPr>
          <w:rFonts w:ascii="Times New Roman" w:cs="Times New Roman" w:eastAsia="Times New Roman" w:hAnsi="Times New Roman"/>
          <w:i/>
          <w:iCs/>
          <w:color w:val="000000"/>
          <w:sz w:val="24"/>
          <w:szCs w:val="24"/>
        </w:rPr>
        <w:t xml:space="preserve">BMC Genomics, 21</w:t>
      </w:r>
      <w:r>
        <w:rPr>
          <w:rFonts w:ascii="Times New Roman" w:cs="Times New Roman" w:eastAsia="Times New Roman" w:hAnsi="Times New Roman"/>
          <w:color w:val="000000"/>
          <w:sz w:val="24"/>
          <w:szCs w:val="24"/>
        </w:rPr>
        <w:t xml:space="preserve">(1), Artículo 6. https://doi.org/10.1186/s12864-019-6413-7</w:t>
      </w:r>
    </w:p>
    <w:p>
      <w:pPr>
        <w:spacing w:after="0" w:line="480" w:lineRule="auto"/>
        <w:ind w:left="720" w:hanging="720"/>
      </w:pPr>
      <w:r>
        <w:rPr>
          <w:rFonts w:ascii="Times New Roman" w:cs="Times New Roman" w:eastAsia="Times New Roman" w:hAnsi="Times New Roman"/>
          <w:color w:val="000000"/>
          <w:sz w:val="24"/>
          <w:szCs w:val="24"/>
        </w:rPr>
        <w:t xml:space="preserve">Farhadpour, S., Warner, T. A., &amp; Maxwell, A. E. (2024). Selecting and interpreting multiclass loss and accuracy assessment metrics for classifications with class imbalance: Guidance and best practices. </w:t>
      </w:r>
      <w:r>
        <w:rPr>
          <w:rFonts w:ascii="Times New Roman" w:cs="Times New Roman" w:eastAsia="Times New Roman" w:hAnsi="Times New Roman"/>
          <w:i/>
          <w:iCs/>
          <w:color w:val="000000"/>
          <w:sz w:val="24"/>
          <w:szCs w:val="24"/>
        </w:rPr>
        <w:t xml:space="preserve">Remote Sensing, 16</w:t>
      </w:r>
      <w:r>
        <w:rPr>
          <w:rFonts w:ascii="Times New Roman" w:cs="Times New Roman" w:eastAsia="Times New Roman" w:hAnsi="Times New Roman"/>
          <w:color w:val="000000"/>
          <w:sz w:val="24"/>
          <w:szCs w:val="24"/>
        </w:rPr>
        <w:t xml:space="preserve">(3), Artículo 533. https://doi.org/10.3390/rs16030533</w:t>
      </w:r>
    </w:p>
    <w:p>
      <w:pPr>
        <w:spacing w:after="0" w:line="480" w:lineRule="auto"/>
        <w:ind w:left="720" w:hanging="720"/>
      </w:pPr>
      <w:r>
        <w:rPr>
          <w:rFonts w:ascii="Times New Roman" w:cs="Times New Roman" w:eastAsia="Times New Roman" w:hAnsi="Times New Roman"/>
          <w:color w:val="000000"/>
          <w:sz w:val="24"/>
          <w:szCs w:val="24"/>
        </w:rPr>
        <w:t xml:space="preserve">Financial Action Task Force. (2021). </w:t>
      </w:r>
      <w:r>
        <w:rPr>
          <w:rFonts w:ascii="Times New Roman" w:cs="Times New Roman" w:eastAsia="Times New Roman" w:hAnsi="Times New Roman"/>
          <w:i/>
          <w:iCs/>
          <w:color w:val="000000"/>
          <w:sz w:val="24"/>
          <w:szCs w:val="24"/>
        </w:rPr>
        <w:t xml:space="preserve">Updated guidance for a risk-based approach to virtual assets and virtual asset service providers</w:t>
      </w:r>
      <w:r>
        <w:rPr>
          <w:rFonts w:ascii="Times New Roman" w:cs="Times New Roman" w:eastAsia="Times New Roman" w:hAnsi="Times New Roman"/>
          <w:color w:val="000000"/>
          <w:sz w:val="24"/>
          <w:szCs w:val="24"/>
        </w:rPr>
        <w:t xml:space="preserve">. FATF.</w:t>
      </w:r>
    </w:p>
    <w:p>
      <w:pPr>
        <w:spacing w:after="0" w:line="480" w:lineRule="auto"/>
        <w:ind w:left="720" w:hanging="720"/>
      </w:pPr>
      <w:r>
        <w:rPr>
          <w:rFonts w:ascii="Times New Roman" w:cs="Times New Roman" w:eastAsia="Times New Roman" w:hAnsi="Times New Roman"/>
          <w:color w:val="000000"/>
          <w:sz w:val="24"/>
          <w:szCs w:val="24"/>
        </w:rPr>
        <w:t xml:space="preserve">Granger, C. W. J., &amp; Newbold, P. (1974). Spurious regressions in econometrics. </w:t>
      </w:r>
      <w:r>
        <w:rPr>
          <w:rFonts w:ascii="Times New Roman" w:cs="Times New Roman" w:eastAsia="Times New Roman" w:hAnsi="Times New Roman"/>
          <w:i/>
          <w:iCs/>
          <w:color w:val="000000"/>
          <w:sz w:val="24"/>
          <w:szCs w:val="24"/>
        </w:rPr>
        <w:t xml:space="preserve">Journal of Econometrics, 2</w:t>
      </w:r>
      <w:r>
        <w:rPr>
          <w:rFonts w:ascii="Times New Roman" w:cs="Times New Roman" w:eastAsia="Times New Roman" w:hAnsi="Times New Roman"/>
          <w:color w:val="000000"/>
          <w:sz w:val="24"/>
          <w:szCs w:val="24"/>
        </w:rPr>
        <w:t xml:space="preserve">(2), 111–120. https://doi.org/10.1016/0304-4076(74)90034-7</w:t>
      </w:r>
    </w:p>
    <w:p>
      <w:pPr>
        <w:spacing w:after="0" w:line="480" w:lineRule="auto"/>
        <w:ind w:left="720" w:hanging="720"/>
      </w:pPr>
      <w:r>
        <w:rPr>
          <w:rFonts w:ascii="Times New Roman" w:cs="Times New Roman" w:eastAsia="Times New Roman" w:hAnsi="Times New Roman"/>
          <w:color w:val="000000"/>
          <w:sz w:val="24"/>
          <w:szCs w:val="24"/>
        </w:rPr>
        <w:t xml:space="preserve">He, H., &amp; Garcia, E. A. (2009). Learning from imbalanced data. </w:t>
      </w:r>
      <w:r>
        <w:rPr>
          <w:rFonts w:ascii="Times New Roman" w:cs="Times New Roman" w:eastAsia="Times New Roman" w:hAnsi="Times New Roman"/>
          <w:i/>
          <w:iCs/>
          <w:color w:val="000000"/>
          <w:sz w:val="24"/>
          <w:szCs w:val="24"/>
        </w:rPr>
        <w:t xml:space="preserve">IEEE Transactions on Knowledge and Data Engineering, 21</w:t>
      </w:r>
      <w:r>
        <w:rPr>
          <w:rFonts w:ascii="Times New Roman" w:cs="Times New Roman" w:eastAsia="Times New Roman" w:hAnsi="Times New Roman"/>
          <w:color w:val="000000"/>
          <w:sz w:val="24"/>
          <w:szCs w:val="24"/>
        </w:rPr>
        <w:t xml:space="preserve">(9), 1263–1284. https://doi.org/10.1109/TKDE.2008.239</w:t>
      </w:r>
    </w:p>
    <w:p>
      <w:pPr>
        <w:spacing w:after="0" w:line="480" w:lineRule="auto"/>
        <w:ind w:left="720" w:hanging="720"/>
      </w:pPr>
      <w:r>
        <w:rPr>
          <w:rFonts w:ascii="Times New Roman" w:cs="Times New Roman" w:eastAsia="Times New Roman" w:hAnsi="Times New Roman"/>
          <w:color w:val="000000"/>
          <w:sz w:val="24"/>
          <w:szCs w:val="24"/>
        </w:rPr>
        <w:t xml:space="preserve">Ji, Q., Bouri, E., Lau, C. K. M., &amp; Roubaud, D. (2019). Dynamic connectedness and integration in cryptocurrency markets. </w:t>
      </w:r>
      <w:r>
        <w:rPr>
          <w:rFonts w:ascii="Times New Roman" w:cs="Times New Roman" w:eastAsia="Times New Roman" w:hAnsi="Times New Roman"/>
          <w:i/>
          <w:iCs/>
          <w:color w:val="000000"/>
          <w:sz w:val="24"/>
          <w:szCs w:val="24"/>
        </w:rPr>
        <w:t xml:space="preserve">International Review of Financial Analysis, 63</w:t>
      </w:r>
      <w:r>
        <w:rPr>
          <w:rFonts w:ascii="Times New Roman" w:cs="Times New Roman" w:eastAsia="Times New Roman" w:hAnsi="Times New Roman"/>
          <w:color w:val="000000"/>
          <w:sz w:val="24"/>
          <w:szCs w:val="24"/>
        </w:rPr>
        <w:t xml:space="preserve">, 257–272. https://doi.org/10.1016/j.irfa.2018.12.002</w:t>
      </w:r>
    </w:p>
    <w:p>
      <w:pPr>
        <w:spacing w:after="0" w:line="480" w:lineRule="auto"/>
        <w:ind w:left="720" w:hanging="720"/>
      </w:pPr>
      <w:r>
        <w:rPr>
          <w:rFonts w:ascii="Times New Roman" w:cs="Times New Roman" w:eastAsia="Times New Roman" w:hAnsi="Times New Roman"/>
          <w:color w:val="000000"/>
          <w:sz w:val="24"/>
          <w:szCs w:val="24"/>
        </w:rPr>
        <w:t xml:space="preserve">Katsiampa, P. (2017). Volatility estimation for Bitcoin: A comparison of GARCH models. </w:t>
      </w:r>
      <w:r>
        <w:rPr>
          <w:rFonts w:ascii="Times New Roman" w:cs="Times New Roman" w:eastAsia="Times New Roman" w:hAnsi="Times New Roman"/>
          <w:i/>
          <w:iCs/>
          <w:color w:val="000000"/>
          <w:sz w:val="24"/>
          <w:szCs w:val="24"/>
        </w:rPr>
        <w:t xml:space="preserve">Economics Letters, 158</w:t>
      </w:r>
      <w:r>
        <w:rPr>
          <w:rFonts w:ascii="Times New Roman" w:cs="Times New Roman" w:eastAsia="Times New Roman" w:hAnsi="Times New Roman"/>
          <w:color w:val="000000"/>
          <w:sz w:val="24"/>
          <w:szCs w:val="24"/>
        </w:rPr>
        <w:t xml:space="preserve">, 3–6. https://doi.org/10.1016/j.econlet.2017.06.023</w:t>
      </w:r>
    </w:p>
    <w:p>
      <w:pPr>
        <w:spacing w:after="0" w:line="480" w:lineRule="auto"/>
        <w:ind w:left="720" w:hanging="720"/>
      </w:pPr>
      <w:r>
        <w:rPr>
          <w:rFonts w:ascii="Times New Roman" w:cs="Times New Roman" w:eastAsia="Times New Roman" w:hAnsi="Times New Roman"/>
          <w:color w:val="000000"/>
          <w:sz w:val="24"/>
          <w:szCs w:val="24"/>
        </w:rPr>
        <w:t xml:space="preserve">Liu, Y., &amp; Tsyvinski, A. (2021). Risks and returns of cryptocurrency. </w:t>
      </w:r>
      <w:r>
        <w:rPr>
          <w:rFonts w:ascii="Times New Roman" w:cs="Times New Roman" w:eastAsia="Times New Roman" w:hAnsi="Times New Roman"/>
          <w:i/>
          <w:iCs/>
          <w:color w:val="000000"/>
          <w:sz w:val="24"/>
          <w:szCs w:val="24"/>
        </w:rPr>
        <w:t xml:space="preserve">The Review of Financial Studies, 34</w:t>
      </w:r>
      <w:r>
        <w:rPr>
          <w:rFonts w:ascii="Times New Roman" w:cs="Times New Roman" w:eastAsia="Times New Roman" w:hAnsi="Times New Roman"/>
          <w:color w:val="000000"/>
          <w:sz w:val="24"/>
          <w:szCs w:val="24"/>
        </w:rPr>
        <w:t xml:space="preserve">(6), 2689–2727. https://doi.org/10.1093/rfs/hhaa113</w:t>
      </w:r>
    </w:p>
    <w:p>
      <w:pPr>
        <w:spacing w:after="0" w:line="480" w:lineRule="auto"/>
        <w:ind w:left="720" w:hanging="720"/>
      </w:pPr>
      <w:r>
        <w:rPr>
          <w:rFonts w:ascii="Times New Roman" w:cs="Times New Roman" w:eastAsia="Times New Roman" w:hAnsi="Times New Roman"/>
          <w:color w:val="000000"/>
          <w:sz w:val="24"/>
          <w:szCs w:val="24"/>
        </w:rPr>
        <w:t xml:space="preserve">López de Prado, M. (2018). </w:t>
      </w:r>
      <w:r>
        <w:rPr>
          <w:rFonts w:ascii="Times New Roman" w:cs="Times New Roman" w:eastAsia="Times New Roman" w:hAnsi="Times New Roman"/>
          <w:i/>
          <w:iCs/>
          <w:color w:val="000000"/>
          <w:sz w:val="24"/>
          <w:szCs w:val="24"/>
        </w:rPr>
        <w:t xml:space="preserve">Advances in financial machine learning</w:t>
      </w:r>
      <w:r>
        <w:rPr>
          <w:rFonts w:ascii="Times New Roman" w:cs="Times New Roman" w:eastAsia="Times New Roman" w:hAnsi="Times New Roman"/>
          <w:color w:val="000000"/>
          <w:sz w:val="24"/>
          <w:szCs w:val="24"/>
        </w:rPr>
        <w:t xml:space="preserve">. John Wiley &amp; Sons.</w:t>
      </w:r>
    </w:p>
    <w:p>
      <w:pPr>
        <w:spacing w:after="0" w:line="480" w:lineRule="auto"/>
        <w:ind w:left="720" w:hanging="720"/>
      </w:pPr>
      <w:r>
        <w:rPr>
          <w:rFonts w:ascii="Times New Roman" w:cs="Times New Roman" w:eastAsia="Times New Roman" w:hAnsi="Times New Roman"/>
          <w:color w:val="000000"/>
          <w:sz w:val="24"/>
          <w:szCs w:val="24"/>
        </w:rPr>
        <w:t xml:space="preserve">Murphy, J. J. (1999). </w:t>
      </w:r>
      <w:r>
        <w:rPr>
          <w:rFonts w:ascii="Times New Roman" w:cs="Times New Roman" w:eastAsia="Times New Roman" w:hAnsi="Times New Roman"/>
          <w:i/>
          <w:iCs/>
          <w:color w:val="000000"/>
          <w:sz w:val="24"/>
          <w:szCs w:val="24"/>
        </w:rPr>
        <w:t xml:space="preserve">Technical analysis of the financial markets: A comprehensive guide to trading methods and applications</w:t>
      </w:r>
      <w:r>
        <w:rPr>
          <w:rFonts w:ascii="Times New Roman" w:cs="Times New Roman" w:eastAsia="Times New Roman" w:hAnsi="Times New Roman"/>
          <w:color w:val="000000"/>
          <w:sz w:val="24"/>
          <w:szCs w:val="24"/>
        </w:rPr>
        <w:t xml:space="preserve">. New York Institute of Finance.</w:t>
      </w:r>
    </w:p>
    <w:p>
      <w:pPr>
        <w:spacing w:after="0" w:line="480" w:lineRule="auto"/>
        <w:ind w:left="720" w:hanging="720"/>
      </w:pPr>
      <w:r>
        <w:rPr>
          <w:rFonts w:ascii="Times New Roman" w:cs="Times New Roman" w:eastAsia="Times New Roman" w:hAnsi="Times New Roman"/>
          <w:color w:val="000000"/>
          <w:sz w:val="24"/>
          <w:szCs w:val="24"/>
        </w:rPr>
        <w:t xml:space="preserve">Nakamoto, S. (2008). </w:t>
      </w:r>
      <w:r>
        <w:rPr>
          <w:rFonts w:ascii="Times New Roman" w:cs="Times New Roman" w:eastAsia="Times New Roman" w:hAnsi="Times New Roman"/>
          <w:i/>
          <w:iCs/>
          <w:color w:val="000000"/>
          <w:sz w:val="24"/>
          <w:szCs w:val="24"/>
        </w:rPr>
        <w:t xml:space="preserve">Bitcoin: A peer-to-peer electronic cash system</w:t>
      </w:r>
      <w:r>
        <w:rPr>
          <w:rFonts w:ascii="Times New Roman" w:cs="Times New Roman" w:eastAsia="Times New Roman" w:hAnsi="Times New Roman"/>
          <w:color w:val="000000"/>
          <w:sz w:val="24"/>
          <w:szCs w:val="24"/>
        </w:rPr>
        <w:t xml:space="preserve">. https://bitcoin.org/bitcoin.pdf</w:t>
      </w:r>
    </w:p>
    <w:p>
      <w:pPr>
        <w:spacing w:after="0" w:line="480" w:lineRule="auto"/>
        <w:ind w:left="720" w:hanging="720"/>
      </w:pPr>
      <w:r>
        <w:rPr>
          <w:rFonts w:ascii="Times New Roman" w:cs="Times New Roman" w:eastAsia="Times New Roman" w:hAnsi="Times New Roman"/>
          <w:color w:val="000000"/>
          <w:sz w:val="24"/>
          <w:szCs w:val="24"/>
        </w:rPr>
        <w:t xml:space="preserve">Narayanan, A., Bonneau, J., Felten, E., Miller, A., &amp; Goldfeder, S. (2016). </w:t>
      </w:r>
      <w:r>
        <w:rPr>
          <w:rFonts w:ascii="Times New Roman" w:cs="Times New Roman" w:eastAsia="Times New Roman" w:hAnsi="Times New Roman"/>
          <w:i/>
          <w:iCs/>
          <w:color w:val="000000"/>
          <w:sz w:val="24"/>
          <w:szCs w:val="24"/>
        </w:rPr>
        <w:t xml:space="preserve">Bitcoin and cryptocurrency technologies: A comprehensive introduction</w:t>
      </w:r>
      <w:r>
        <w:rPr>
          <w:rFonts w:ascii="Times New Roman" w:cs="Times New Roman" w:eastAsia="Times New Roman" w:hAnsi="Times New Roman"/>
          <w:color w:val="000000"/>
          <w:sz w:val="24"/>
          <w:szCs w:val="24"/>
        </w:rPr>
        <w:t xml:space="preserve">. Princeton University Press.</w:t>
      </w:r>
    </w:p>
    <w:p>
      <w:pPr>
        <w:spacing w:after="0" w:line="480" w:lineRule="auto"/>
        <w:ind w:left="720" w:hanging="720"/>
      </w:pPr>
      <w:r>
        <w:rPr>
          <w:rFonts w:ascii="Times New Roman" w:cs="Times New Roman" w:eastAsia="Times New Roman" w:hAnsi="Times New Roman"/>
          <w:color w:val="000000"/>
          <w:sz w:val="24"/>
          <w:szCs w:val="24"/>
        </w:rPr>
        <w:t xml:space="preserve">Saito, T., &amp; Rehmsmeier, M. (2015). The precision-recall plot is more informative than the ROC plot when evaluating binary classifiers on imbalanced datasets. </w:t>
      </w:r>
      <w:r>
        <w:rPr>
          <w:rFonts w:ascii="Times New Roman" w:cs="Times New Roman" w:eastAsia="Times New Roman" w:hAnsi="Times New Roman"/>
          <w:i/>
          <w:iCs/>
          <w:color w:val="000000"/>
          <w:sz w:val="24"/>
          <w:szCs w:val="24"/>
        </w:rPr>
        <w:t xml:space="preserve">PLOS ONE, 10</w:t>
      </w:r>
      <w:r>
        <w:rPr>
          <w:rFonts w:ascii="Times New Roman" w:cs="Times New Roman" w:eastAsia="Times New Roman" w:hAnsi="Times New Roman"/>
          <w:color w:val="000000"/>
          <w:sz w:val="24"/>
          <w:szCs w:val="24"/>
        </w:rPr>
        <w:t xml:space="preserve">(3), e0118432. https://doi.org/10.1371/journal.pone.0118432</w:t>
      </w:r>
    </w:p>
    <w:p>
      <w:pPr>
        <w:spacing w:after="0" w:line="480" w:lineRule="auto"/>
        <w:ind w:left="720" w:hanging="720"/>
      </w:pPr>
      <w:r>
        <w:rPr>
          <w:rFonts w:ascii="Times New Roman" w:cs="Times New Roman" w:eastAsia="Times New Roman" w:hAnsi="Times New Roman"/>
          <w:color w:val="000000"/>
          <w:sz w:val="24"/>
          <w:szCs w:val="24"/>
        </w:rPr>
        <w:t xml:space="preserve">Sokolova, M., &amp; Lapalme, G. (2009). A systematic analysis of performance measures for classification tasks. </w:t>
      </w:r>
      <w:r>
        <w:rPr>
          <w:rFonts w:ascii="Times New Roman" w:cs="Times New Roman" w:eastAsia="Times New Roman" w:hAnsi="Times New Roman"/>
          <w:i/>
          <w:iCs/>
          <w:color w:val="000000"/>
          <w:sz w:val="24"/>
          <w:szCs w:val="24"/>
        </w:rPr>
        <w:t xml:space="preserve">Information Processing &amp; Management, 45</w:t>
      </w:r>
      <w:r>
        <w:rPr>
          <w:rFonts w:ascii="Times New Roman" w:cs="Times New Roman" w:eastAsia="Times New Roman" w:hAnsi="Times New Roman"/>
          <w:color w:val="000000"/>
          <w:sz w:val="24"/>
          <w:szCs w:val="24"/>
        </w:rPr>
        <w:t xml:space="preserve">(4), 427–437. https://doi.org/10.1016/j.ipm.2009.03.002</w:t>
      </w:r>
    </w:p>
    <w:p>
      <w:pPr>
        <w:spacing w:after="0" w:line="480" w:lineRule="auto"/>
        <w:ind w:left="720" w:hanging="720"/>
      </w:pPr>
      <w:r>
        <w:rPr>
          <w:rFonts w:ascii="Times New Roman" w:cs="Times New Roman" w:eastAsia="Times New Roman" w:hAnsi="Times New Roman"/>
          <w:color w:val="000000"/>
          <w:sz w:val="24"/>
          <w:szCs w:val="24"/>
        </w:rPr>
        <w:t xml:space="preserve">Urquhart, A. (2016). The inefficiency of Bitcoin. </w:t>
      </w:r>
      <w:r>
        <w:rPr>
          <w:rFonts w:ascii="Times New Roman" w:cs="Times New Roman" w:eastAsia="Times New Roman" w:hAnsi="Times New Roman"/>
          <w:i/>
          <w:iCs/>
          <w:color w:val="000000"/>
          <w:sz w:val="24"/>
          <w:szCs w:val="24"/>
        </w:rPr>
        <w:t xml:space="preserve">Economics Letters, 148</w:t>
      </w:r>
      <w:r>
        <w:rPr>
          <w:rFonts w:ascii="Times New Roman" w:cs="Times New Roman" w:eastAsia="Times New Roman" w:hAnsi="Times New Roman"/>
          <w:color w:val="000000"/>
          <w:sz w:val="24"/>
          <w:szCs w:val="24"/>
        </w:rPr>
        <w:t xml:space="preserve">, 80–82. https://doi.org/10.1016/j.econlet.2016.09.019</w:t>
      </w:r>
    </w:p>
    <w:p>
      <w:pPr>
        <w:spacing w:after="0" w:line="480" w:lineRule="auto"/>
        <w:ind w:left="720" w:hanging="720"/>
      </w:pPr>
      <w:r>
        <w:rPr>
          <w:rFonts w:ascii="Times New Roman" w:cs="Times New Roman" w:eastAsia="Times New Roman" w:hAnsi="Times New Roman"/>
          <w:color w:val="000000"/>
          <w:sz w:val="24"/>
          <w:szCs w:val="24"/>
        </w:rPr>
        <w:t xml:space="preserve">Yi, S., Xu, Z., &amp; Wang, G.-J. (2018). Volatility connectedness in the cryptocurrency market: Is Bitcoin a dominant cryptocurrency? </w:t>
      </w:r>
      <w:r>
        <w:rPr>
          <w:rFonts w:ascii="Times New Roman" w:cs="Times New Roman" w:eastAsia="Times New Roman" w:hAnsi="Times New Roman"/>
          <w:i/>
          <w:iCs/>
          <w:color w:val="000000"/>
          <w:sz w:val="24"/>
          <w:szCs w:val="24"/>
        </w:rPr>
        <w:t xml:space="preserve">International Review of Financial Analysis, 60</w:t>
      </w:r>
      <w:r>
        <w:rPr>
          <w:rFonts w:ascii="Times New Roman" w:cs="Times New Roman" w:eastAsia="Times New Roman" w:hAnsi="Times New Roman"/>
          <w:color w:val="000000"/>
          <w:sz w:val="24"/>
          <w:szCs w:val="24"/>
        </w:rPr>
        <w:t xml:space="preserve">, 98–114. https://doi.org/10.1016/j.irfa.2018.08.012</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3eb892c9e97fd75d5066c87e1d9e030a79421f3.png"/><Relationship Id="rId9" Type="http://schemas.openxmlformats.org/officeDocument/2006/relationships/image" Target="media/2aebd1e1bf5cf481e85262d91311a6c6843df99d.png"/><Relationship Id="rId10" Type="http://schemas.openxmlformats.org/officeDocument/2006/relationships/image" Target="media/be9a83ce7568c6d81d4a2bfcb35f7ecfba95f21e.png"/><Relationship Id="rId11" Type="http://schemas.openxmlformats.org/officeDocument/2006/relationships/image" Target="media/e40e0fc3984ceadc2ce44dfa201dfe416623c80a.png"/><Relationship Id="rId12" Type="http://schemas.openxmlformats.org/officeDocument/2006/relationships/image" Target="media/98a014322f5ebac91ca933377d0c96ab11d26758.png"/><Relationship Id="rId13" Type="http://schemas.openxmlformats.org/officeDocument/2006/relationships/image" Target="media/e6dc4c705032066536a998209e3f7cdc70575cb7.png"/><Relationship Id="rId14" Type="http://schemas.openxmlformats.org/officeDocument/2006/relationships/image" Target="media/2b3d27b2e8a08f141354f58649d502a156693102.png"/><Relationship Id="rId15" Type="http://schemas.openxmlformats.org/officeDocument/2006/relationships/image" Target="media/7b02f39a572b8c2821403d60cd06aef6e297bae5.png"/><Relationship Id="rId16" Type="http://schemas.openxmlformats.org/officeDocument/2006/relationships/image" Target="media/2d533aaf96c3766b7a850e972c8bceec58e2a740.png"/><Relationship Id="rId17" Type="http://schemas.openxmlformats.org/officeDocument/2006/relationships/image" Target="media/76c9598bde8094b10ac3e90a8e4f60449657df4b.png"/><Relationship Id="rId18" Type="http://schemas.openxmlformats.org/officeDocument/2006/relationships/image" Target="media/76617eb0ef2db9d0a11b5c3a9b3fa15e568452db.png"/><Relationship Id="rId19" Type="http://schemas.openxmlformats.org/officeDocument/2006/relationships/image" Target="media/43105353448ba56953524c34bfa1b9a746ca5e61.png"/><Relationship Id="rId20" Type="http://schemas.openxmlformats.org/officeDocument/2006/relationships/image" Target="media/6a042c6db7f01f3c08915cfc0a6402162a713a4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2026-08-17T18:02:36.434Z</dcterms:created>
  <dcterms:modified xsi:type="dcterms:W3CDTF">2026-08-17T18:02:36.434Z</dcterms:modified>
</cp:coreProperties>
</file>

<file path=docProps/custom.xml><?xml version="1.0" encoding="utf-8"?>
<Properties xmlns="http://schemas.openxmlformats.org/officeDocument/2006/custom-properties" xmlns:vt="http://schemas.openxmlformats.org/officeDocument/2006/docPropsVTypes"/>
</file>