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E4AA" w14:textId="77777777" w:rsidR="00002083" w:rsidRDefault="00002083">
      <w:pPr>
        <w:jc w:val="center"/>
      </w:pPr>
    </w:p>
    <w:p w14:paraId="18434772" w14:textId="77777777" w:rsidR="00002083" w:rsidRDefault="00002083">
      <w:pPr>
        <w:jc w:val="center"/>
      </w:pPr>
    </w:p>
    <w:p w14:paraId="6818934A" w14:textId="77777777" w:rsidR="00002083" w:rsidRDefault="00002083">
      <w:pPr>
        <w:jc w:val="center"/>
      </w:pPr>
    </w:p>
    <w:p w14:paraId="11D7648A" w14:textId="77777777" w:rsidR="00002083" w:rsidRDefault="00F050D8">
      <w:pPr>
        <w:jc w:val="center"/>
      </w:pPr>
      <w:r>
        <w:rPr>
          <w:b/>
          <w:bCs/>
        </w:rPr>
        <w:t>Sistema de Pronóstico de Puntos de Inflexión en el Precio de</w:t>
      </w:r>
    </w:p>
    <w:p w14:paraId="0F38AFC4" w14:textId="77777777" w:rsidR="00002083" w:rsidRDefault="00F050D8">
      <w:pPr>
        <w:jc w:val="center"/>
      </w:pPr>
      <w:proofErr w:type="spellStart"/>
      <w:r>
        <w:rPr>
          <w:b/>
          <w:bCs/>
        </w:rPr>
        <w:t>Litecoin</w:t>
      </w:r>
      <w:proofErr w:type="spellEnd"/>
      <w:r>
        <w:rPr>
          <w:b/>
          <w:bCs/>
        </w:rPr>
        <w:t xml:space="preserve"> (LTC) mediante Análisis Multivariante de Series Temporales</w:t>
      </w:r>
    </w:p>
    <w:p w14:paraId="0CBBBD6F" w14:textId="77777777" w:rsidR="00002083" w:rsidRDefault="00002083">
      <w:pPr>
        <w:jc w:val="center"/>
      </w:pPr>
    </w:p>
    <w:p w14:paraId="195F0CE4" w14:textId="77777777" w:rsidR="00002083" w:rsidRDefault="00F050D8">
      <w:pPr>
        <w:jc w:val="center"/>
      </w:pPr>
      <w:r>
        <w:t xml:space="preserve">Marco Teórico: Series de Tiempo y </w:t>
      </w:r>
      <w:proofErr w:type="spellStart"/>
      <w:r>
        <w:t>Criptoactivos</w:t>
      </w:r>
      <w:proofErr w:type="spellEnd"/>
    </w:p>
    <w:p w14:paraId="6E7E37D4" w14:textId="77777777" w:rsidR="00002083" w:rsidRDefault="00002083">
      <w:pPr>
        <w:jc w:val="center"/>
      </w:pPr>
    </w:p>
    <w:p w14:paraId="7B30B846" w14:textId="77777777" w:rsidR="00002083" w:rsidRDefault="00002083">
      <w:pPr>
        <w:jc w:val="center"/>
      </w:pPr>
    </w:p>
    <w:p w14:paraId="171A43CD" w14:textId="77777777" w:rsidR="00002083" w:rsidRDefault="00F050D8">
      <w:pPr>
        <w:jc w:val="center"/>
      </w:pPr>
      <w:r>
        <w:t xml:space="preserve">Alejandro Zamora, </w:t>
      </w:r>
      <w:proofErr w:type="spellStart"/>
      <w:r>
        <w:t>Fabrizio</w:t>
      </w:r>
      <w:proofErr w:type="spellEnd"/>
      <w:r>
        <w:t xml:space="preserve"> Espinoza Arce, Isaac Morun</w:t>
      </w:r>
    </w:p>
    <w:p w14:paraId="65A7D860" w14:textId="77777777" w:rsidR="00002083" w:rsidRDefault="00F050D8">
      <w:pPr>
        <w:jc w:val="center"/>
      </w:pPr>
      <w:r>
        <w:t xml:space="preserve">y </w:t>
      </w:r>
      <w:proofErr w:type="spellStart"/>
      <w:r>
        <w:t>Jose</w:t>
      </w:r>
      <w:proofErr w:type="spellEnd"/>
      <w:r>
        <w:t xml:space="preserve"> Pablo Monestel</w:t>
      </w:r>
    </w:p>
    <w:p w14:paraId="7324D0F6" w14:textId="77777777" w:rsidR="00002083" w:rsidRDefault="00002083">
      <w:pPr>
        <w:jc w:val="center"/>
      </w:pPr>
    </w:p>
    <w:p w14:paraId="66715165" w14:textId="77777777" w:rsidR="00002083" w:rsidRDefault="00F050D8">
      <w:pPr>
        <w:jc w:val="center"/>
      </w:pPr>
      <w:r>
        <w:t>Tecnologías de la Información y Comunicación Empresarial,</w:t>
      </w:r>
    </w:p>
    <w:p w14:paraId="244C7C6A" w14:textId="77777777" w:rsidR="00002083" w:rsidRDefault="00F050D8">
      <w:pPr>
        <w:jc w:val="center"/>
      </w:pPr>
      <w:r>
        <w:t xml:space="preserve">Universidad </w:t>
      </w:r>
      <w:proofErr w:type="spellStart"/>
      <w:r>
        <w:t>Invenio</w:t>
      </w:r>
      <w:proofErr w:type="spellEnd"/>
    </w:p>
    <w:p w14:paraId="254DB77D" w14:textId="77777777" w:rsidR="00002083" w:rsidRDefault="00F050D8">
      <w:pPr>
        <w:jc w:val="center"/>
      </w:pPr>
      <w:r>
        <w:t>Señales y Sistemas</w:t>
      </w:r>
    </w:p>
    <w:p w14:paraId="31850D1A" w14:textId="77777777" w:rsidR="00002083" w:rsidRDefault="00F050D8">
      <w:pPr>
        <w:jc w:val="center"/>
      </w:pPr>
      <w:r>
        <w:t>Prof. Roberto Calvo Arias</w:t>
      </w:r>
    </w:p>
    <w:p w14:paraId="58547E5A" w14:textId="77777777" w:rsidR="00002083" w:rsidRDefault="00F050D8">
      <w:pPr>
        <w:jc w:val="center"/>
      </w:pPr>
      <w:r>
        <w:t>18 de agosto de 2026</w:t>
      </w:r>
    </w:p>
    <w:p w14:paraId="3C802FB7" w14:textId="77777777" w:rsidR="00002083" w:rsidRDefault="00F050D8">
      <w:r>
        <w:br w:type="page"/>
      </w:r>
    </w:p>
    <w:p w14:paraId="1CB36456" w14:textId="77777777" w:rsidR="00002083" w:rsidRDefault="00F050D8">
      <w:pPr>
        <w:keepNext/>
        <w:jc w:val="center"/>
      </w:pPr>
      <w:r>
        <w:rPr>
          <w:b/>
          <w:bCs/>
        </w:rPr>
        <w:lastRenderedPageBreak/>
        <w:t>Tabla de Contenido</w:t>
      </w:r>
    </w:p>
    <w:sdt>
      <w:sdtPr>
        <w:alias w:val="Contenido"/>
        <w:id w:val="1216547866"/>
      </w:sdtPr>
      <w:sdtContent>
        <w:p w14:paraId="151FCC80" w14:textId="4F36BC58" w:rsidR="00724430" w:rsidRDefault="00F050D8">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7941058" w:history="1">
            <w:r w:rsidR="00724430" w:rsidRPr="00D8037C">
              <w:rPr>
                <w:rStyle w:val="Hipervnculo"/>
                <w:noProof/>
              </w:rPr>
              <w:t>Sistema de Pronóstico de Puntos de Inflexión en el Precio de Litecoin</w:t>
            </w:r>
            <w:r w:rsidR="00724430">
              <w:rPr>
                <w:noProof/>
              </w:rPr>
              <w:tab/>
            </w:r>
            <w:r w:rsidR="00724430">
              <w:rPr>
                <w:noProof/>
              </w:rPr>
              <w:fldChar w:fldCharType="begin"/>
            </w:r>
            <w:r w:rsidR="00724430">
              <w:rPr>
                <w:noProof/>
              </w:rPr>
              <w:instrText xml:space="preserve"> PAGEREF _Toc237941058 \h </w:instrText>
            </w:r>
            <w:r w:rsidR="00724430">
              <w:rPr>
                <w:noProof/>
              </w:rPr>
            </w:r>
            <w:r w:rsidR="00724430">
              <w:rPr>
                <w:noProof/>
              </w:rPr>
              <w:fldChar w:fldCharType="separate"/>
            </w:r>
            <w:r w:rsidR="00724430">
              <w:rPr>
                <w:noProof/>
              </w:rPr>
              <w:t>5</w:t>
            </w:r>
            <w:r w:rsidR="00724430">
              <w:rPr>
                <w:noProof/>
              </w:rPr>
              <w:fldChar w:fldCharType="end"/>
            </w:r>
          </w:hyperlink>
        </w:p>
        <w:p w14:paraId="7FF50D1C" w14:textId="31FB9E02" w:rsidR="00724430" w:rsidRDefault="007244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41059" w:history="1">
            <w:r w:rsidRPr="00D8037C">
              <w:rPr>
                <w:rStyle w:val="Hipervnculo"/>
                <w:noProof/>
              </w:rPr>
              <w:t>Marco Teórico: Series de Tiempo</w:t>
            </w:r>
            <w:r>
              <w:rPr>
                <w:noProof/>
              </w:rPr>
              <w:tab/>
            </w:r>
            <w:r>
              <w:rPr>
                <w:noProof/>
              </w:rPr>
              <w:fldChar w:fldCharType="begin"/>
            </w:r>
            <w:r>
              <w:rPr>
                <w:noProof/>
              </w:rPr>
              <w:instrText xml:space="preserve"> PAGEREF _Toc237941059 \h </w:instrText>
            </w:r>
            <w:r>
              <w:rPr>
                <w:noProof/>
              </w:rPr>
            </w:r>
            <w:r>
              <w:rPr>
                <w:noProof/>
              </w:rPr>
              <w:fldChar w:fldCharType="separate"/>
            </w:r>
            <w:r>
              <w:rPr>
                <w:noProof/>
              </w:rPr>
              <w:t>6</w:t>
            </w:r>
            <w:r>
              <w:rPr>
                <w:noProof/>
              </w:rPr>
              <w:fldChar w:fldCharType="end"/>
            </w:r>
          </w:hyperlink>
        </w:p>
        <w:p w14:paraId="7704D75E" w14:textId="43E86033"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0" w:history="1">
            <w:r w:rsidRPr="00D8037C">
              <w:rPr>
                <w:rStyle w:val="Hipervnculo"/>
                <w:noProof/>
              </w:rPr>
              <w:t>1. Definición de serie temporal</w:t>
            </w:r>
            <w:r>
              <w:rPr>
                <w:noProof/>
              </w:rPr>
              <w:tab/>
            </w:r>
            <w:r>
              <w:rPr>
                <w:noProof/>
              </w:rPr>
              <w:fldChar w:fldCharType="begin"/>
            </w:r>
            <w:r>
              <w:rPr>
                <w:noProof/>
              </w:rPr>
              <w:instrText xml:space="preserve"> PAGEREF _Toc237941060 \h </w:instrText>
            </w:r>
            <w:r>
              <w:rPr>
                <w:noProof/>
              </w:rPr>
            </w:r>
            <w:r>
              <w:rPr>
                <w:noProof/>
              </w:rPr>
              <w:fldChar w:fldCharType="separate"/>
            </w:r>
            <w:r>
              <w:rPr>
                <w:noProof/>
              </w:rPr>
              <w:t>7</w:t>
            </w:r>
            <w:r>
              <w:rPr>
                <w:noProof/>
              </w:rPr>
              <w:fldChar w:fldCharType="end"/>
            </w:r>
          </w:hyperlink>
        </w:p>
        <w:p w14:paraId="0FC71615" w14:textId="7CCAAB5C"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1" w:history="1">
            <w:r w:rsidRPr="00D8037C">
              <w:rPr>
                <w:rStyle w:val="Hipervnculo"/>
                <w:noProof/>
              </w:rPr>
              <w:t>2. Componentes de una serie temporal</w:t>
            </w:r>
            <w:r>
              <w:rPr>
                <w:noProof/>
              </w:rPr>
              <w:tab/>
            </w:r>
            <w:r>
              <w:rPr>
                <w:noProof/>
              </w:rPr>
              <w:fldChar w:fldCharType="begin"/>
            </w:r>
            <w:r>
              <w:rPr>
                <w:noProof/>
              </w:rPr>
              <w:instrText xml:space="preserve"> PAGEREF _Toc237941061 \h </w:instrText>
            </w:r>
            <w:r>
              <w:rPr>
                <w:noProof/>
              </w:rPr>
            </w:r>
            <w:r>
              <w:rPr>
                <w:noProof/>
              </w:rPr>
              <w:fldChar w:fldCharType="separate"/>
            </w:r>
            <w:r>
              <w:rPr>
                <w:noProof/>
              </w:rPr>
              <w:t>8</w:t>
            </w:r>
            <w:r>
              <w:rPr>
                <w:noProof/>
              </w:rPr>
              <w:fldChar w:fldCharType="end"/>
            </w:r>
          </w:hyperlink>
        </w:p>
        <w:p w14:paraId="63A6CA84" w14:textId="1DC7774B"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2" w:history="1">
            <w:r w:rsidRPr="00D8037C">
              <w:rPr>
                <w:rStyle w:val="Hipervnculo"/>
                <w:noProof/>
              </w:rPr>
              <w:t>3. Estacionariedad</w:t>
            </w:r>
            <w:r>
              <w:rPr>
                <w:noProof/>
              </w:rPr>
              <w:tab/>
            </w:r>
            <w:r>
              <w:rPr>
                <w:noProof/>
              </w:rPr>
              <w:fldChar w:fldCharType="begin"/>
            </w:r>
            <w:r>
              <w:rPr>
                <w:noProof/>
              </w:rPr>
              <w:instrText xml:space="preserve"> PAGEREF _Toc237941062 \h </w:instrText>
            </w:r>
            <w:r>
              <w:rPr>
                <w:noProof/>
              </w:rPr>
            </w:r>
            <w:r>
              <w:rPr>
                <w:noProof/>
              </w:rPr>
              <w:fldChar w:fldCharType="separate"/>
            </w:r>
            <w:r>
              <w:rPr>
                <w:noProof/>
              </w:rPr>
              <w:t>10</w:t>
            </w:r>
            <w:r>
              <w:rPr>
                <w:noProof/>
              </w:rPr>
              <w:fldChar w:fldCharType="end"/>
            </w:r>
          </w:hyperlink>
        </w:p>
        <w:p w14:paraId="10B40E36" w14:textId="6D4E513F"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3" w:history="1">
            <w:r w:rsidRPr="00D8037C">
              <w:rPr>
                <w:rStyle w:val="Hipervnculo"/>
                <w:noProof/>
              </w:rPr>
              <w:t>4. No estacionariedad</w:t>
            </w:r>
            <w:r>
              <w:rPr>
                <w:noProof/>
              </w:rPr>
              <w:tab/>
            </w:r>
            <w:r>
              <w:rPr>
                <w:noProof/>
              </w:rPr>
              <w:fldChar w:fldCharType="begin"/>
            </w:r>
            <w:r>
              <w:rPr>
                <w:noProof/>
              </w:rPr>
              <w:instrText xml:space="preserve"> PAGEREF _Toc237941063 \h </w:instrText>
            </w:r>
            <w:r>
              <w:rPr>
                <w:noProof/>
              </w:rPr>
            </w:r>
            <w:r>
              <w:rPr>
                <w:noProof/>
              </w:rPr>
              <w:fldChar w:fldCharType="separate"/>
            </w:r>
            <w:r>
              <w:rPr>
                <w:noProof/>
              </w:rPr>
              <w:t>11</w:t>
            </w:r>
            <w:r>
              <w:rPr>
                <w:noProof/>
              </w:rPr>
              <w:fldChar w:fldCharType="end"/>
            </w:r>
          </w:hyperlink>
        </w:p>
        <w:p w14:paraId="6691E271" w14:textId="5AEBC2A8"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4" w:history="1">
            <w:r w:rsidRPr="00D8037C">
              <w:rPr>
                <w:rStyle w:val="Hipervnculo"/>
                <w:noProof/>
              </w:rPr>
              <w:t>5. Heterocedasticidad</w:t>
            </w:r>
            <w:r>
              <w:rPr>
                <w:noProof/>
              </w:rPr>
              <w:tab/>
            </w:r>
            <w:r>
              <w:rPr>
                <w:noProof/>
              </w:rPr>
              <w:fldChar w:fldCharType="begin"/>
            </w:r>
            <w:r>
              <w:rPr>
                <w:noProof/>
              </w:rPr>
              <w:instrText xml:space="preserve"> PAGEREF _Toc237941064 \h </w:instrText>
            </w:r>
            <w:r>
              <w:rPr>
                <w:noProof/>
              </w:rPr>
            </w:r>
            <w:r>
              <w:rPr>
                <w:noProof/>
              </w:rPr>
              <w:fldChar w:fldCharType="separate"/>
            </w:r>
            <w:r>
              <w:rPr>
                <w:noProof/>
              </w:rPr>
              <w:t>13</w:t>
            </w:r>
            <w:r>
              <w:rPr>
                <w:noProof/>
              </w:rPr>
              <w:fldChar w:fldCharType="end"/>
            </w:r>
          </w:hyperlink>
        </w:p>
        <w:p w14:paraId="05A8E511" w14:textId="4B74457A"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5" w:history="1">
            <w:r w:rsidRPr="00D8037C">
              <w:rPr>
                <w:rStyle w:val="Hipervnculo"/>
                <w:noProof/>
              </w:rPr>
              <w:t>6. Volatilidad</w:t>
            </w:r>
            <w:r>
              <w:rPr>
                <w:noProof/>
              </w:rPr>
              <w:tab/>
            </w:r>
            <w:r>
              <w:rPr>
                <w:noProof/>
              </w:rPr>
              <w:fldChar w:fldCharType="begin"/>
            </w:r>
            <w:r>
              <w:rPr>
                <w:noProof/>
              </w:rPr>
              <w:instrText xml:space="preserve"> PAGEREF _Toc237941065 \h </w:instrText>
            </w:r>
            <w:r>
              <w:rPr>
                <w:noProof/>
              </w:rPr>
            </w:r>
            <w:r>
              <w:rPr>
                <w:noProof/>
              </w:rPr>
              <w:fldChar w:fldCharType="separate"/>
            </w:r>
            <w:r>
              <w:rPr>
                <w:noProof/>
              </w:rPr>
              <w:t>15</w:t>
            </w:r>
            <w:r>
              <w:rPr>
                <w:noProof/>
              </w:rPr>
              <w:fldChar w:fldCharType="end"/>
            </w:r>
          </w:hyperlink>
        </w:p>
        <w:p w14:paraId="3B6872C0" w14:textId="2658AA2B"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6" w:history="1">
            <w:r w:rsidRPr="00D8037C">
              <w:rPr>
                <w:rStyle w:val="Hipervnculo"/>
                <w:noProof/>
              </w:rPr>
              <w:t>7. Autocorrelación</w:t>
            </w:r>
            <w:r>
              <w:rPr>
                <w:noProof/>
              </w:rPr>
              <w:tab/>
            </w:r>
            <w:r>
              <w:rPr>
                <w:noProof/>
              </w:rPr>
              <w:fldChar w:fldCharType="begin"/>
            </w:r>
            <w:r>
              <w:rPr>
                <w:noProof/>
              </w:rPr>
              <w:instrText xml:space="preserve"> PAGEREF _Toc237941066 \h </w:instrText>
            </w:r>
            <w:r>
              <w:rPr>
                <w:noProof/>
              </w:rPr>
            </w:r>
            <w:r>
              <w:rPr>
                <w:noProof/>
              </w:rPr>
              <w:fldChar w:fldCharType="separate"/>
            </w:r>
            <w:r>
              <w:rPr>
                <w:noProof/>
              </w:rPr>
              <w:t>17</w:t>
            </w:r>
            <w:r>
              <w:rPr>
                <w:noProof/>
              </w:rPr>
              <w:fldChar w:fldCharType="end"/>
            </w:r>
          </w:hyperlink>
        </w:p>
        <w:p w14:paraId="310704B8" w14:textId="34AA41D1"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7" w:history="1">
            <w:r w:rsidRPr="00D8037C">
              <w:rPr>
                <w:rStyle w:val="Hipervnculo"/>
                <w:noProof/>
              </w:rPr>
              <w:t>8. Correlación cruzada</w:t>
            </w:r>
            <w:r>
              <w:rPr>
                <w:noProof/>
              </w:rPr>
              <w:tab/>
            </w:r>
            <w:r>
              <w:rPr>
                <w:noProof/>
              </w:rPr>
              <w:fldChar w:fldCharType="begin"/>
            </w:r>
            <w:r>
              <w:rPr>
                <w:noProof/>
              </w:rPr>
              <w:instrText xml:space="preserve"> PAGEREF _Toc237941067 \h </w:instrText>
            </w:r>
            <w:r>
              <w:rPr>
                <w:noProof/>
              </w:rPr>
            </w:r>
            <w:r>
              <w:rPr>
                <w:noProof/>
              </w:rPr>
              <w:fldChar w:fldCharType="separate"/>
            </w:r>
            <w:r>
              <w:rPr>
                <w:noProof/>
              </w:rPr>
              <w:t>19</w:t>
            </w:r>
            <w:r>
              <w:rPr>
                <w:noProof/>
              </w:rPr>
              <w:fldChar w:fldCharType="end"/>
            </w:r>
          </w:hyperlink>
        </w:p>
        <w:p w14:paraId="754CDFEE" w14:textId="1278A1EE" w:rsidR="00724430" w:rsidRDefault="007244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41068" w:history="1">
            <w:r w:rsidRPr="00D8037C">
              <w:rPr>
                <w:rStyle w:val="Hipervnculo"/>
                <w:noProof/>
              </w:rPr>
              <w:t>Marco Teórico: Criptoactivos y sus Características</w:t>
            </w:r>
            <w:r>
              <w:rPr>
                <w:noProof/>
              </w:rPr>
              <w:tab/>
            </w:r>
            <w:r>
              <w:rPr>
                <w:noProof/>
              </w:rPr>
              <w:fldChar w:fldCharType="begin"/>
            </w:r>
            <w:r>
              <w:rPr>
                <w:noProof/>
              </w:rPr>
              <w:instrText xml:space="preserve"> PAGEREF _Toc237941068 \h </w:instrText>
            </w:r>
            <w:r>
              <w:rPr>
                <w:noProof/>
              </w:rPr>
            </w:r>
            <w:r>
              <w:rPr>
                <w:noProof/>
              </w:rPr>
              <w:fldChar w:fldCharType="separate"/>
            </w:r>
            <w:r>
              <w:rPr>
                <w:noProof/>
              </w:rPr>
              <w:t>20</w:t>
            </w:r>
            <w:r>
              <w:rPr>
                <w:noProof/>
              </w:rPr>
              <w:fldChar w:fldCharType="end"/>
            </w:r>
          </w:hyperlink>
        </w:p>
        <w:p w14:paraId="2137AC8B" w14:textId="5B0F703C"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69" w:history="1">
            <w:r w:rsidRPr="00D8037C">
              <w:rPr>
                <w:rStyle w:val="Hipervnculo"/>
                <w:noProof/>
              </w:rPr>
              <w:t>1. Definición de criptoactivo</w:t>
            </w:r>
            <w:r>
              <w:rPr>
                <w:noProof/>
              </w:rPr>
              <w:tab/>
            </w:r>
            <w:r>
              <w:rPr>
                <w:noProof/>
              </w:rPr>
              <w:fldChar w:fldCharType="begin"/>
            </w:r>
            <w:r>
              <w:rPr>
                <w:noProof/>
              </w:rPr>
              <w:instrText xml:space="preserve"> PAGEREF _Toc237941069 \h </w:instrText>
            </w:r>
            <w:r>
              <w:rPr>
                <w:noProof/>
              </w:rPr>
            </w:r>
            <w:r>
              <w:rPr>
                <w:noProof/>
              </w:rPr>
              <w:fldChar w:fldCharType="separate"/>
            </w:r>
            <w:r>
              <w:rPr>
                <w:noProof/>
              </w:rPr>
              <w:t>21</w:t>
            </w:r>
            <w:r>
              <w:rPr>
                <w:noProof/>
              </w:rPr>
              <w:fldChar w:fldCharType="end"/>
            </w:r>
          </w:hyperlink>
        </w:p>
        <w:p w14:paraId="6FE3065E" w14:textId="29877371"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70" w:history="1">
            <w:r w:rsidRPr="00D8037C">
              <w:rPr>
                <w:rStyle w:val="Hipervnculo"/>
                <w:noProof/>
              </w:rPr>
              <w:t>2. Características principales</w:t>
            </w:r>
            <w:r>
              <w:rPr>
                <w:noProof/>
              </w:rPr>
              <w:tab/>
            </w:r>
            <w:r>
              <w:rPr>
                <w:noProof/>
              </w:rPr>
              <w:fldChar w:fldCharType="begin"/>
            </w:r>
            <w:r>
              <w:rPr>
                <w:noProof/>
              </w:rPr>
              <w:instrText xml:space="preserve"> PAGEREF _Toc237941070 \h </w:instrText>
            </w:r>
            <w:r>
              <w:rPr>
                <w:noProof/>
              </w:rPr>
            </w:r>
            <w:r>
              <w:rPr>
                <w:noProof/>
              </w:rPr>
              <w:fldChar w:fldCharType="separate"/>
            </w:r>
            <w:r>
              <w:rPr>
                <w:noProof/>
              </w:rPr>
              <w:t>22</w:t>
            </w:r>
            <w:r>
              <w:rPr>
                <w:noProof/>
              </w:rPr>
              <w:fldChar w:fldCharType="end"/>
            </w:r>
          </w:hyperlink>
        </w:p>
        <w:p w14:paraId="737834FD" w14:textId="4797FF05"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71" w:history="1">
            <w:r w:rsidRPr="00D8037C">
              <w:rPr>
                <w:rStyle w:val="Hipervnculo"/>
                <w:noProof/>
              </w:rPr>
              <w:t>3. Principales tipos</w:t>
            </w:r>
            <w:r>
              <w:rPr>
                <w:noProof/>
              </w:rPr>
              <w:tab/>
            </w:r>
            <w:r>
              <w:rPr>
                <w:noProof/>
              </w:rPr>
              <w:fldChar w:fldCharType="begin"/>
            </w:r>
            <w:r>
              <w:rPr>
                <w:noProof/>
              </w:rPr>
              <w:instrText xml:space="preserve"> PAGEREF _Toc237941071 \h </w:instrText>
            </w:r>
            <w:r>
              <w:rPr>
                <w:noProof/>
              </w:rPr>
            </w:r>
            <w:r>
              <w:rPr>
                <w:noProof/>
              </w:rPr>
              <w:fldChar w:fldCharType="separate"/>
            </w:r>
            <w:r>
              <w:rPr>
                <w:noProof/>
              </w:rPr>
              <w:t>23</w:t>
            </w:r>
            <w:r>
              <w:rPr>
                <w:noProof/>
              </w:rPr>
              <w:fldChar w:fldCharType="end"/>
            </w:r>
          </w:hyperlink>
        </w:p>
        <w:p w14:paraId="6595BD07" w14:textId="21B492B9"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72" w:history="1">
            <w:r w:rsidRPr="00D8037C">
              <w:rPr>
                <w:rStyle w:val="Hipervnculo"/>
                <w:noProof/>
              </w:rPr>
              <w:t>4. Mercado cripto</w:t>
            </w:r>
            <w:r>
              <w:rPr>
                <w:noProof/>
              </w:rPr>
              <w:tab/>
            </w:r>
            <w:r>
              <w:rPr>
                <w:noProof/>
              </w:rPr>
              <w:fldChar w:fldCharType="begin"/>
            </w:r>
            <w:r>
              <w:rPr>
                <w:noProof/>
              </w:rPr>
              <w:instrText xml:space="preserve"> PAGEREF _Toc237941072 \h </w:instrText>
            </w:r>
            <w:r>
              <w:rPr>
                <w:noProof/>
              </w:rPr>
            </w:r>
            <w:r>
              <w:rPr>
                <w:noProof/>
              </w:rPr>
              <w:fldChar w:fldCharType="separate"/>
            </w:r>
            <w:r>
              <w:rPr>
                <w:noProof/>
              </w:rPr>
              <w:t>24</w:t>
            </w:r>
            <w:r>
              <w:rPr>
                <w:noProof/>
              </w:rPr>
              <w:fldChar w:fldCharType="end"/>
            </w:r>
          </w:hyperlink>
        </w:p>
        <w:p w14:paraId="3C819DC5" w14:textId="31293E50"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73" w:history="1">
            <w:r w:rsidRPr="00D8037C">
              <w:rPr>
                <w:rStyle w:val="Hipervnculo"/>
                <w:noProof/>
              </w:rPr>
              <w:t>5. Factores que afectan el precio</w:t>
            </w:r>
            <w:r>
              <w:rPr>
                <w:noProof/>
              </w:rPr>
              <w:tab/>
            </w:r>
            <w:r>
              <w:rPr>
                <w:noProof/>
              </w:rPr>
              <w:fldChar w:fldCharType="begin"/>
            </w:r>
            <w:r>
              <w:rPr>
                <w:noProof/>
              </w:rPr>
              <w:instrText xml:space="preserve"> PAGEREF _Toc237941073 \h </w:instrText>
            </w:r>
            <w:r>
              <w:rPr>
                <w:noProof/>
              </w:rPr>
            </w:r>
            <w:r>
              <w:rPr>
                <w:noProof/>
              </w:rPr>
              <w:fldChar w:fldCharType="separate"/>
            </w:r>
            <w:r>
              <w:rPr>
                <w:noProof/>
              </w:rPr>
              <w:t>25</w:t>
            </w:r>
            <w:r>
              <w:rPr>
                <w:noProof/>
              </w:rPr>
              <w:fldChar w:fldCharType="end"/>
            </w:r>
          </w:hyperlink>
        </w:p>
        <w:p w14:paraId="538E5B71" w14:textId="6D3E4856"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74" w:history="1">
            <w:r w:rsidRPr="00D8037C">
              <w:rPr>
                <w:rStyle w:val="Hipervnculo"/>
                <w:noProof/>
              </w:rPr>
              <w:t>6. Correlación y dependencia entre activos</w:t>
            </w:r>
            <w:r>
              <w:rPr>
                <w:noProof/>
              </w:rPr>
              <w:tab/>
            </w:r>
            <w:r>
              <w:rPr>
                <w:noProof/>
              </w:rPr>
              <w:fldChar w:fldCharType="begin"/>
            </w:r>
            <w:r>
              <w:rPr>
                <w:noProof/>
              </w:rPr>
              <w:instrText xml:space="preserve"> PAGEREF _Toc237941074 \h </w:instrText>
            </w:r>
            <w:r>
              <w:rPr>
                <w:noProof/>
              </w:rPr>
            </w:r>
            <w:r>
              <w:rPr>
                <w:noProof/>
              </w:rPr>
              <w:fldChar w:fldCharType="separate"/>
            </w:r>
            <w:r>
              <w:rPr>
                <w:noProof/>
              </w:rPr>
              <w:t>27</w:t>
            </w:r>
            <w:r>
              <w:rPr>
                <w:noProof/>
              </w:rPr>
              <w:fldChar w:fldCharType="end"/>
            </w:r>
          </w:hyperlink>
        </w:p>
        <w:p w14:paraId="1756E5D4" w14:textId="3F6C1E08"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75" w:history="1">
            <w:r w:rsidRPr="00D8037C">
              <w:rPr>
                <w:rStyle w:val="Hipervnculo"/>
                <w:noProof/>
              </w:rPr>
              <w:t>7. Definición de punto de inflexión</w:t>
            </w:r>
            <w:r>
              <w:rPr>
                <w:noProof/>
              </w:rPr>
              <w:tab/>
            </w:r>
            <w:r>
              <w:rPr>
                <w:noProof/>
              </w:rPr>
              <w:fldChar w:fldCharType="begin"/>
            </w:r>
            <w:r>
              <w:rPr>
                <w:noProof/>
              </w:rPr>
              <w:instrText xml:space="preserve"> PAGEREF _Toc237941075 \h </w:instrText>
            </w:r>
            <w:r>
              <w:rPr>
                <w:noProof/>
              </w:rPr>
            </w:r>
            <w:r>
              <w:rPr>
                <w:noProof/>
              </w:rPr>
              <w:fldChar w:fldCharType="separate"/>
            </w:r>
            <w:r>
              <w:rPr>
                <w:noProof/>
              </w:rPr>
              <w:t>29</w:t>
            </w:r>
            <w:r>
              <w:rPr>
                <w:noProof/>
              </w:rPr>
              <w:fldChar w:fldCharType="end"/>
            </w:r>
          </w:hyperlink>
        </w:p>
        <w:p w14:paraId="7BBBBF71" w14:textId="02A59720"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76" w:history="1">
            <w:r w:rsidRPr="00D8037C">
              <w:rPr>
                <w:rStyle w:val="Hipervnculo"/>
                <w:noProof/>
              </w:rPr>
              <w:t>8. Cómo encontrar puntos de inflexión</w:t>
            </w:r>
            <w:r>
              <w:rPr>
                <w:noProof/>
              </w:rPr>
              <w:tab/>
            </w:r>
            <w:r>
              <w:rPr>
                <w:noProof/>
              </w:rPr>
              <w:fldChar w:fldCharType="begin"/>
            </w:r>
            <w:r>
              <w:rPr>
                <w:noProof/>
              </w:rPr>
              <w:instrText xml:space="preserve"> PAGEREF _Toc237941076 \h </w:instrText>
            </w:r>
            <w:r>
              <w:rPr>
                <w:noProof/>
              </w:rPr>
            </w:r>
            <w:r>
              <w:rPr>
                <w:noProof/>
              </w:rPr>
              <w:fldChar w:fldCharType="separate"/>
            </w:r>
            <w:r>
              <w:rPr>
                <w:noProof/>
              </w:rPr>
              <w:t>32</w:t>
            </w:r>
            <w:r>
              <w:rPr>
                <w:noProof/>
              </w:rPr>
              <w:fldChar w:fldCharType="end"/>
            </w:r>
          </w:hyperlink>
        </w:p>
        <w:p w14:paraId="6CAC528D" w14:textId="087C3556"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77" w:history="1">
            <w:r w:rsidRPr="00D8037C">
              <w:rPr>
                <w:rStyle w:val="Hipervnculo"/>
                <w:noProof/>
              </w:rPr>
              <w:t>8.1 Estructura de mercado (HH, HL, LH, LL)</w:t>
            </w:r>
            <w:r>
              <w:rPr>
                <w:noProof/>
              </w:rPr>
              <w:tab/>
            </w:r>
            <w:r>
              <w:rPr>
                <w:noProof/>
              </w:rPr>
              <w:fldChar w:fldCharType="begin"/>
            </w:r>
            <w:r>
              <w:rPr>
                <w:noProof/>
              </w:rPr>
              <w:instrText xml:space="preserve"> PAGEREF _Toc237941077 \h </w:instrText>
            </w:r>
            <w:r>
              <w:rPr>
                <w:noProof/>
              </w:rPr>
            </w:r>
            <w:r>
              <w:rPr>
                <w:noProof/>
              </w:rPr>
              <w:fldChar w:fldCharType="separate"/>
            </w:r>
            <w:r>
              <w:rPr>
                <w:noProof/>
              </w:rPr>
              <w:t>32</w:t>
            </w:r>
            <w:r>
              <w:rPr>
                <w:noProof/>
              </w:rPr>
              <w:fldChar w:fldCharType="end"/>
            </w:r>
          </w:hyperlink>
        </w:p>
        <w:p w14:paraId="29E7D8D8" w14:textId="283EB56E"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78" w:history="1">
            <w:r w:rsidRPr="00D8037C">
              <w:rPr>
                <w:rStyle w:val="Hipervnculo"/>
                <w:noProof/>
              </w:rPr>
              <w:t>8.2 Criterio automático de ventana</w:t>
            </w:r>
            <w:r>
              <w:rPr>
                <w:noProof/>
              </w:rPr>
              <w:tab/>
            </w:r>
            <w:r>
              <w:rPr>
                <w:noProof/>
              </w:rPr>
              <w:fldChar w:fldCharType="begin"/>
            </w:r>
            <w:r>
              <w:rPr>
                <w:noProof/>
              </w:rPr>
              <w:instrText xml:space="preserve"> PAGEREF _Toc237941078 \h </w:instrText>
            </w:r>
            <w:r>
              <w:rPr>
                <w:noProof/>
              </w:rPr>
            </w:r>
            <w:r>
              <w:rPr>
                <w:noProof/>
              </w:rPr>
              <w:fldChar w:fldCharType="separate"/>
            </w:r>
            <w:r>
              <w:rPr>
                <w:noProof/>
              </w:rPr>
              <w:t>33</w:t>
            </w:r>
            <w:r>
              <w:rPr>
                <w:noProof/>
              </w:rPr>
              <w:fldChar w:fldCharType="end"/>
            </w:r>
          </w:hyperlink>
        </w:p>
        <w:p w14:paraId="3E76A66B" w14:textId="3D0FA203"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79" w:history="1">
            <w:r w:rsidRPr="00D8037C">
              <w:rPr>
                <w:rStyle w:val="Hipervnculo"/>
                <w:noProof/>
              </w:rPr>
              <w:t>8.3 Validación del detector sobre una serie donde conocemos la respuesta</w:t>
            </w:r>
            <w:r>
              <w:rPr>
                <w:noProof/>
              </w:rPr>
              <w:tab/>
            </w:r>
            <w:r>
              <w:rPr>
                <w:noProof/>
              </w:rPr>
              <w:fldChar w:fldCharType="begin"/>
            </w:r>
            <w:r>
              <w:rPr>
                <w:noProof/>
              </w:rPr>
              <w:instrText xml:space="preserve"> PAGEREF _Toc237941079 \h </w:instrText>
            </w:r>
            <w:r>
              <w:rPr>
                <w:noProof/>
              </w:rPr>
            </w:r>
            <w:r>
              <w:rPr>
                <w:noProof/>
              </w:rPr>
              <w:fldChar w:fldCharType="separate"/>
            </w:r>
            <w:r>
              <w:rPr>
                <w:noProof/>
              </w:rPr>
              <w:t>33</w:t>
            </w:r>
            <w:r>
              <w:rPr>
                <w:noProof/>
              </w:rPr>
              <w:fldChar w:fldCharType="end"/>
            </w:r>
          </w:hyperlink>
        </w:p>
        <w:p w14:paraId="68DB2971" w14:textId="3F252D0D"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80" w:history="1">
            <w:r w:rsidRPr="00D8037C">
              <w:rPr>
                <w:rStyle w:val="Hipervnculo"/>
                <w:noProof/>
              </w:rPr>
              <w:t>8.4 A qué nivel de ruido se rompe el etiquetado</w:t>
            </w:r>
            <w:r>
              <w:rPr>
                <w:noProof/>
              </w:rPr>
              <w:tab/>
            </w:r>
            <w:r>
              <w:rPr>
                <w:noProof/>
              </w:rPr>
              <w:fldChar w:fldCharType="begin"/>
            </w:r>
            <w:r>
              <w:rPr>
                <w:noProof/>
              </w:rPr>
              <w:instrText xml:space="preserve"> PAGEREF _Toc237941080 \h </w:instrText>
            </w:r>
            <w:r>
              <w:rPr>
                <w:noProof/>
              </w:rPr>
            </w:r>
            <w:r>
              <w:rPr>
                <w:noProof/>
              </w:rPr>
              <w:fldChar w:fldCharType="separate"/>
            </w:r>
            <w:r>
              <w:rPr>
                <w:noProof/>
              </w:rPr>
              <w:t>34</w:t>
            </w:r>
            <w:r>
              <w:rPr>
                <w:noProof/>
              </w:rPr>
              <w:fldChar w:fldCharType="end"/>
            </w:r>
          </w:hyperlink>
        </w:p>
        <w:p w14:paraId="3AD1B456" w14:textId="3B285781" w:rsidR="00724430" w:rsidRDefault="007244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41081" w:history="1">
            <w:r w:rsidRPr="00D8037C">
              <w:rPr>
                <w:rStyle w:val="Hipervnculo"/>
                <w:noProof/>
              </w:rPr>
              <w:t>Métricas de Evaluación para Puntos de Inflexión</w:t>
            </w:r>
            <w:r>
              <w:rPr>
                <w:noProof/>
              </w:rPr>
              <w:tab/>
            </w:r>
            <w:r>
              <w:rPr>
                <w:noProof/>
              </w:rPr>
              <w:fldChar w:fldCharType="begin"/>
            </w:r>
            <w:r>
              <w:rPr>
                <w:noProof/>
              </w:rPr>
              <w:instrText xml:space="preserve"> PAGEREF _Toc237941081 \h </w:instrText>
            </w:r>
            <w:r>
              <w:rPr>
                <w:noProof/>
              </w:rPr>
            </w:r>
            <w:r>
              <w:rPr>
                <w:noProof/>
              </w:rPr>
              <w:fldChar w:fldCharType="separate"/>
            </w:r>
            <w:r>
              <w:rPr>
                <w:noProof/>
              </w:rPr>
              <w:t>37</w:t>
            </w:r>
            <w:r>
              <w:rPr>
                <w:noProof/>
              </w:rPr>
              <w:fldChar w:fldCharType="end"/>
            </w:r>
          </w:hyperlink>
        </w:p>
        <w:p w14:paraId="1A000A61" w14:textId="5D3B369A"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82" w:history="1">
            <w:r w:rsidRPr="00D8037C">
              <w:rPr>
                <w:rStyle w:val="Hipervnculo"/>
                <w:noProof/>
              </w:rPr>
              <w:t>1. El problema que hay que explicar antes que nada</w:t>
            </w:r>
            <w:r>
              <w:rPr>
                <w:noProof/>
              </w:rPr>
              <w:tab/>
            </w:r>
            <w:r>
              <w:rPr>
                <w:noProof/>
              </w:rPr>
              <w:fldChar w:fldCharType="begin"/>
            </w:r>
            <w:r>
              <w:rPr>
                <w:noProof/>
              </w:rPr>
              <w:instrText xml:space="preserve"> PAGEREF _Toc237941082 \h </w:instrText>
            </w:r>
            <w:r>
              <w:rPr>
                <w:noProof/>
              </w:rPr>
            </w:r>
            <w:r>
              <w:rPr>
                <w:noProof/>
              </w:rPr>
              <w:fldChar w:fldCharType="separate"/>
            </w:r>
            <w:r>
              <w:rPr>
                <w:noProof/>
              </w:rPr>
              <w:t>38</w:t>
            </w:r>
            <w:r>
              <w:rPr>
                <w:noProof/>
              </w:rPr>
              <w:fldChar w:fldCharType="end"/>
            </w:r>
          </w:hyperlink>
        </w:p>
        <w:p w14:paraId="0E9AFB7D" w14:textId="00C16FB2"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83" w:history="1">
            <w:r w:rsidRPr="00D8037C">
              <w:rPr>
                <w:rStyle w:val="Hipervnculo"/>
                <w:noProof/>
              </w:rPr>
              <w:t>2. Por qué la exactitud no sirve: medido, no argumentado</w:t>
            </w:r>
            <w:r>
              <w:rPr>
                <w:noProof/>
              </w:rPr>
              <w:tab/>
            </w:r>
            <w:r>
              <w:rPr>
                <w:noProof/>
              </w:rPr>
              <w:fldChar w:fldCharType="begin"/>
            </w:r>
            <w:r>
              <w:rPr>
                <w:noProof/>
              </w:rPr>
              <w:instrText xml:space="preserve"> PAGEREF _Toc237941083 \h </w:instrText>
            </w:r>
            <w:r>
              <w:rPr>
                <w:noProof/>
              </w:rPr>
            </w:r>
            <w:r>
              <w:rPr>
                <w:noProof/>
              </w:rPr>
              <w:fldChar w:fldCharType="separate"/>
            </w:r>
            <w:r>
              <w:rPr>
                <w:noProof/>
              </w:rPr>
              <w:t>40</w:t>
            </w:r>
            <w:r>
              <w:rPr>
                <w:noProof/>
              </w:rPr>
              <w:fldChar w:fldCharType="end"/>
            </w:r>
          </w:hyperlink>
        </w:p>
        <w:p w14:paraId="6AAEB27D" w14:textId="0861FE88"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84" w:history="1">
            <w:r w:rsidRPr="00D8037C">
              <w:rPr>
                <w:rStyle w:val="Hipervnculo"/>
                <w:noProof/>
              </w:rPr>
              <w:t>2.1 Un contraste que lo deja más claro todavía</w:t>
            </w:r>
            <w:r>
              <w:rPr>
                <w:noProof/>
              </w:rPr>
              <w:tab/>
            </w:r>
            <w:r>
              <w:rPr>
                <w:noProof/>
              </w:rPr>
              <w:fldChar w:fldCharType="begin"/>
            </w:r>
            <w:r>
              <w:rPr>
                <w:noProof/>
              </w:rPr>
              <w:instrText xml:space="preserve"> PAGEREF _Toc237941084 \h </w:instrText>
            </w:r>
            <w:r>
              <w:rPr>
                <w:noProof/>
              </w:rPr>
            </w:r>
            <w:r>
              <w:rPr>
                <w:noProof/>
              </w:rPr>
              <w:fldChar w:fldCharType="separate"/>
            </w:r>
            <w:r>
              <w:rPr>
                <w:noProof/>
              </w:rPr>
              <w:t>41</w:t>
            </w:r>
            <w:r>
              <w:rPr>
                <w:noProof/>
              </w:rPr>
              <w:fldChar w:fldCharType="end"/>
            </w:r>
          </w:hyperlink>
        </w:p>
        <w:p w14:paraId="4B025B92" w14:textId="4E3E363C"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85" w:history="1">
            <w:r w:rsidRPr="00D8037C">
              <w:rPr>
                <w:rStyle w:val="Hipervnculo"/>
                <w:noProof/>
              </w:rPr>
              <w:t>3. Las métricas que sí usamos</w:t>
            </w:r>
            <w:r>
              <w:rPr>
                <w:noProof/>
              </w:rPr>
              <w:tab/>
            </w:r>
            <w:r>
              <w:rPr>
                <w:noProof/>
              </w:rPr>
              <w:fldChar w:fldCharType="begin"/>
            </w:r>
            <w:r>
              <w:rPr>
                <w:noProof/>
              </w:rPr>
              <w:instrText xml:space="preserve"> PAGEREF _Toc237941085 \h </w:instrText>
            </w:r>
            <w:r>
              <w:rPr>
                <w:noProof/>
              </w:rPr>
            </w:r>
            <w:r>
              <w:rPr>
                <w:noProof/>
              </w:rPr>
              <w:fldChar w:fldCharType="separate"/>
            </w:r>
            <w:r>
              <w:rPr>
                <w:noProof/>
              </w:rPr>
              <w:t>43</w:t>
            </w:r>
            <w:r>
              <w:rPr>
                <w:noProof/>
              </w:rPr>
              <w:fldChar w:fldCharType="end"/>
            </w:r>
          </w:hyperlink>
        </w:p>
        <w:p w14:paraId="347FDB0A" w14:textId="57D2C30E"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86" w:history="1">
            <w:r w:rsidRPr="00D8037C">
              <w:rPr>
                <w:rStyle w:val="Hipervnculo"/>
                <w:noProof/>
              </w:rPr>
              <w:t>3.1 F1-Score por clase</w:t>
            </w:r>
            <w:r>
              <w:rPr>
                <w:noProof/>
              </w:rPr>
              <w:tab/>
            </w:r>
            <w:r>
              <w:rPr>
                <w:noProof/>
              </w:rPr>
              <w:fldChar w:fldCharType="begin"/>
            </w:r>
            <w:r>
              <w:rPr>
                <w:noProof/>
              </w:rPr>
              <w:instrText xml:space="preserve"> PAGEREF _Toc237941086 \h </w:instrText>
            </w:r>
            <w:r>
              <w:rPr>
                <w:noProof/>
              </w:rPr>
            </w:r>
            <w:r>
              <w:rPr>
                <w:noProof/>
              </w:rPr>
              <w:fldChar w:fldCharType="separate"/>
            </w:r>
            <w:r>
              <w:rPr>
                <w:noProof/>
              </w:rPr>
              <w:t>43</w:t>
            </w:r>
            <w:r>
              <w:rPr>
                <w:noProof/>
              </w:rPr>
              <w:fldChar w:fldCharType="end"/>
            </w:r>
          </w:hyperlink>
        </w:p>
        <w:p w14:paraId="2802D0CC" w14:textId="353B40E8"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87" w:history="1">
            <w:r w:rsidRPr="00D8037C">
              <w:rPr>
                <w:rStyle w:val="Hipervnculo"/>
                <w:noProof/>
              </w:rPr>
              <w:t>3.2 F1 macro, y por qué no ponderado</w:t>
            </w:r>
            <w:r>
              <w:rPr>
                <w:noProof/>
              </w:rPr>
              <w:tab/>
            </w:r>
            <w:r>
              <w:rPr>
                <w:noProof/>
              </w:rPr>
              <w:fldChar w:fldCharType="begin"/>
            </w:r>
            <w:r>
              <w:rPr>
                <w:noProof/>
              </w:rPr>
              <w:instrText xml:space="preserve"> PAGEREF _Toc237941087 \h </w:instrText>
            </w:r>
            <w:r>
              <w:rPr>
                <w:noProof/>
              </w:rPr>
            </w:r>
            <w:r>
              <w:rPr>
                <w:noProof/>
              </w:rPr>
              <w:fldChar w:fldCharType="separate"/>
            </w:r>
            <w:r>
              <w:rPr>
                <w:noProof/>
              </w:rPr>
              <w:t>44</w:t>
            </w:r>
            <w:r>
              <w:rPr>
                <w:noProof/>
              </w:rPr>
              <w:fldChar w:fldCharType="end"/>
            </w:r>
          </w:hyperlink>
        </w:p>
        <w:p w14:paraId="0F10E480" w14:textId="53BCFDC8"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88" w:history="1">
            <w:r w:rsidRPr="00D8037C">
              <w:rPr>
                <w:rStyle w:val="Hipervnculo"/>
                <w:noProof/>
              </w:rPr>
              <w:t>3.3 Precisión direccional</w:t>
            </w:r>
            <w:r>
              <w:rPr>
                <w:noProof/>
              </w:rPr>
              <w:tab/>
            </w:r>
            <w:r>
              <w:rPr>
                <w:noProof/>
              </w:rPr>
              <w:fldChar w:fldCharType="begin"/>
            </w:r>
            <w:r>
              <w:rPr>
                <w:noProof/>
              </w:rPr>
              <w:instrText xml:space="preserve"> PAGEREF _Toc237941088 \h </w:instrText>
            </w:r>
            <w:r>
              <w:rPr>
                <w:noProof/>
              </w:rPr>
            </w:r>
            <w:r>
              <w:rPr>
                <w:noProof/>
              </w:rPr>
              <w:fldChar w:fldCharType="separate"/>
            </w:r>
            <w:r>
              <w:rPr>
                <w:noProof/>
              </w:rPr>
              <w:t>45</w:t>
            </w:r>
            <w:r>
              <w:rPr>
                <w:noProof/>
              </w:rPr>
              <w:fldChar w:fldCharType="end"/>
            </w:r>
          </w:hyperlink>
        </w:p>
        <w:p w14:paraId="161AB36E" w14:textId="5F9836B4"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89" w:history="1">
            <w:r w:rsidRPr="00D8037C">
              <w:rPr>
                <w:rStyle w:val="Hipervnculo"/>
                <w:noProof/>
              </w:rPr>
              <w:t>3.4 Matriz de confusión</w:t>
            </w:r>
            <w:r>
              <w:rPr>
                <w:noProof/>
              </w:rPr>
              <w:tab/>
            </w:r>
            <w:r>
              <w:rPr>
                <w:noProof/>
              </w:rPr>
              <w:fldChar w:fldCharType="begin"/>
            </w:r>
            <w:r>
              <w:rPr>
                <w:noProof/>
              </w:rPr>
              <w:instrText xml:space="preserve"> PAGEREF _Toc237941089 \h </w:instrText>
            </w:r>
            <w:r>
              <w:rPr>
                <w:noProof/>
              </w:rPr>
            </w:r>
            <w:r>
              <w:rPr>
                <w:noProof/>
              </w:rPr>
              <w:fldChar w:fldCharType="separate"/>
            </w:r>
            <w:r>
              <w:rPr>
                <w:noProof/>
              </w:rPr>
              <w:t>46</w:t>
            </w:r>
            <w:r>
              <w:rPr>
                <w:noProof/>
              </w:rPr>
              <w:fldChar w:fldCharType="end"/>
            </w:r>
          </w:hyperlink>
        </w:p>
        <w:p w14:paraId="19624DE4" w14:textId="19F4F978" w:rsidR="00724430" w:rsidRDefault="0072443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41090" w:history="1">
            <w:r w:rsidRPr="00D8037C">
              <w:rPr>
                <w:rStyle w:val="Hipervnculo"/>
                <w:noProof/>
              </w:rPr>
              <w:t>3.5 Exactitud</w:t>
            </w:r>
            <w:r>
              <w:rPr>
                <w:noProof/>
              </w:rPr>
              <w:tab/>
            </w:r>
            <w:r>
              <w:rPr>
                <w:noProof/>
              </w:rPr>
              <w:fldChar w:fldCharType="begin"/>
            </w:r>
            <w:r>
              <w:rPr>
                <w:noProof/>
              </w:rPr>
              <w:instrText xml:space="preserve"> PAGEREF _Toc237941090 \h </w:instrText>
            </w:r>
            <w:r>
              <w:rPr>
                <w:noProof/>
              </w:rPr>
            </w:r>
            <w:r>
              <w:rPr>
                <w:noProof/>
              </w:rPr>
              <w:fldChar w:fldCharType="separate"/>
            </w:r>
            <w:r>
              <w:rPr>
                <w:noProof/>
              </w:rPr>
              <w:t>46</w:t>
            </w:r>
            <w:r>
              <w:rPr>
                <w:noProof/>
              </w:rPr>
              <w:fldChar w:fldCharType="end"/>
            </w:r>
          </w:hyperlink>
        </w:p>
        <w:p w14:paraId="6B52EFE1" w14:textId="0BD9647C"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91" w:history="1">
            <w:r w:rsidRPr="00D8037C">
              <w:rPr>
                <w:rStyle w:val="Hipervnculo"/>
                <w:noProof/>
              </w:rPr>
              <w:t>4. Una advertencia sobre cómo leer la matriz de confusión de este problema</w:t>
            </w:r>
            <w:r>
              <w:rPr>
                <w:noProof/>
              </w:rPr>
              <w:tab/>
            </w:r>
            <w:r>
              <w:rPr>
                <w:noProof/>
              </w:rPr>
              <w:fldChar w:fldCharType="begin"/>
            </w:r>
            <w:r>
              <w:rPr>
                <w:noProof/>
              </w:rPr>
              <w:instrText xml:space="preserve"> PAGEREF _Toc237941091 \h </w:instrText>
            </w:r>
            <w:r>
              <w:rPr>
                <w:noProof/>
              </w:rPr>
            </w:r>
            <w:r>
              <w:rPr>
                <w:noProof/>
              </w:rPr>
              <w:fldChar w:fldCharType="separate"/>
            </w:r>
            <w:r>
              <w:rPr>
                <w:noProof/>
              </w:rPr>
              <w:t>46</w:t>
            </w:r>
            <w:r>
              <w:rPr>
                <w:noProof/>
              </w:rPr>
              <w:fldChar w:fldCharType="end"/>
            </w:r>
          </w:hyperlink>
        </w:p>
        <w:p w14:paraId="67C97296" w14:textId="02CE5110"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92" w:history="1">
            <w:r w:rsidRPr="00D8037C">
              <w:rPr>
                <w:rStyle w:val="Hipervnculo"/>
                <w:noProof/>
              </w:rPr>
              <w:t>5. El baseline como piso obligatorio</w:t>
            </w:r>
            <w:r>
              <w:rPr>
                <w:noProof/>
              </w:rPr>
              <w:tab/>
            </w:r>
            <w:r>
              <w:rPr>
                <w:noProof/>
              </w:rPr>
              <w:fldChar w:fldCharType="begin"/>
            </w:r>
            <w:r>
              <w:rPr>
                <w:noProof/>
              </w:rPr>
              <w:instrText xml:space="preserve"> PAGEREF _Toc237941092 \h </w:instrText>
            </w:r>
            <w:r>
              <w:rPr>
                <w:noProof/>
              </w:rPr>
            </w:r>
            <w:r>
              <w:rPr>
                <w:noProof/>
              </w:rPr>
              <w:fldChar w:fldCharType="separate"/>
            </w:r>
            <w:r>
              <w:rPr>
                <w:noProof/>
              </w:rPr>
              <w:t>47</w:t>
            </w:r>
            <w:r>
              <w:rPr>
                <w:noProof/>
              </w:rPr>
              <w:fldChar w:fldCharType="end"/>
            </w:r>
          </w:hyperlink>
        </w:p>
        <w:p w14:paraId="363DDB68" w14:textId="21961C40" w:rsidR="00724430" w:rsidRDefault="007244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41093" w:history="1">
            <w:r w:rsidRPr="00D8037C">
              <w:rPr>
                <w:rStyle w:val="Hipervnculo"/>
                <w:noProof/>
              </w:rPr>
              <w:t>Conclusiones</w:t>
            </w:r>
            <w:r>
              <w:rPr>
                <w:noProof/>
              </w:rPr>
              <w:tab/>
            </w:r>
            <w:r>
              <w:rPr>
                <w:noProof/>
              </w:rPr>
              <w:fldChar w:fldCharType="begin"/>
            </w:r>
            <w:r>
              <w:rPr>
                <w:noProof/>
              </w:rPr>
              <w:instrText xml:space="preserve"> PAGEREF _Toc237941093 \h </w:instrText>
            </w:r>
            <w:r>
              <w:rPr>
                <w:noProof/>
              </w:rPr>
            </w:r>
            <w:r>
              <w:rPr>
                <w:noProof/>
              </w:rPr>
              <w:fldChar w:fldCharType="separate"/>
            </w:r>
            <w:r>
              <w:rPr>
                <w:noProof/>
              </w:rPr>
              <w:t>47</w:t>
            </w:r>
            <w:r>
              <w:rPr>
                <w:noProof/>
              </w:rPr>
              <w:fldChar w:fldCharType="end"/>
            </w:r>
          </w:hyperlink>
        </w:p>
        <w:p w14:paraId="7E16E25E" w14:textId="58945A6B"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94" w:history="1">
            <w:r w:rsidRPr="00D8037C">
              <w:rPr>
                <w:rStyle w:val="Hipervnculo"/>
                <w:noProof/>
              </w:rPr>
              <w:t>Limitaciones</w:t>
            </w:r>
            <w:r>
              <w:rPr>
                <w:noProof/>
              </w:rPr>
              <w:tab/>
            </w:r>
            <w:r>
              <w:rPr>
                <w:noProof/>
              </w:rPr>
              <w:fldChar w:fldCharType="begin"/>
            </w:r>
            <w:r>
              <w:rPr>
                <w:noProof/>
              </w:rPr>
              <w:instrText xml:space="preserve"> PAGEREF _Toc237941094 \h </w:instrText>
            </w:r>
            <w:r>
              <w:rPr>
                <w:noProof/>
              </w:rPr>
            </w:r>
            <w:r>
              <w:rPr>
                <w:noProof/>
              </w:rPr>
              <w:fldChar w:fldCharType="separate"/>
            </w:r>
            <w:r>
              <w:rPr>
                <w:noProof/>
              </w:rPr>
              <w:t>49</w:t>
            </w:r>
            <w:r>
              <w:rPr>
                <w:noProof/>
              </w:rPr>
              <w:fldChar w:fldCharType="end"/>
            </w:r>
          </w:hyperlink>
        </w:p>
        <w:p w14:paraId="4EF73C30" w14:textId="7B1B4DE0" w:rsidR="00724430" w:rsidRDefault="0072443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41095" w:history="1">
            <w:r w:rsidRPr="00D8037C">
              <w:rPr>
                <w:rStyle w:val="Hipervnculo"/>
                <w:noProof/>
              </w:rPr>
              <w:t>Trabajo siguiente</w:t>
            </w:r>
            <w:r>
              <w:rPr>
                <w:noProof/>
              </w:rPr>
              <w:tab/>
            </w:r>
            <w:r>
              <w:rPr>
                <w:noProof/>
              </w:rPr>
              <w:fldChar w:fldCharType="begin"/>
            </w:r>
            <w:r>
              <w:rPr>
                <w:noProof/>
              </w:rPr>
              <w:instrText xml:space="preserve"> PAGEREF _Toc237941095 \h </w:instrText>
            </w:r>
            <w:r>
              <w:rPr>
                <w:noProof/>
              </w:rPr>
            </w:r>
            <w:r>
              <w:rPr>
                <w:noProof/>
              </w:rPr>
              <w:fldChar w:fldCharType="separate"/>
            </w:r>
            <w:r>
              <w:rPr>
                <w:noProof/>
              </w:rPr>
              <w:t>49</w:t>
            </w:r>
            <w:r>
              <w:rPr>
                <w:noProof/>
              </w:rPr>
              <w:fldChar w:fldCharType="end"/>
            </w:r>
          </w:hyperlink>
        </w:p>
        <w:p w14:paraId="7DCCEA01" w14:textId="27048B24" w:rsidR="00724430" w:rsidRDefault="0072443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41096" w:history="1">
            <w:r w:rsidRPr="00D8037C">
              <w:rPr>
                <w:rStyle w:val="Hipervnculo"/>
                <w:noProof/>
              </w:rPr>
              <w:t>Referencias</w:t>
            </w:r>
            <w:r>
              <w:rPr>
                <w:noProof/>
              </w:rPr>
              <w:tab/>
            </w:r>
            <w:r>
              <w:rPr>
                <w:noProof/>
              </w:rPr>
              <w:fldChar w:fldCharType="begin"/>
            </w:r>
            <w:r>
              <w:rPr>
                <w:noProof/>
              </w:rPr>
              <w:instrText xml:space="preserve"> PAGEREF _Toc237941096 \h </w:instrText>
            </w:r>
            <w:r>
              <w:rPr>
                <w:noProof/>
              </w:rPr>
            </w:r>
            <w:r>
              <w:rPr>
                <w:noProof/>
              </w:rPr>
              <w:fldChar w:fldCharType="separate"/>
            </w:r>
            <w:r>
              <w:rPr>
                <w:noProof/>
              </w:rPr>
              <w:t>51</w:t>
            </w:r>
            <w:r>
              <w:rPr>
                <w:noProof/>
              </w:rPr>
              <w:fldChar w:fldCharType="end"/>
            </w:r>
          </w:hyperlink>
        </w:p>
        <w:p w14:paraId="554C5F37" w14:textId="03A185E5" w:rsidR="00002083" w:rsidRDefault="00F050D8">
          <w:r>
            <w:lastRenderedPageBreak/>
            <w:fldChar w:fldCharType="end"/>
          </w:r>
        </w:p>
      </w:sdtContent>
    </w:sdt>
    <w:p w14:paraId="6DEDB56B" w14:textId="77777777" w:rsidR="00002083" w:rsidRDefault="00F050D8">
      <w:pPr>
        <w:pStyle w:val="Ttulo1"/>
        <w:keepNext/>
      </w:pPr>
      <w:bookmarkStart w:id="0" w:name="_Toc237941058"/>
      <w:r>
        <w:t xml:space="preserve">Sistema de Pronóstico de Puntos de Inflexión en el Precio de </w:t>
      </w:r>
      <w:proofErr w:type="spellStart"/>
      <w:r>
        <w:t>Litecoin</w:t>
      </w:r>
      <w:bookmarkEnd w:id="0"/>
      <w:proofErr w:type="spellEnd"/>
    </w:p>
    <w:p w14:paraId="5355AE0D" w14:textId="77777777" w:rsidR="00002083" w:rsidRDefault="00F050D8">
      <w:pPr>
        <w:ind w:firstLine="720"/>
      </w:pPr>
      <w:r>
        <w:rPr>
          <w:b/>
          <w:bCs/>
        </w:rPr>
        <w:t>Autor:</w:t>
      </w:r>
      <w:r>
        <w:t xml:space="preserve"> </w:t>
      </w:r>
      <w:proofErr w:type="spellStart"/>
      <w:r>
        <w:t>Fabrizio</w:t>
      </w:r>
      <w:proofErr w:type="spellEnd"/>
      <w:r>
        <w:t xml:space="preserve"> Espinoza Arce · Ensamblaje</w:t>
      </w:r>
    </w:p>
    <w:p w14:paraId="1902FD05" w14:textId="77777777" w:rsidR="00002083" w:rsidRDefault="00F050D8">
      <w:pPr>
        <w:ind w:firstLine="720"/>
      </w:pPr>
      <w:r>
        <w:t xml:space="preserve">El presente documento constituye el marco teórico del Caso N.º 1 y corresponde a la primera de las cinco entregas del proyecto. Su objeto es establecer los fundamentos conceptuales sobre series de tiempo y sobre </w:t>
      </w:r>
      <w:proofErr w:type="spellStart"/>
      <w:r>
        <w:t>criptoactivos</w:t>
      </w:r>
      <w:proofErr w:type="spellEnd"/>
      <w:r>
        <w:t xml:space="preserve"> que sustentan el desarrollo posterior de un modelo de aprendizaje automático supervisado para el pronóstico de puntos de inflexión en el precio de </w:t>
      </w:r>
      <w:proofErr w:type="spellStart"/>
      <w:r>
        <w:t>Litecoin</w:t>
      </w:r>
      <w:proofErr w:type="spellEnd"/>
      <w:r>
        <w:t>.</w:t>
      </w:r>
    </w:p>
    <w:p w14:paraId="22B1698E" w14:textId="77777777" w:rsidR="00002083" w:rsidRDefault="00F050D8">
      <w:pPr>
        <w:ind w:firstLine="720"/>
      </w:pPr>
      <w:r>
        <w:t>El problema puede enunciarse con precisión: clasificar cada instante de la serie de precios de LTC en una de tres categorías —máximo local, mínimo local o zona de continuidad— utilizando como variables de apoyo las cinco criptomonedas de mayor capitalización con función sistémica en el mercado: Bitcoin, Ethereum, Solana, XRP y Cardano. La dificultad no reside en la formulación, que es un problema de clasificación multiclase, sino en las propiedades de las series involucradas: ausencia de estacionariedad, volatilidad elevada y variable en el tiempo, y ausencia de un anclaje de valoración fundamental que permita anticipar reversiones por argumentos económicos.</w:t>
      </w:r>
    </w:p>
    <w:p w14:paraId="0B2B4408" w14:textId="77777777" w:rsidR="00002083" w:rsidRDefault="00F050D8">
      <w:pPr>
        <w:ind w:firstLine="720"/>
      </w:pPr>
      <w:r>
        <w:t xml:space="preserve">El documento adopta un criterio metodológico que conviene declarar desde el inicio, porque condiciona la forma de todas las secciones. </w:t>
      </w:r>
      <w:r>
        <w:rPr>
          <w:b/>
          <w:bCs/>
        </w:rPr>
        <w:t>Ningún concepto se expone únicamente como definición.</w:t>
      </w:r>
      <w:r>
        <w:t xml:space="preserve"> Cada propiedad enunciada se acompaña de su verificación sobre los datos del proyecto, y el valor obtenido se reporta explícitamente. Cuando una afirmación no ha sido comprobada, se indica que no lo ha sido en lugar de omitirse.</w:t>
      </w:r>
    </w:p>
    <w:p w14:paraId="15DD9969" w14:textId="77777777" w:rsidR="00002083" w:rsidRDefault="00F050D8">
      <w:pPr>
        <w:ind w:firstLine="720"/>
      </w:pPr>
      <w:r>
        <w:t xml:space="preserve">A ese criterio se añade un segundo, sugerido por el profesor durante la sesión de trabajo. Varios conceptos se ilustran mediante </w:t>
      </w:r>
      <w:r>
        <w:rPr>
          <w:b/>
          <w:bCs/>
        </w:rPr>
        <w:t>series construidas sintéticamente por los autores</w:t>
      </w:r>
      <w:r>
        <w:t xml:space="preserve">, en las </w:t>
      </w:r>
      <w:r>
        <w:lastRenderedPageBreak/>
        <w:t>cuales la volatilidad y la correlación se fijan de antemano. El propósito es verificar que los procedimientos empleados detectan aquello que declaran detectar antes de aplicarlos sobre datos reales, donde la respuesta correcta se desconoce. Las series construidas se identifican como tales en cada figura, y ninguna afirmación sobre el mercado se apoya en ellas.</w:t>
      </w:r>
    </w:p>
    <w:p w14:paraId="715314F4" w14:textId="77777777" w:rsidR="00002083" w:rsidRDefault="00F050D8">
      <w:pPr>
        <w:ind w:firstLine="720"/>
      </w:pPr>
      <w:r>
        <w:t xml:space="preserve">La exposición se organiza en tres bloques: los fundamentos de series de tiempo —definición, componentes, estacionariedad y su ausencia, heterocedasticidad, volatilidad, autocorrelación y correlación cruzada—; los </w:t>
      </w:r>
      <w:proofErr w:type="spellStart"/>
      <w:r>
        <w:t>criptoactivos</w:t>
      </w:r>
      <w:proofErr w:type="spellEnd"/>
      <w:r>
        <w:t xml:space="preserve"> —definición, características, tipos, estructura del mercado, factores del precio, dependencia entre activos y definición operativa del punto de inflexión—; y las métricas de evaluación, que exigen tratamiento propio debido al desbalance estructural de las clases.</w:t>
      </w:r>
    </w:p>
    <w:p w14:paraId="1B57BD3E" w14:textId="77777777" w:rsidR="00002083" w:rsidRDefault="00F050D8">
      <w:pPr>
        <w:ind w:firstLine="720"/>
      </w:pPr>
      <w:r>
        <w:t xml:space="preserve">Los datos provienen de la interfaz pública de programación de </w:t>
      </w:r>
      <w:proofErr w:type="spellStart"/>
      <w:r>
        <w:t>Binance</w:t>
      </w:r>
      <w:proofErr w:type="spellEnd"/>
      <w:r>
        <w:t xml:space="preserve"> y comprenden 2 185 observaciones diarias del precio de cierre de las seis criptomonedas, entre el 11 de agosto de 2020 y el 4 de agosto de 2026. La ventana se encuentra acotada por Solana, cuya cotización se inicia en la primera de esas fechas: un panel multivariante exige que las seis series existan simultáneamente en cada instante, de modo que los períodos anteriores se descartan por incompletos.</w:t>
      </w:r>
    </w:p>
    <w:p w14:paraId="1003BCE2" w14:textId="77777777" w:rsidR="00002083" w:rsidRDefault="00F050D8">
      <w:pPr>
        <w:pStyle w:val="Ttulo1"/>
        <w:keepNext/>
      </w:pPr>
      <w:bookmarkStart w:id="1" w:name="_Toc237941059"/>
      <w:r>
        <w:t>Marco Teórico: Series de Tiempo</w:t>
      </w:r>
      <w:bookmarkEnd w:id="1"/>
    </w:p>
    <w:p w14:paraId="7A71D6E8" w14:textId="77777777" w:rsidR="00002083" w:rsidRDefault="00F050D8">
      <w:pPr>
        <w:ind w:firstLine="720"/>
      </w:pPr>
      <w:r>
        <w:rPr>
          <w:b/>
          <w:bCs/>
        </w:rPr>
        <w:t>Autor:</w:t>
      </w:r>
      <w:r>
        <w:t xml:space="preserve"> </w:t>
      </w:r>
      <w:proofErr w:type="spellStart"/>
      <w:r>
        <w:t>Jose</w:t>
      </w:r>
      <w:proofErr w:type="spellEnd"/>
      <w:r>
        <w:t xml:space="preserve"> Pablo Monestel · </w:t>
      </w:r>
      <w:proofErr w:type="spellStart"/>
      <w:r>
        <w:rPr>
          <w:b/>
          <w:bCs/>
        </w:rPr>
        <w:t>Issue</w:t>
      </w:r>
      <w:proofErr w:type="spellEnd"/>
      <w:r>
        <w:rPr>
          <w:b/>
          <w:bCs/>
        </w:rPr>
        <w:t>:</w:t>
      </w:r>
      <w:r>
        <w:t xml:space="preserve"> S1-M1-06</w:t>
      </w:r>
    </w:p>
    <w:p w14:paraId="7C4E73F2" w14:textId="77777777" w:rsidR="00002083" w:rsidRDefault="00F050D8">
      <w:pPr>
        <w:ind w:left="720"/>
      </w:pPr>
      <w:r>
        <w:rPr>
          <w:b/>
          <w:bCs/>
        </w:rPr>
        <w:t>Nota de verificación.</w:t>
      </w:r>
      <w:r>
        <w:t xml:space="preserve"> Todos los valores citados salen de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 xml:space="preserve">, medidos el 12/08/2026 sobre 2 185 velas diarias de 2020-08-11 a 2026-08-04, y se comprobaron con </w:t>
      </w:r>
      <w:r>
        <w:rPr>
          <w:rFonts w:ascii="Courier New" w:eastAsia="Courier New" w:hAnsi="Courier New" w:cs="Courier New"/>
          <w:sz w:val="22"/>
          <w:szCs w:val="22"/>
        </w:rPr>
        <w:t>scripts/verificar_numeros.py</w:t>
      </w:r>
      <w:r>
        <w:t xml:space="preserve">. Las referencias bibliográficas se comprobaron contra el registro de </w:t>
      </w:r>
      <w:proofErr w:type="spellStart"/>
      <w:r>
        <w:t>Crossref</w:t>
      </w:r>
      <w:proofErr w:type="spellEnd"/>
      <w:r>
        <w:t xml:space="preserve"> el 17 de agosto de 2026 con </w:t>
      </w:r>
      <w:r>
        <w:rPr>
          <w:rFonts w:ascii="Courier New" w:eastAsia="Courier New" w:hAnsi="Courier New" w:cs="Courier New"/>
          <w:sz w:val="22"/>
          <w:szCs w:val="22"/>
        </w:rPr>
        <w:lastRenderedPageBreak/>
        <w:t>scripts/verificar_referencias.py</w:t>
      </w:r>
      <w:r>
        <w:t xml:space="preserve"> —incluida la retractación de Corbet et al. (2019), que por eso no aparece citada aquí.</w:t>
      </w:r>
    </w:p>
    <w:p w14:paraId="68C2F9E1" w14:textId="77777777" w:rsidR="00002083" w:rsidRDefault="00F050D8">
      <w:pPr>
        <w:pStyle w:val="Ttulo2"/>
        <w:keepNext/>
      </w:pPr>
      <w:bookmarkStart w:id="2" w:name="_Toc237941060"/>
      <w:r>
        <w:t>1. Definición de serie temporal</w:t>
      </w:r>
      <w:bookmarkEnd w:id="2"/>
    </w:p>
    <w:p w14:paraId="1AF92D65" w14:textId="77777777" w:rsidR="00002083" w:rsidRDefault="00F050D8">
      <w:pPr>
        <w:keepNext/>
        <w:spacing w:before="240"/>
      </w:pPr>
      <w:r>
        <w:rPr>
          <w:b/>
          <w:bCs/>
        </w:rPr>
        <w:t>Figura 1</w:t>
      </w:r>
    </w:p>
    <w:p w14:paraId="644F2A72" w14:textId="77777777" w:rsidR="00002083" w:rsidRDefault="00F050D8">
      <w:pPr>
        <w:keepNext/>
        <w:spacing w:after="120"/>
      </w:pPr>
      <w:r>
        <w:rPr>
          <w:i/>
          <w:iCs/>
        </w:rPr>
        <w:t xml:space="preserve">Precio de cierre diario de </w:t>
      </w:r>
      <w:proofErr w:type="spellStart"/>
      <w:r>
        <w:rPr>
          <w:i/>
          <w:iCs/>
        </w:rPr>
        <w:t>Litecoin</w:t>
      </w:r>
      <w:proofErr w:type="spellEnd"/>
      <w:r>
        <w:rPr>
          <w:i/>
          <w:iCs/>
        </w:rPr>
        <w:t>, 2 185 observaciones entre el 11 de agosto de 2020 y el 4 de agosto de 2026.</w:t>
      </w:r>
    </w:p>
    <w:p w14:paraId="4C1C3E71" w14:textId="77777777" w:rsidR="00002083" w:rsidRDefault="00F050D8">
      <w:pPr>
        <w:spacing w:after="120"/>
        <w:jc w:val="center"/>
      </w:pPr>
      <w:r>
        <w:rPr>
          <w:noProof/>
        </w:rPr>
        <w:drawing>
          <wp:inline distT="0" distB="0" distL="0" distR="0" wp14:anchorId="7FC7246D" wp14:editId="15CD5F76">
            <wp:extent cx="5715000" cy="2847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72944585" w14:textId="77777777" w:rsidR="00002083" w:rsidRDefault="00F050D8">
      <w:pPr>
        <w:ind w:firstLine="720"/>
      </w:pPr>
      <w:r>
        <w:t xml:space="preserve">Una serie temporal es una secuencia de observaciones de una misma variable, indexadas por el momento en que fueron registradas (Box et al., 2015). Lo que la separa de un conjunto de datos transversal es que el orden constituye el dato: en una muestra de clientes las filas pueden alterarse sin pérdida, porque cada observación es independiente por diseño; en una serie temporal la observación en </w:t>
      </w:r>
      <w:r>
        <w:rPr>
          <w:rFonts w:ascii="Courier New" w:eastAsia="Courier New" w:hAnsi="Courier New" w:cs="Courier New"/>
          <w:sz w:val="22"/>
          <w:szCs w:val="22"/>
        </w:rPr>
        <w:t>t</w:t>
      </w:r>
      <w:r>
        <w:t xml:space="preserve"> está relacionada con la de </w:t>
      </w:r>
      <w:r>
        <w:rPr>
          <w:rFonts w:ascii="Courier New" w:eastAsia="Courier New" w:hAnsi="Courier New" w:cs="Courier New"/>
          <w:sz w:val="22"/>
          <w:szCs w:val="22"/>
        </w:rPr>
        <w:t>t-1</w:t>
      </w:r>
      <w:r>
        <w:t>, y esa dependencia es lo que hay que modelar. Reordenarla no la desordena, la destruye.</w:t>
      </w:r>
    </w:p>
    <w:p w14:paraId="3D3C02AB" w14:textId="77777777" w:rsidR="00002083" w:rsidRDefault="00F050D8">
      <w:pPr>
        <w:ind w:firstLine="720"/>
      </w:pPr>
      <w:r>
        <w:t xml:space="preserve">La Figura 1 muestra el objeto de este trabajo: </w:t>
      </w:r>
      <w:r>
        <w:rPr>
          <w:b/>
          <w:bCs/>
        </w:rPr>
        <w:t>2 185 observaciones</w:t>
      </w:r>
      <w:r>
        <w:t xml:space="preserve"> equiespaciadas del precio de cierre diario de </w:t>
      </w:r>
      <w:proofErr w:type="spellStart"/>
      <w:r>
        <w:t>Litecoin</w:t>
      </w:r>
      <w:proofErr w:type="spellEnd"/>
      <w:r>
        <w:t xml:space="preserve">. Es una serie univariante y regular, y esa regularidad no es del </w:t>
      </w:r>
      <w:r>
        <w:lastRenderedPageBreak/>
        <w:t>mercado sino una decisión de muestreo —velas diarias— sobre un activo que cotiza de forma continua las veinticuatro horas. Todo el análisis posterior presupone que ese orden es información.</w:t>
      </w:r>
    </w:p>
    <w:p w14:paraId="423F1DA2" w14:textId="77777777" w:rsidR="00002083" w:rsidRDefault="00F050D8">
      <w:pPr>
        <w:pStyle w:val="Ttulo2"/>
        <w:keepNext/>
      </w:pPr>
      <w:bookmarkStart w:id="3" w:name="_Toc237941061"/>
      <w:r>
        <w:t>2. Componentes de una serie temporal</w:t>
      </w:r>
      <w:bookmarkEnd w:id="3"/>
    </w:p>
    <w:p w14:paraId="0A609C95" w14:textId="77777777" w:rsidR="00002083" w:rsidRDefault="00F050D8">
      <w:pPr>
        <w:keepNext/>
        <w:spacing w:before="240"/>
      </w:pPr>
      <w:r>
        <w:rPr>
          <w:b/>
          <w:bCs/>
        </w:rPr>
        <w:t>Figura 2</w:t>
      </w:r>
    </w:p>
    <w:p w14:paraId="3763B39B" w14:textId="77777777" w:rsidR="00002083" w:rsidRDefault="00F050D8">
      <w:pPr>
        <w:keepNext/>
        <w:spacing w:after="120"/>
      </w:pPr>
      <w:r>
        <w:rPr>
          <w:i/>
          <w:iCs/>
        </w:rPr>
        <w:t>Descomposición aditiva de la serie de LTC en tendencia, estacionalidad de período semanal y residuo.</w:t>
      </w:r>
    </w:p>
    <w:p w14:paraId="06EE12FC" w14:textId="77777777" w:rsidR="00002083" w:rsidRDefault="00F050D8">
      <w:pPr>
        <w:spacing w:after="120"/>
        <w:jc w:val="center"/>
      </w:pPr>
      <w:r>
        <w:rPr>
          <w:noProof/>
        </w:rPr>
        <w:drawing>
          <wp:inline distT="0" distB="0" distL="0" distR="0" wp14:anchorId="02D40112" wp14:editId="1A39C2CB">
            <wp:extent cx="5715000" cy="5029200"/>
            <wp:effectExtent l="0" t="0" r="0" b="0"/>
            <wp:docPr id="1829927695" name="Imagen 182992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29200"/>
                    </a:xfrm>
                    <a:prstGeom prst="rect">
                      <a:avLst/>
                    </a:prstGeom>
                  </pic:spPr>
                </pic:pic>
              </a:graphicData>
            </a:graphic>
          </wp:inline>
        </w:drawing>
      </w:r>
    </w:p>
    <w:p w14:paraId="765B0092" w14:textId="77777777" w:rsidR="00002083" w:rsidRDefault="00F050D8">
      <w:pPr>
        <w:ind w:firstLine="720"/>
      </w:pPr>
      <w:r>
        <w:rPr>
          <w:b/>
          <w:bCs/>
        </w:rPr>
        <w:lastRenderedPageBreak/>
        <w:t>Medido:</w:t>
      </w:r>
      <w:r>
        <w:t xml:space="preserve"> el componente estacional representa el </w:t>
      </w:r>
      <w:r>
        <w:rPr>
          <w:b/>
          <w:bCs/>
        </w:rPr>
        <w:t>0,426 %</w:t>
      </w:r>
      <w:r>
        <w:t xml:space="preserve"> de la desviación total de la serie.</w:t>
      </w:r>
    </w:p>
    <w:p w14:paraId="1C31D5A1" w14:textId="77777777" w:rsidR="00002083" w:rsidRDefault="00F050D8">
      <w:pPr>
        <w:ind w:firstLine="720"/>
      </w:pPr>
      <w:r>
        <w:t xml:space="preserve">Una serie temporal se descompone en cuatro componentes (Box et al., 2015). La </w:t>
      </w:r>
      <w:r>
        <w:rPr>
          <w:b/>
          <w:bCs/>
        </w:rPr>
        <w:t>tendencia</w:t>
      </w:r>
      <w:r>
        <w:t xml:space="preserve"> es el movimiento de largo plazo que no se revierte dentro del horizonte de la muestra. La </w:t>
      </w:r>
      <w:r>
        <w:rPr>
          <w:b/>
          <w:bCs/>
        </w:rPr>
        <w:t>estacionalidad</w:t>
      </w:r>
      <w:r>
        <w:t xml:space="preserve"> es un patrón de periodicidad fija que suele responder a convenciones de calendario: en la bolsa tradicional está documentado desde hace décadas un efecto de fin de semana, con rendimientos distintos según el día en que cierra la operación (French, 1980). El </w:t>
      </w:r>
      <w:r>
        <w:rPr>
          <w:b/>
          <w:bCs/>
        </w:rPr>
        <w:t>ciclo</w:t>
      </w:r>
      <w:r>
        <w:t xml:space="preserve"> es un movimiento de duración variable, asociado a factores macroeconómicos. El </w:t>
      </w:r>
      <w:r>
        <w:rPr>
          <w:b/>
          <w:bCs/>
        </w:rPr>
        <w:t>residuo</w:t>
      </w:r>
      <w:r>
        <w:t xml:space="preserve"> es lo que queda al retirar los tres anteriores.</w:t>
      </w:r>
    </w:p>
    <w:p w14:paraId="3EDD4D3E" w14:textId="77777777" w:rsidR="00002083" w:rsidRDefault="00F050D8">
      <w:pPr>
        <w:ind w:firstLine="720"/>
      </w:pPr>
      <w:r>
        <w:t xml:space="preserve">Sobre LTC la estacionalidad semanal es marginal, y la explicación es directa: el mercado de </w:t>
      </w:r>
      <w:proofErr w:type="spellStart"/>
      <w:r>
        <w:t>criptoactivos</w:t>
      </w:r>
      <w:proofErr w:type="spellEnd"/>
      <w:r>
        <w:t xml:space="preserve"> opera de forma continua, sin apertura ni cierre y sin distinción entre día hábil y fin de semana, de modo que no existe el mecanismo institucional que produce el efecto que documenta French (1980). La consecuencia para el modelo es que codificar el día de la semana como variable no aportaría señal.</w:t>
      </w:r>
    </w:p>
    <w:p w14:paraId="4AE90F80" w14:textId="77777777" w:rsidR="00002083" w:rsidRDefault="00F050D8">
      <w:pPr>
        <w:pStyle w:val="Ttulo2"/>
        <w:keepNext/>
      </w:pPr>
      <w:bookmarkStart w:id="4" w:name="_Toc237941062"/>
      <w:r>
        <w:lastRenderedPageBreak/>
        <w:t>3. Estacionariedad</w:t>
      </w:r>
      <w:bookmarkEnd w:id="4"/>
    </w:p>
    <w:p w14:paraId="6A048261" w14:textId="77777777" w:rsidR="00002083" w:rsidRDefault="00F050D8">
      <w:pPr>
        <w:keepNext/>
        <w:spacing w:before="240"/>
      </w:pPr>
      <w:r>
        <w:rPr>
          <w:b/>
          <w:bCs/>
        </w:rPr>
        <w:t>Figura 3</w:t>
      </w:r>
    </w:p>
    <w:p w14:paraId="4A0ABE1F" w14:textId="77777777" w:rsidR="00002083" w:rsidRDefault="00F050D8">
      <w:pPr>
        <w:keepNext/>
        <w:spacing w:after="120"/>
      </w:pPr>
      <w:r>
        <w:rPr>
          <w:i/>
          <w:iCs/>
        </w:rPr>
        <w:t xml:space="preserve">p-valores </w:t>
      </w:r>
      <w:proofErr w:type="gramStart"/>
      <w:r>
        <w:rPr>
          <w:i/>
          <w:iCs/>
        </w:rPr>
        <w:t>del test</w:t>
      </w:r>
      <w:proofErr w:type="gramEnd"/>
      <w:r>
        <w:rPr>
          <w:i/>
          <w:iCs/>
        </w:rPr>
        <w:t xml:space="preserve"> de Dickey-Fuller aumentado sobre las seis criptomonedas, en precios en nivel y en retornos.</w:t>
      </w:r>
    </w:p>
    <w:p w14:paraId="192C80E8" w14:textId="77777777" w:rsidR="00002083" w:rsidRDefault="00F050D8">
      <w:pPr>
        <w:spacing w:after="120"/>
        <w:jc w:val="center"/>
      </w:pPr>
      <w:r>
        <w:rPr>
          <w:noProof/>
        </w:rPr>
        <w:drawing>
          <wp:inline distT="0" distB="0" distL="0" distR="0" wp14:anchorId="34F2A284" wp14:editId="5B517858">
            <wp:extent cx="5715000" cy="3171825"/>
            <wp:effectExtent l="0" t="0" r="0" b="0"/>
            <wp:docPr id="840802344" name="Imagen 84080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71825"/>
                    </a:xfrm>
                    <a:prstGeom prst="rect">
                      <a:avLst/>
                    </a:prstGeom>
                  </pic:spPr>
                </pic:pic>
              </a:graphicData>
            </a:graphic>
          </wp:inline>
        </w:drawing>
      </w:r>
    </w:p>
    <w:p w14:paraId="5B5A0F5C" w14:textId="77777777" w:rsidR="00002083" w:rsidRDefault="00F050D8">
      <w:pPr>
        <w:ind w:firstLine="720"/>
      </w:pPr>
      <w:r>
        <w:rPr>
          <w:b/>
          <w:bCs/>
        </w:rPr>
        <w:t>Medido:</w:t>
      </w:r>
    </w:p>
    <w:p w14:paraId="290C166A" w14:textId="77777777" w:rsidR="00002083" w:rsidRDefault="00F050D8">
      <w:pPr>
        <w:ind w:firstLine="720"/>
      </w:pPr>
      <w:r>
        <w:t xml:space="preserve">p-valores en nivel: LTC 0,179 · BTC 0,483 · </w:t>
      </w:r>
      <w:r>
        <w:rPr>
          <w:b/>
          <w:bCs/>
        </w:rPr>
        <w:t>ETH 0,059</w:t>
      </w:r>
      <w:r>
        <w:t xml:space="preserve"> · SOL 0,274 · XRP 0,285 · ADA 0,159. En retornos, los seis dan p &lt; 0,000001.</w:t>
      </w:r>
    </w:p>
    <w:p w14:paraId="4FC499C1" w14:textId="77777777" w:rsidR="00002083" w:rsidRDefault="00F050D8">
      <w:pPr>
        <w:ind w:firstLine="720"/>
      </w:pPr>
      <w:r>
        <w:rPr>
          <w:b/>
          <w:bCs/>
        </w:rPr>
        <w:t>Control:</w:t>
      </w:r>
      <w:r>
        <w:t xml:space="preserve"> </w:t>
      </w:r>
      <w:proofErr w:type="gramStart"/>
      <w:r>
        <w:t>el test</w:t>
      </w:r>
      <w:proofErr w:type="gramEnd"/>
      <w:r>
        <w:t xml:space="preserve"> también se corrió sobre una serie construida por nosotros cuyos retornos son estacionarios por construcción, y los rechazó todos. El método detecta lo que dice detectar.</w:t>
      </w:r>
    </w:p>
    <w:p w14:paraId="444B5243" w14:textId="77777777" w:rsidR="00002083" w:rsidRDefault="00F050D8">
      <w:pPr>
        <w:ind w:firstLine="720"/>
      </w:pPr>
      <w:r>
        <w:t xml:space="preserve">Una serie es estacionaria en sentido débil cuando sus primeros momentos no dependen del instante de observación: media y </w:t>
      </w:r>
      <w:proofErr w:type="gramStart"/>
      <w:r>
        <w:t>varianza constantes</w:t>
      </w:r>
      <w:proofErr w:type="gramEnd"/>
      <w:r>
        <w:t xml:space="preserve">, y </w:t>
      </w:r>
      <w:proofErr w:type="spellStart"/>
      <w:r>
        <w:t>autocovarianza</w:t>
      </w:r>
      <w:proofErr w:type="spellEnd"/>
      <w:r>
        <w:t xml:space="preserve"> que depende solo de la distancia temporal entre dos observaciones (Box et al., 2015). Es una propiedad estadística y </w:t>
      </w:r>
      <w:r>
        <w:lastRenderedPageBreak/>
        <w:t>no una descripción visual: una serie puede parecer estable en un gráfico sin serlo, y por eso se prueba de forma formal.</w:t>
      </w:r>
    </w:p>
    <w:p w14:paraId="189FA351" w14:textId="77777777" w:rsidR="00002083" w:rsidRDefault="00F050D8">
      <w:pPr>
        <w:ind w:firstLine="720"/>
      </w:pPr>
      <w:proofErr w:type="gramStart"/>
      <w:r>
        <w:t xml:space="preserve">El </w:t>
      </w:r>
      <w:r>
        <w:rPr>
          <w:b/>
          <w:bCs/>
        </w:rPr>
        <w:t>test</w:t>
      </w:r>
      <w:proofErr w:type="gramEnd"/>
      <w:r>
        <w:rPr>
          <w:b/>
          <w:bCs/>
        </w:rPr>
        <w:t xml:space="preserve"> de Dickey-Fuller aumentado (ADF)</w:t>
      </w:r>
      <w:r>
        <w:t xml:space="preserve"> es el instrumento estándar para esa prueba (Dickey &amp; Fuller, 1979; Said &amp; Dickey, 1984). Su hipótesis nula es que la serie tiene una raíz unitaria, es decir, que </w:t>
      </w:r>
      <w:r>
        <w:rPr>
          <w:b/>
          <w:bCs/>
        </w:rPr>
        <w:t>no</w:t>
      </w:r>
      <w:r>
        <w:t xml:space="preserve"> es estacionaria; un p-valor menor a 0,05 permite rechazarla. Se aplicó el mismo procedimiento a las seis series, en nivel y en retornos: </w:t>
      </w:r>
      <w:proofErr w:type="spellStart"/>
      <w:r>
        <w:rPr>
          <w:rFonts w:ascii="Courier New" w:eastAsia="Courier New" w:hAnsi="Courier New" w:cs="Courier New"/>
          <w:sz w:val="22"/>
          <w:szCs w:val="22"/>
        </w:rPr>
        <w:t>adfuller</w:t>
      </w:r>
      <w:proofErr w:type="spellEnd"/>
      <w:r>
        <w:t xml:space="preserve"> con selección automática de rezagos por criterio de información de Akaike.</w:t>
      </w:r>
    </w:p>
    <w:p w14:paraId="3F491F23" w14:textId="77777777" w:rsidR="00002083" w:rsidRDefault="00F050D8">
      <w:pPr>
        <w:ind w:firstLine="720"/>
      </w:pPr>
      <w:r>
        <w:t xml:space="preserve">Conviene precisar qué permite afirmar el resultado. Que </w:t>
      </w:r>
      <w:proofErr w:type="gramStart"/>
      <w:r>
        <w:t>el test</w:t>
      </w:r>
      <w:proofErr w:type="gramEnd"/>
      <w:r>
        <w:t xml:space="preserve"> no rechace la nula sobre los precios </w:t>
      </w:r>
      <w:r>
        <w:rPr>
          <w:b/>
          <w:bCs/>
        </w:rPr>
        <w:t>no demuestra</w:t>
      </w:r>
      <w:r>
        <w:t xml:space="preserve"> que sean no estacionarios: demuestra que no hay evidencia suficiente en contra. </w:t>
      </w:r>
      <w:proofErr w:type="gramStart"/>
      <w:r>
        <w:t>Un test</w:t>
      </w:r>
      <w:proofErr w:type="gramEnd"/>
      <w:r>
        <w:t xml:space="preserve"> de hipótesis nunca prueba la nula, solo puede fallar en rechazarla. Sobre retornos, en cambio, el rechazo con p &lt; 0,000001 sí constituye evidencia fuerte a favor de la estacionariedad.</w:t>
      </w:r>
    </w:p>
    <w:p w14:paraId="733C4AD8" w14:textId="77777777" w:rsidR="00002083" w:rsidRDefault="00F050D8">
      <w:pPr>
        <w:ind w:firstLine="720"/>
      </w:pPr>
      <w:r>
        <w:rPr>
          <w:b/>
          <w:bCs/>
        </w:rPr>
        <w:t>ETH</w:t>
      </w:r>
      <w:r>
        <w:t xml:space="preserve"> merece mención aparte: su p-valor en nivel, 0,059, queda apenas por encima del umbral. No cambia la conclusión, pero recuerda que el resultado de </w:t>
      </w:r>
      <w:proofErr w:type="gramStart"/>
      <w:r>
        <w:t>un test</w:t>
      </w:r>
      <w:proofErr w:type="gramEnd"/>
      <w:r>
        <w:t xml:space="preserve"> depende de la ventana muestral, y que con otro período ese caso podría cruzar el umbral en cualquiera de los dos sentidos.</w:t>
      </w:r>
    </w:p>
    <w:p w14:paraId="6B102518" w14:textId="77777777" w:rsidR="00002083" w:rsidRDefault="00F050D8">
      <w:pPr>
        <w:pStyle w:val="Ttulo2"/>
        <w:keepNext/>
      </w:pPr>
      <w:bookmarkStart w:id="5" w:name="_Toc237941063"/>
      <w:r>
        <w:t>4. No estacionariedad</w:t>
      </w:r>
      <w:bookmarkEnd w:id="5"/>
    </w:p>
    <w:p w14:paraId="656C07D2" w14:textId="77777777" w:rsidR="00002083" w:rsidRDefault="00F050D8">
      <w:pPr>
        <w:ind w:firstLine="720"/>
      </w:pPr>
      <w:r>
        <w:t xml:space="preserve">El mismo resultado, leído en sentido inverso, indica que los precios de las seis criptomonedas son compatibles con un proceso de tendencia estocástica —un paseo aleatorio con deriva en el caso más simple— y no con uno que oscile alrededor de una media fija (Nelson &amp; </w:t>
      </w:r>
      <w:proofErr w:type="spellStart"/>
      <w:r>
        <w:t>Plosser</w:t>
      </w:r>
      <w:proofErr w:type="spellEnd"/>
      <w:r>
        <w:t xml:space="preserve">, 1982). Dos síntomas lo delatan sin necesidad </w:t>
      </w:r>
      <w:proofErr w:type="gramStart"/>
      <w:r>
        <w:t>del test</w:t>
      </w:r>
      <w:proofErr w:type="gramEnd"/>
      <w:r>
        <w:t xml:space="preserve">: la media no es estable en ninguna ventana razonable, porque LTC recorre de </w:t>
      </w:r>
      <w:r>
        <w:rPr>
          <w:b/>
          <w:bCs/>
        </w:rPr>
        <w:t>40,92</w:t>
      </w:r>
      <w:r>
        <w:t xml:space="preserve"> a </w:t>
      </w:r>
      <w:r>
        <w:rPr>
          <w:b/>
          <w:bCs/>
        </w:rPr>
        <w:t>387,80</w:t>
      </w:r>
      <w:r>
        <w:t xml:space="preserve"> dentro de la propia muestra; y la </w:t>
      </w:r>
      <w:r>
        <w:lastRenderedPageBreak/>
        <w:t>varianza tampoco, porque un movimiento porcentual constante produce un movimiento absoluto proporcional al nivel.</w:t>
      </w:r>
    </w:p>
    <w:p w14:paraId="7C74F819" w14:textId="77777777" w:rsidR="00002083" w:rsidRDefault="00F050D8">
      <w:pPr>
        <w:ind w:firstLine="720"/>
      </w:pPr>
      <w:r>
        <w:t>La consecuencia para el modelado no es cosmética. Una regresión, un ARIMA sin diferenciar o un cálculo de correlación asumen que la relación entre variables es estable en el tiempo. Sobre una serie no estacionaria esa estabilidad no existe por construcción: cualquier estadístico calculado sobre precios en nivel queda contaminado por la tendencia común y termina describiendo la dirección compartida de dos series más que su codependencia. La sección 8 mide esa distorsión.</w:t>
      </w:r>
    </w:p>
    <w:p w14:paraId="2E5EDE1B" w14:textId="77777777" w:rsidR="00002083" w:rsidRDefault="00F050D8">
      <w:pPr>
        <w:ind w:firstLine="720"/>
      </w:pPr>
      <w:r>
        <w:t xml:space="preserve">La transformación a retornos —la variación porcentual entre una observación y la anterior, </w:t>
      </w:r>
      <w:proofErr w:type="spellStart"/>
      <w:r>
        <w:rPr>
          <w:rFonts w:ascii="Courier New" w:eastAsia="Courier New" w:hAnsi="Courier New" w:cs="Courier New"/>
          <w:sz w:val="22"/>
          <w:szCs w:val="22"/>
        </w:rPr>
        <w:t>r_t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p_t</w:t>
      </w:r>
      <w:proofErr w:type="spellEnd"/>
      <w:r>
        <w:rPr>
          <w:rFonts w:ascii="Courier New" w:eastAsia="Courier New" w:hAnsi="Courier New" w:cs="Courier New"/>
          <w:sz w:val="22"/>
          <w:szCs w:val="22"/>
        </w:rPr>
        <w:t xml:space="preserve"> − p_{t-1}) / p_{t-1}</w:t>
      </w:r>
      <w:r>
        <w:t xml:space="preserve">— resuelve el problema porque cambia la pregunta: de "cuánto vale el precio", que acumula nivel desde el origen de la serie, a "cuánto cambió en esta vela", que no. La sección 3 confirma que funciona sobre estos datos. Por eso, y no por costumbre de la disciplina, </w:t>
      </w:r>
      <w:r>
        <w:rPr>
          <w:b/>
          <w:bCs/>
        </w:rPr>
        <w:t>las características del modelo se construyen sobre retornos y no sobre precios en nivel</w:t>
      </w:r>
      <w:r>
        <w:t>.</w:t>
      </w:r>
    </w:p>
    <w:p w14:paraId="087B7194" w14:textId="77777777" w:rsidR="00002083" w:rsidRDefault="00F050D8">
      <w:pPr>
        <w:pStyle w:val="Ttulo2"/>
        <w:keepNext/>
      </w:pPr>
      <w:bookmarkStart w:id="6" w:name="_Toc237941064"/>
      <w:r>
        <w:lastRenderedPageBreak/>
        <w:t>5. Heterocedasticidad</w:t>
      </w:r>
      <w:bookmarkEnd w:id="6"/>
    </w:p>
    <w:p w14:paraId="02C0DDFC" w14:textId="77777777" w:rsidR="00002083" w:rsidRDefault="00F050D8">
      <w:pPr>
        <w:keepNext/>
        <w:spacing w:before="240"/>
      </w:pPr>
      <w:r>
        <w:rPr>
          <w:b/>
          <w:bCs/>
        </w:rPr>
        <w:t>Figura 4</w:t>
      </w:r>
    </w:p>
    <w:p w14:paraId="3C10CE42" w14:textId="77777777" w:rsidR="00002083" w:rsidRDefault="00F050D8">
      <w:pPr>
        <w:keepNext/>
        <w:spacing w:after="120"/>
      </w:pPr>
      <w:r>
        <w:rPr>
          <w:i/>
          <w:iCs/>
        </w:rPr>
        <w:t>Serie construida con volatilidad constante (arriba) y con volatilidad por tramos (abajo). Ambas generadas por nosotros; no son datos de mercado.</w:t>
      </w:r>
    </w:p>
    <w:p w14:paraId="6BC59F48" w14:textId="77777777" w:rsidR="00002083" w:rsidRDefault="00F050D8">
      <w:pPr>
        <w:spacing w:after="120"/>
        <w:jc w:val="center"/>
      </w:pPr>
      <w:r>
        <w:rPr>
          <w:noProof/>
        </w:rPr>
        <w:drawing>
          <wp:inline distT="0" distB="0" distL="0" distR="0" wp14:anchorId="5F82B25E" wp14:editId="3401974B">
            <wp:extent cx="5715000" cy="3781425"/>
            <wp:effectExtent l="0" t="0" r="0" b="0"/>
            <wp:docPr id="121287923" name="Imagen 12128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81425"/>
                    </a:xfrm>
                    <a:prstGeom prst="rect">
                      <a:avLst/>
                    </a:prstGeom>
                  </pic:spPr>
                </pic:pic>
              </a:graphicData>
            </a:graphic>
          </wp:inline>
        </w:drawing>
      </w:r>
    </w:p>
    <w:p w14:paraId="177C6DD1" w14:textId="77777777" w:rsidR="00002083" w:rsidRDefault="00F050D8">
      <w:pPr>
        <w:ind w:firstLine="720"/>
      </w:pPr>
      <w:r>
        <w:rPr>
          <w:b/>
          <w:bCs/>
        </w:rPr>
        <w:t>Medido en las series construidas:</w:t>
      </w:r>
      <w:r>
        <w:t xml:space="preserve"> cociente entre la volatilidad del tramo agitado y la del tranquilo — </w:t>
      </w:r>
      <w:r>
        <w:rPr>
          <w:b/>
          <w:bCs/>
        </w:rPr>
        <w:t>1,28×</w:t>
      </w:r>
      <w:r>
        <w:t xml:space="preserve"> sin regímenes, </w:t>
      </w:r>
      <w:r>
        <w:rPr>
          <w:b/>
          <w:bCs/>
        </w:rPr>
        <w:t>6,41×</w:t>
      </w:r>
      <w:r>
        <w:t xml:space="preserve"> con regímenes.</w:t>
      </w:r>
    </w:p>
    <w:p w14:paraId="1B8DAAB1" w14:textId="77777777" w:rsidR="00002083" w:rsidRDefault="00F050D8">
      <w:pPr>
        <w:ind w:firstLine="720"/>
      </w:pPr>
      <w:r>
        <w:t xml:space="preserve">Un proceso es </w:t>
      </w:r>
      <w:proofErr w:type="spellStart"/>
      <w:r>
        <w:rPr>
          <w:b/>
          <w:bCs/>
        </w:rPr>
        <w:t>homocedástico</w:t>
      </w:r>
      <w:proofErr w:type="spellEnd"/>
      <w:r>
        <w:t xml:space="preserve"> cuando la dispersión de sus incrementos es constante en el tiempo, y </w:t>
      </w:r>
      <w:proofErr w:type="spellStart"/>
      <w:r>
        <w:rPr>
          <w:b/>
          <w:bCs/>
        </w:rPr>
        <w:t>heterocedástico</w:t>
      </w:r>
      <w:proofErr w:type="spellEnd"/>
      <w:r>
        <w:t xml:space="preserve"> cuando esa dispersión cambia, concentrándose en episodios o regímenes (Engle, 1982). Engle formalizó la idea para series financieras con el modelo ARCH, mostrando que la varianza condicional puede depender del historial </w:t>
      </w:r>
      <w:proofErr w:type="gramStart"/>
      <w:r>
        <w:t>reciente</w:t>
      </w:r>
      <w:proofErr w:type="gramEnd"/>
      <w:r>
        <w:t xml:space="preserve"> aunque la media no muestre ningún patrón predecible: puede haber estructura en la varianza sin haberla en el nivel.</w:t>
      </w:r>
    </w:p>
    <w:p w14:paraId="24DA11E2" w14:textId="77777777" w:rsidR="00002083" w:rsidRDefault="00F050D8">
      <w:pPr>
        <w:ind w:firstLine="720"/>
      </w:pPr>
      <w:r>
        <w:lastRenderedPageBreak/>
        <w:t xml:space="preserve">La Figura 4 contrasta dos series construidas por nosotros, con la respuesta conocida de antemano. Arriba, volatilidad constante; abajo, la misma serie con la volatilidad multiplicada por cinco en tramos alternos. El cociente medido es </w:t>
      </w:r>
      <w:r>
        <w:rPr>
          <w:b/>
          <w:bCs/>
        </w:rPr>
        <w:t>1,28</w:t>
      </w:r>
      <w:r>
        <w:t xml:space="preserve"> sin regímenes —cercano a 1, con la desviación propia de estimar sobre muestra finita— y </w:t>
      </w:r>
      <w:r>
        <w:rPr>
          <w:b/>
          <w:bCs/>
        </w:rPr>
        <w:t>6,41</w:t>
      </w:r>
      <w:r>
        <w:t xml:space="preserve"> con ellos, capturando el factor introducido. El procedimiento detecta la heterocedasticidad cuando existe y no la inventa cuando no existe, que es la comprobación necesaria antes de aplicarlo a LTC.</w:t>
      </w:r>
    </w:p>
    <w:p w14:paraId="5CECCCD0" w14:textId="77777777" w:rsidR="00002083" w:rsidRDefault="00F050D8">
      <w:pPr>
        <w:ind w:firstLine="720"/>
      </w:pPr>
      <w:r>
        <w:t xml:space="preserve">Esto rompe un supuesto central de los modelos clásicos. Un ARIMA asume varianza constante en los errores; cuando no se cumple, sus intervalos de confianza dejan de ser válidos y sus pronósticos subestiman el riesgo en los períodos agitados. La literatura sobre </w:t>
      </w:r>
      <w:proofErr w:type="spellStart"/>
      <w:r>
        <w:t>criptoactivos</w:t>
      </w:r>
      <w:proofErr w:type="spellEnd"/>
      <w:r>
        <w:t xml:space="preserve"> documenta este patrón de conmutación entre regímenes, con modelos GARCH de cambio </w:t>
      </w:r>
      <w:proofErr w:type="spellStart"/>
      <w:r>
        <w:t>markoviano</w:t>
      </w:r>
      <w:proofErr w:type="spellEnd"/>
      <w:r>
        <w:t xml:space="preserve"> ajustando mejor que uno de régimen único (Caporale &amp; </w:t>
      </w:r>
      <w:proofErr w:type="spellStart"/>
      <w:r>
        <w:t>Zekokh</w:t>
      </w:r>
      <w:proofErr w:type="spellEnd"/>
      <w:r>
        <w:t>, 2019).</w:t>
      </w:r>
    </w:p>
    <w:p w14:paraId="037A2CDF" w14:textId="77777777" w:rsidR="00002083" w:rsidRDefault="00F050D8">
      <w:pPr>
        <w:pStyle w:val="Ttulo2"/>
        <w:keepNext/>
      </w:pPr>
      <w:bookmarkStart w:id="7" w:name="_Toc237941065"/>
      <w:r>
        <w:lastRenderedPageBreak/>
        <w:t>6. Volatilidad</w:t>
      </w:r>
      <w:bookmarkEnd w:id="7"/>
    </w:p>
    <w:p w14:paraId="01180A4F" w14:textId="77777777" w:rsidR="00002083" w:rsidRDefault="00F050D8">
      <w:pPr>
        <w:keepNext/>
        <w:spacing w:before="240"/>
      </w:pPr>
      <w:r>
        <w:rPr>
          <w:b/>
          <w:bCs/>
        </w:rPr>
        <w:t>Figura 5</w:t>
      </w:r>
    </w:p>
    <w:p w14:paraId="12501B05" w14:textId="77777777" w:rsidR="00002083" w:rsidRDefault="00F050D8">
      <w:pPr>
        <w:keepNext/>
        <w:spacing w:after="120"/>
      </w:pPr>
      <w:r>
        <w:rPr>
          <w:i/>
          <w:iCs/>
        </w:rPr>
        <w:t xml:space="preserve">Dos series construidas por nosotros con la volatilidad fijada de antemano, en los mismos ejes. Arriba, la volatilidad más baja medida en LTC; abajo, la más alta. </w:t>
      </w:r>
      <w:r>
        <w:rPr>
          <w:b/>
          <w:bCs/>
          <w:i/>
          <w:iCs/>
        </w:rPr>
        <w:t xml:space="preserve">Ninguna de las dos es </w:t>
      </w:r>
      <w:proofErr w:type="spellStart"/>
      <w:r>
        <w:rPr>
          <w:b/>
          <w:bCs/>
          <w:i/>
          <w:iCs/>
        </w:rPr>
        <w:t>Litecoin</w:t>
      </w:r>
      <w:proofErr w:type="spellEnd"/>
      <w:r>
        <w:rPr>
          <w:b/>
          <w:bCs/>
          <w:i/>
          <w:iCs/>
        </w:rPr>
        <w:t>.</w:t>
      </w:r>
    </w:p>
    <w:p w14:paraId="262949A3" w14:textId="77777777" w:rsidR="00002083" w:rsidRDefault="00F050D8">
      <w:pPr>
        <w:spacing w:after="120"/>
        <w:jc w:val="center"/>
      </w:pPr>
      <w:r>
        <w:rPr>
          <w:noProof/>
        </w:rPr>
        <w:drawing>
          <wp:inline distT="0" distB="0" distL="0" distR="0" wp14:anchorId="3C15D53D" wp14:editId="2CA25975">
            <wp:extent cx="5715000" cy="3781425"/>
            <wp:effectExtent l="0" t="0" r="0" b="0"/>
            <wp:docPr id="1495199873" name="Imagen 149519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81425"/>
                    </a:xfrm>
                    <a:prstGeom prst="rect">
                      <a:avLst/>
                    </a:prstGeom>
                  </pic:spPr>
                </pic:pic>
              </a:graphicData>
            </a:graphic>
          </wp:inline>
        </w:drawing>
      </w:r>
    </w:p>
    <w:p w14:paraId="18FAC7C0" w14:textId="77777777" w:rsidR="00002083" w:rsidRDefault="00F050D8">
      <w:pPr>
        <w:spacing w:after="240"/>
      </w:pPr>
      <w:r>
        <w:rPr>
          <w:i/>
          <w:iCs/>
        </w:rPr>
        <w:t>Nota.</w:t>
      </w:r>
      <w:r>
        <w:t xml:space="preserve"> Fuente: elaboración propia.</w:t>
      </w:r>
    </w:p>
    <w:p w14:paraId="67CDBE31" w14:textId="77777777" w:rsidR="00002083" w:rsidRDefault="00F050D8">
      <w:pPr>
        <w:ind w:firstLine="720"/>
      </w:pPr>
      <w:r>
        <w:rPr>
          <w:b/>
          <w:bCs/>
        </w:rPr>
        <w:t>Medido sobre las series construidas:</w:t>
      </w:r>
      <w:r>
        <w:t xml:space="preserve"> pedimos una volatilidad de </w:t>
      </w:r>
      <w:r>
        <w:rPr>
          <w:b/>
          <w:bCs/>
        </w:rPr>
        <w:t>0,01384</w:t>
      </w:r>
      <w:r>
        <w:t xml:space="preserve"> y medimos </w:t>
      </w:r>
      <w:r>
        <w:rPr>
          <w:b/>
          <w:bCs/>
        </w:rPr>
        <w:t>0,01395</w:t>
      </w:r>
      <w:r>
        <w:t xml:space="preserve">; pedimos </w:t>
      </w:r>
      <w:r>
        <w:rPr>
          <w:b/>
          <w:bCs/>
        </w:rPr>
        <w:t>0,122</w:t>
      </w:r>
      <w:r>
        <w:t xml:space="preserve"> y medimos </w:t>
      </w:r>
      <w:r>
        <w:rPr>
          <w:b/>
          <w:bCs/>
        </w:rPr>
        <w:t>0,12349</w:t>
      </w:r>
      <w:r>
        <w:t xml:space="preserve">. El cociente pedido entre ambas era de </w:t>
      </w:r>
      <w:r>
        <w:rPr>
          <w:b/>
          <w:bCs/>
        </w:rPr>
        <w:t>8,8</w:t>
      </w:r>
      <w:r>
        <w:t xml:space="preserve"> y el medido resultó </w:t>
      </w:r>
      <w:r>
        <w:rPr>
          <w:b/>
          <w:bCs/>
        </w:rPr>
        <w:t>8,9</w:t>
      </w:r>
      <w:r>
        <w:t>.</w:t>
      </w:r>
    </w:p>
    <w:p w14:paraId="5B065127" w14:textId="77777777" w:rsidR="00002083" w:rsidRDefault="00F050D8">
      <w:pPr>
        <w:ind w:firstLine="720"/>
      </w:pPr>
      <w:r>
        <w:t>La volatilidad se estima con la desviación estándar de los retornos sobre una ventana móvil (</w:t>
      </w:r>
      <w:proofErr w:type="spellStart"/>
      <w:r>
        <w:t>Katsiampa</w:t>
      </w:r>
      <w:proofErr w:type="spellEnd"/>
      <w:r>
        <w:t xml:space="preserve">, 2017). A diferencia de un único número global, la ventana móvil deja ver </w:t>
      </w:r>
      <w:r>
        <w:lastRenderedPageBreak/>
        <w:t>cómo cambia la dispersión a lo largo del tiempo, que es lo que hace falta para diagnosticar heterocedasticidad.</w:t>
      </w:r>
    </w:p>
    <w:p w14:paraId="1C64242E" w14:textId="77777777" w:rsidR="00002083" w:rsidRDefault="00F050D8">
      <w:pPr>
        <w:ind w:firstLine="720"/>
      </w:pPr>
      <w:r>
        <w:t xml:space="preserve">Antes de aplicarla a LTC se comprobó que el procedimiento recupera lo que se le pide. Se generaron dos series de idéntica construcción y semilla, variando un solo parámetro: la desviación estándar de los retornos. Los dos niveles no son arbitrarios, sino los extremos de la volatilidad móvil que se mide enseguida sobre </w:t>
      </w:r>
      <w:proofErr w:type="spellStart"/>
      <w:r>
        <w:t>Litecoin</w:t>
      </w:r>
      <w:proofErr w:type="spellEnd"/>
      <w:r>
        <w:t>, de manera que el rango construido cubre el que se observa en el mercado. La discrepancia entre lo pedido y lo medido es atribuible al muestreo finito.</w:t>
      </w:r>
    </w:p>
    <w:p w14:paraId="48CCB87A" w14:textId="77777777" w:rsidR="00002083" w:rsidRDefault="00F050D8">
      <w:pPr>
        <w:keepNext/>
        <w:spacing w:before="240"/>
      </w:pPr>
      <w:r>
        <w:rPr>
          <w:b/>
          <w:bCs/>
        </w:rPr>
        <w:t>Figura 6</w:t>
      </w:r>
    </w:p>
    <w:p w14:paraId="70CDE9E6" w14:textId="77777777" w:rsidR="00002083" w:rsidRDefault="00F050D8">
      <w:pPr>
        <w:keepNext/>
        <w:spacing w:after="120"/>
      </w:pPr>
      <w:r>
        <w:rPr>
          <w:i/>
          <w:iCs/>
        </w:rPr>
        <w:t>Precio de cierre de LTC y su volatilidad móvil de 30 velas.</w:t>
      </w:r>
    </w:p>
    <w:p w14:paraId="269304A2" w14:textId="77777777" w:rsidR="00002083" w:rsidRDefault="00F050D8">
      <w:pPr>
        <w:spacing w:after="120"/>
        <w:jc w:val="center"/>
      </w:pPr>
      <w:r>
        <w:rPr>
          <w:noProof/>
        </w:rPr>
        <w:drawing>
          <wp:inline distT="0" distB="0" distL="0" distR="0" wp14:anchorId="6B4E9E3D" wp14:editId="421987F7">
            <wp:extent cx="5715000" cy="3886200"/>
            <wp:effectExtent l="0" t="0" r="0" b="0"/>
            <wp:docPr id="538414954" name="Imagen 53841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86200"/>
                    </a:xfrm>
                    <a:prstGeom prst="rect">
                      <a:avLst/>
                    </a:prstGeom>
                  </pic:spPr>
                </pic:pic>
              </a:graphicData>
            </a:graphic>
          </wp:inline>
        </w:drawing>
      </w:r>
    </w:p>
    <w:p w14:paraId="712579DD" w14:textId="77777777" w:rsidR="00002083" w:rsidRDefault="00F050D8">
      <w:pPr>
        <w:ind w:firstLine="720"/>
      </w:pPr>
      <w:r>
        <w:rPr>
          <w:b/>
          <w:bCs/>
        </w:rPr>
        <w:lastRenderedPageBreak/>
        <w:t>Medido:</w:t>
      </w:r>
      <w:r>
        <w:t xml:space="preserve"> la volatilidad del tramo más agitado es </w:t>
      </w:r>
      <w:r>
        <w:rPr>
          <w:b/>
          <w:bCs/>
        </w:rPr>
        <w:t>8,8 veces</w:t>
      </w:r>
      <w:r>
        <w:t xml:space="preserve"> la del más tranquilo (máxima </w:t>
      </w:r>
      <w:r>
        <w:rPr>
          <w:b/>
          <w:bCs/>
        </w:rPr>
        <w:t>0,1220</w:t>
      </w:r>
      <w:r>
        <w:t xml:space="preserve">; mínima </w:t>
      </w:r>
      <w:r>
        <w:rPr>
          <w:b/>
          <w:bCs/>
        </w:rPr>
        <w:t>0,0138</w:t>
      </w:r>
      <w:r>
        <w:t>), con ventana móvil de 30 velas sobre retornos diarios.</w:t>
      </w:r>
    </w:p>
    <w:p w14:paraId="45C10A45" w14:textId="77777777" w:rsidR="00002083" w:rsidRDefault="00F050D8">
      <w:pPr>
        <w:ind w:firstLine="720"/>
      </w:pPr>
      <w:r>
        <w:t xml:space="preserve">Aplicado a la serie real, el resultado es que la volatilidad de LTC no es constante. El cociente de </w:t>
      </w:r>
      <w:r>
        <w:rPr>
          <w:b/>
          <w:bCs/>
        </w:rPr>
        <w:t>8,8</w:t>
      </w:r>
      <w:r>
        <w:t xml:space="preserve"> entre extremos es muy superior al 1,28 de la serie construida sin regímenes y del mismo orden que el 6,41 de la construida con ellos: LTC no se comporta como una serie de volatilidad estable sino como una que conmuta entre regímenes de intensidad muy distinta, consistente con lo que reporta la literatura GARCH sobre </w:t>
      </w:r>
      <w:proofErr w:type="spellStart"/>
      <w:r>
        <w:t>criptoactivos</w:t>
      </w:r>
      <w:proofErr w:type="spellEnd"/>
      <w:r>
        <w:t xml:space="preserve"> (</w:t>
      </w:r>
      <w:proofErr w:type="spellStart"/>
      <w:r>
        <w:t>Katsiampa</w:t>
      </w:r>
      <w:proofErr w:type="spellEnd"/>
      <w:r>
        <w:t>, 2017).</w:t>
      </w:r>
    </w:p>
    <w:p w14:paraId="19B3E3FE" w14:textId="77777777" w:rsidR="00002083" w:rsidRDefault="00F050D8">
      <w:pPr>
        <w:ind w:firstLine="720"/>
      </w:pPr>
      <w:r>
        <w:t>En la Figura 6 los picos de volatilidad coinciden con los tramos de movimiento más pronunciado en cualquiera de las dos direcciones: la volatilidad mide la magnitud del cambio, no su signo. Este resultado es, junto con el de la sección 3, la segunda evidencia medida sobre datos reales de que los métodos que asumen varianza constante no sirven para este problema.</w:t>
      </w:r>
    </w:p>
    <w:p w14:paraId="253E4278" w14:textId="77777777" w:rsidR="00002083" w:rsidRDefault="00F050D8">
      <w:pPr>
        <w:pStyle w:val="Ttulo2"/>
        <w:keepNext/>
      </w:pPr>
      <w:bookmarkStart w:id="8" w:name="_Toc237941066"/>
      <w:r>
        <w:t>7. Autocorrelación</w:t>
      </w:r>
      <w:bookmarkEnd w:id="8"/>
    </w:p>
    <w:p w14:paraId="6088BC1A" w14:textId="77777777" w:rsidR="00002083" w:rsidRDefault="00F050D8">
      <w:pPr>
        <w:keepNext/>
        <w:spacing w:before="240"/>
      </w:pPr>
      <w:r>
        <w:rPr>
          <w:b/>
          <w:bCs/>
        </w:rPr>
        <w:t>Figura 7</w:t>
      </w:r>
    </w:p>
    <w:p w14:paraId="78A5085C" w14:textId="77777777" w:rsidR="00002083" w:rsidRDefault="00F050D8">
      <w:pPr>
        <w:keepNext/>
        <w:spacing w:after="120"/>
      </w:pPr>
      <w:r>
        <w:rPr>
          <w:i/>
          <w:iCs/>
        </w:rPr>
        <w:t>Función de autocorrelación de LTC hasta el rezago 40, en nivel y en retornos, con banda de confianza al 95 %.</w:t>
      </w:r>
    </w:p>
    <w:p w14:paraId="6E3EA63C" w14:textId="77777777" w:rsidR="00002083" w:rsidRDefault="00F050D8">
      <w:pPr>
        <w:spacing w:after="120"/>
        <w:jc w:val="center"/>
      </w:pPr>
      <w:r>
        <w:rPr>
          <w:noProof/>
        </w:rPr>
        <w:drawing>
          <wp:inline distT="0" distB="0" distL="0" distR="0" wp14:anchorId="6881E7AB" wp14:editId="5AA17C43">
            <wp:extent cx="5715000" cy="2628900"/>
            <wp:effectExtent l="0" t="0" r="0" b="0"/>
            <wp:docPr id="721472247" name="Imagen 72147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28900"/>
                    </a:xfrm>
                    <a:prstGeom prst="rect">
                      <a:avLst/>
                    </a:prstGeom>
                  </pic:spPr>
                </pic:pic>
              </a:graphicData>
            </a:graphic>
          </wp:inline>
        </w:drawing>
      </w:r>
    </w:p>
    <w:p w14:paraId="747C2C87" w14:textId="77777777" w:rsidR="00002083" w:rsidRDefault="00F050D8">
      <w:pPr>
        <w:ind w:firstLine="720"/>
      </w:pPr>
      <w:r>
        <w:rPr>
          <w:b/>
          <w:bCs/>
        </w:rPr>
        <w:lastRenderedPageBreak/>
        <w:t>Medido:</w:t>
      </w:r>
    </w:p>
    <w:p w14:paraId="5AC52410" w14:textId="77777777" w:rsidR="00002083" w:rsidRDefault="00F050D8">
      <w:pPr>
        <w:ind w:firstLine="720"/>
      </w:pPr>
      <w:r>
        <w:t xml:space="preserve">En los retornos solo </w:t>
      </w:r>
      <w:r>
        <w:rPr>
          <w:b/>
          <w:bCs/>
        </w:rPr>
        <w:t>3 rezagos</w:t>
      </w:r>
      <w:r>
        <w:t xml:space="preserve"> salen de la banda de confianza: los rezagos </w:t>
      </w:r>
      <w:r>
        <w:rPr>
          <w:b/>
          <w:bCs/>
        </w:rPr>
        <w:t>8, 14 y 31</w:t>
      </w:r>
      <w:r>
        <w:t>.</w:t>
      </w:r>
    </w:p>
    <w:p w14:paraId="58055EBD" w14:textId="77777777" w:rsidR="00002083" w:rsidRDefault="00F050D8">
      <w:pPr>
        <w:ind w:firstLine="720"/>
      </w:pPr>
      <w:r>
        <w:t xml:space="preserve">La función de autocorrelación (ACF) mide la correlación lineal entre una serie y su propio pasado para cada rezago </w:t>
      </w:r>
      <w:r>
        <w:rPr>
          <w:rFonts w:ascii="Courier New" w:eastAsia="Courier New" w:hAnsi="Courier New" w:cs="Courier New"/>
          <w:sz w:val="22"/>
          <w:szCs w:val="22"/>
        </w:rPr>
        <w:t>k</w:t>
      </w:r>
      <w:r>
        <w:t xml:space="preserve"> (Box &amp; Pierce, 1970). Responde a si el pasado de la serie contiene por sí solo información lineal sobre su futuro, que en este proyecto equivale a preguntar si tiene sentido usar precios rezagados como variable de entrada.</w:t>
      </w:r>
    </w:p>
    <w:p w14:paraId="61106C33" w14:textId="77777777" w:rsidR="00002083" w:rsidRDefault="00F050D8">
      <w:pPr>
        <w:ind w:firstLine="720"/>
      </w:pPr>
      <w:r>
        <w:rPr>
          <w:b/>
          <w:bCs/>
        </w:rPr>
        <w:t>En nivel</w:t>
      </w:r>
      <w:r>
        <w:t xml:space="preserve"> la autocorrelación decae muy lentamente al aumentar el rezago: es la firma de una serie no estacionaria, donde cada observación es casi idéntica a la anterior porque comparten la mayor parte de su nivel acumulado. Confirma con otra herramienta lo que ya mostró </w:t>
      </w:r>
      <w:proofErr w:type="gramStart"/>
      <w:r>
        <w:t>el test</w:t>
      </w:r>
      <w:proofErr w:type="gramEnd"/>
      <w:r>
        <w:t xml:space="preserve"> ADF.</w:t>
      </w:r>
    </w:p>
    <w:p w14:paraId="4E13BDD0" w14:textId="77777777" w:rsidR="00002083" w:rsidRDefault="00F050D8">
      <w:pPr>
        <w:ind w:firstLine="720"/>
      </w:pPr>
      <w:r>
        <w:rPr>
          <w:b/>
          <w:bCs/>
        </w:rPr>
        <w:t>En retornos</w:t>
      </w:r>
      <w:r>
        <w:t>, de los 40 rezagos evaluados solo tres —el 8, el 14 y el 31— salen de la banda de confianza al 95 %.</w:t>
      </w:r>
    </w:p>
    <w:p w14:paraId="6665B3DF" w14:textId="77777777" w:rsidR="00002083" w:rsidRDefault="00F050D8">
      <w:pPr>
        <w:ind w:firstLine="720"/>
      </w:pPr>
      <w:r>
        <w:t xml:space="preserve">Ese es el hallazgo de mayor consecuencia para el diseño. Que los retornos de LTC carezcan de autocorrelación lineal significativa implica que un modelo lineal alimentado solo con retornos rezagados de LTC dispondría de muy poca estructura que explotar. No es un resultado negativo: </w:t>
      </w:r>
      <w:r>
        <w:rPr>
          <w:b/>
          <w:bCs/>
        </w:rPr>
        <w:t>es la justificación del enfoque</w:t>
      </w:r>
      <w:r>
        <w:t>. Es consistente con la hipótesis de mercados eficientes en su forma débil —los precios pasados no permiten anticipar rendimientos futuros mediante reglas lineales simples (Fama, 1970)— y es, medido sobre datos propios, el argumento a favor de recurrir a modelos no lineales y multivariantes. Si tres rezagos de cuarenta bastaran para predecir, un modelo lineal univariante alcanzaría y no harían falta ni aprendizaje profundo ni las cinco variables de apoyo del enunciado.</w:t>
      </w:r>
    </w:p>
    <w:p w14:paraId="66B24DA6" w14:textId="77777777" w:rsidR="00002083" w:rsidRDefault="00F050D8">
      <w:pPr>
        <w:pStyle w:val="Ttulo2"/>
        <w:keepNext/>
      </w:pPr>
      <w:bookmarkStart w:id="9" w:name="_Toc237941067"/>
      <w:r>
        <w:lastRenderedPageBreak/>
        <w:t>8. Correlación cruzada</w:t>
      </w:r>
      <w:bookmarkEnd w:id="9"/>
    </w:p>
    <w:p w14:paraId="6159B8C3" w14:textId="77777777" w:rsidR="00002083" w:rsidRDefault="00F050D8">
      <w:pPr>
        <w:keepNext/>
        <w:spacing w:before="240"/>
      </w:pPr>
      <w:r>
        <w:rPr>
          <w:b/>
          <w:bCs/>
        </w:rPr>
        <w:t>Figura 8</w:t>
      </w:r>
    </w:p>
    <w:p w14:paraId="4A11FA6A" w14:textId="77777777" w:rsidR="00002083" w:rsidRDefault="00F050D8">
      <w:pPr>
        <w:keepNext/>
        <w:spacing w:after="120"/>
      </w:pPr>
      <w:r>
        <w:rPr>
          <w:i/>
          <w:iCs/>
        </w:rPr>
        <w:t>Matrices de correlación. Izquierda y centro: series construidas con correlación baja y alta fijadas por nosotros. Derecha: retornos reales de las seis criptomonedas.</w:t>
      </w:r>
    </w:p>
    <w:p w14:paraId="2EC08BBA" w14:textId="77777777" w:rsidR="00002083" w:rsidRDefault="00F050D8">
      <w:pPr>
        <w:spacing w:after="120"/>
        <w:jc w:val="center"/>
      </w:pPr>
      <w:r>
        <w:rPr>
          <w:noProof/>
        </w:rPr>
        <w:drawing>
          <wp:inline distT="0" distB="0" distL="0" distR="0" wp14:anchorId="0028FAD3" wp14:editId="3F2B1405">
            <wp:extent cx="5715000" cy="1876425"/>
            <wp:effectExtent l="0" t="0" r="0" b="0"/>
            <wp:docPr id="1154826246" name="Imagen 115482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2BBD2288" w14:textId="77777777" w:rsidR="00002083" w:rsidRDefault="00F050D8">
      <w:pPr>
        <w:ind w:firstLine="720"/>
      </w:pPr>
      <w:r>
        <w:rPr>
          <w:b/>
          <w:bCs/>
        </w:rPr>
        <w:t>Medido:</w:t>
      </w:r>
    </w:p>
    <w:p w14:paraId="11E28B95" w14:textId="77777777" w:rsidR="00002083" w:rsidRDefault="00F050D8">
      <w:pPr>
        <w:ind w:firstLine="720"/>
      </w:pPr>
      <w:r>
        <w:t>Casos concretos:</w:t>
      </w:r>
    </w:p>
    <w:p w14:paraId="3B11943E" w14:textId="77777777" w:rsidR="00002083" w:rsidRDefault="00F050D8">
      <w:pPr>
        <w:ind w:firstLine="720"/>
      </w:pPr>
      <w:r>
        <w:t xml:space="preserve">Mayor correlación con LTC: </w:t>
      </w:r>
      <w:r>
        <w:rPr>
          <w:b/>
          <w:bCs/>
        </w:rPr>
        <w:t>ETH, 0,740</w:t>
      </w:r>
      <w:r>
        <w:t xml:space="preserve">. Menor: </w:t>
      </w:r>
      <w:r>
        <w:rPr>
          <w:b/>
          <w:bCs/>
        </w:rPr>
        <w:t>SOL, 0,524</w:t>
      </w:r>
      <w:r>
        <w:t>.</w:t>
      </w:r>
    </w:p>
    <w:p w14:paraId="2C70E272" w14:textId="77777777" w:rsidR="00002083" w:rsidRDefault="00F050D8">
      <w:pPr>
        <w:ind w:firstLine="720"/>
      </w:pPr>
      <w:r>
        <w:rPr>
          <w:b/>
          <w:bCs/>
        </w:rPr>
        <w:t>Control:</w:t>
      </w:r>
      <w:r>
        <w:t xml:space="preserve"> las construidas se pidieron con correlación 0,1 y 0,9; salieron medidas en </w:t>
      </w:r>
      <w:r>
        <w:rPr>
          <w:b/>
          <w:bCs/>
        </w:rPr>
        <w:t>0,0945</w:t>
      </w:r>
      <w:r>
        <w:t xml:space="preserve"> y </w:t>
      </w:r>
      <w:r>
        <w:rPr>
          <w:b/>
          <w:bCs/>
        </w:rPr>
        <w:t>0,9033</w:t>
      </w:r>
      <w:r>
        <w:t>.</w:t>
      </w:r>
    </w:p>
    <w:p w14:paraId="01ABF3AE" w14:textId="77777777" w:rsidR="00002083" w:rsidRDefault="00F050D8">
      <w:pPr>
        <w:ind w:firstLine="720"/>
      </w:pPr>
      <w:r>
        <w:t>La correlación cruzada mide la asociación lineal entre dos series distintas, a diferencia de la autocorrelación de la sección 7. Es el instrumento que permite responder si el planteamiento multivariante del enunciado tiene sustento: si LTC no se moviera de forma relacionada con las otras cinco criptomonedas, incorporarlas no aportaría información.</w:t>
      </w:r>
    </w:p>
    <w:p w14:paraId="3CAFF988" w14:textId="77777777" w:rsidR="00002083" w:rsidRDefault="00F050D8">
      <w:pPr>
        <w:ind w:firstLine="720"/>
      </w:pPr>
      <w:r>
        <w:t>La Figura 8 pone tres matrices 6×6 lado a lado. Las dos primeras corresponden a paneles construidos por nosotros con correlación fijada de antemano; la tercera, a los retornos reales. Puestas juntas, permiten leer el resultado real contra dos referencias donde la respuesta la pusimos nosotros.</w:t>
      </w:r>
    </w:p>
    <w:p w14:paraId="4604AD66" w14:textId="77777777" w:rsidR="00002083" w:rsidRDefault="00F050D8">
      <w:pPr>
        <w:ind w:firstLine="720"/>
      </w:pPr>
      <w:r>
        <w:lastRenderedPageBreak/>
        <w:t xml:space="preserve">La distorsión que introducen los precios en nivel no consiste en que la correlación resulte alta, sino en que resulta </w:t>
      </w:r>
      <w:r>
        <w:rPr>
          <w:b/>
          <w:bCs/>
        </w:rPr>
        <w:t>errática</w:t>
      </w:r>
      <w:r>
        <w:t>. Sobre nivel, la pareja LTC–BTC —el activo que marca la tendencia de todo el sector— cae a 0,126, mientras LTC–ADA sube a 0,796: un ordenamiento económicamente implausible. Sobre retornos el orden se corrige y el rango se estrecha a la mitad.</w:t>
      </w:r>
    </w:p>
    <w:p w14:paraId="3C7D0E7A" w14:textId="77777777" w:rsidR="00002083" w:rsidRDefault="00F050D8">
      <w:pPr>
        <w:ind w:firstLine="720"/>
      </w:pPr>
      <w:r>
        <w:t xml:space="preserve">La explicación es que la correlación en nivel mide algo distinto de lo que se busca. Dos series con tendencia comparten tendencia, y la correlación entre ellas captura esa coincidencia de dirección de largo plazo más que la codependencia real de sus movimientos período a período. Es el fenómeno de la </w:t>
      </w:r>
      <w:r>
        <w:rPr>
          <w:b/>
          <w:bCs/>
        </w:rPr>
        <w:t>correlación espuria</w:t>
      </w:r>
      <w:r>
        <w:t xml:space="preserve"> descrito por Granger y Newbold (1974): dado que la sección 3 midió que los precios no son estacionarios, cualquier correlación calculada sobre ellos hereda ese defecto. Por eso la correlación cruzada del proyecto se calcula sobre retornos.</w:t>
      </w:r>
    </w:p>
    <w:p w14:paraId="24A131CB" w14:textId="77777777" w:rsidR="00002083" w:rsidRDefault="00F050D8">
      <w:pPr>
        <w:ind w:firstLine="720"/>
      </w:pPr>
      <w:r>
        <w:t>Sobre retornos, el activo de apoyo más correlacionado con LTC es ETH y el menos, SOL. Ambos valores quedan lejos de los extremos —ni cerca de 0, que dejaría a las variables de apoyo sin aportar, ni cerca de 1, que las volvería redundantes—, y esa es la condición que sostiene el planteamiento multivariante del enunciado.</w:t>
      </w:r>
    </w:p>
    <w:p w14:paraId="56FFF98F" w14:textId="77777777" w:rsidR="00002083" w:rsidRDefault="00F050D8">
      <w:pPr>
        <w:keepNext/>
        <w:spacing w:before="240"/>
      </w:pPr>
      <w:r>
        <w:rPr>
          <w:b/>
          <w:bCs/>
        </w:rPr>
        <w:t>Tabla —</w:t>
      </w:r>
    </w:p>
    <w:p w14:paraId="3515C15C" w14:textId="77777777" w:rsidR="00002083" w:rsidRDefault="00F050D8">
      <w:pPr>
        <w:keepNext/>
        <w:spacing w:after="60"/>
      </w:pPr>
      <w:r>
        <w:rPr>
          <w:i/>
          <w:iCs/>
        </w:rPr>
        <w:t>Tabla sin pie en el original</w:t>
      </w:r>
    </w:p>
    <w:tbl>
      <w:tblPr>
        <w:tblW w:w="9360" w:type="dxa"/>
        <w:tblCellMar>
          <w:left w:w="10" w:type="dxa"/>
          <w:right w:w="10" w:type="dxa"/>
        </w:tblCellMar>
        <w:tblLook w:val="04A0" w:firstRow="1" w:lastRow="0" w:firstColumn="1" w:lastColumn="0" w:noHBand="0" w:noVBand="1"/>
      </w:tblPr>
      <w:tblGrid>
        <w:gridCol w:w="3120"/>
        <w:gridCol w:w="3120"/>
        <w:gridCol w:w="3120"/>
      </w:tblGrid>
      <w:tr w:rsidR="00002083" w14:paraId="389C071F" w14:textId="77777777">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1EA7BB2B" w14:textId="77777777" w:rsidR="00002083" w:rsidRDefault="00F050D8">
            <w:pPr>
              <w:spacing w:line="240" w:lineRule="auto"/>
            </w:pPr>
            <w:r>
              <w:rPr>
                <w:sz w:val="22"/>
                <w:szCs w:val="22"/>
              </w:rPr>
              <w:t>Par</w:t>
            </w:r>
          </w:p>
        </w:tc>
        <w:tc>
          <w:tcPr>
            <w:tcW w:w="3120" w:type="dxa"/>
            <w:tcBorders>
              <w:top w:val="single" w:sz="6" w:space="0" w:color="000000"/>
              <w:bottom w:val="single" w:sz="6" w:space="0" w:color="000000"/>
            </w:tcBorders>
            <w:tcMar>
              <w:top w:w="60" w:type="dxa"/>
              <w:left w:w="100" w:type="dxa"/>
              <w:bottom w:w="60" w:type="dxa"/>
              <w:right w:w="100" w:type="dxa"/>
            </w:tcMar>
          </w:tcPr>
          <w:p w14:paraId="23C424CF" w14:textId="77777777" w:rsidR="00002083" w:rsidRDefault="00F050D8">
            <w:pPr>
              <w:spacing w:line="240" w:lineRule="auto"/>
              <w:jc w:val="center"/>
            </w:pPr>
            <w:r>
              <w:rPr>
                <w:sz w:val="22"/>
                <w:szCs w:val="22"/>
              </w:rPr>
              <w:t>En nivel</w:t>
            </w:r>
          </w:p>
        </w:tc>
        <w:tc>
          <w:tcPr>
            <w:tcW w:w="3120" w:type="dxa"/>
            <w:tcBorders>
              <w:top w:val="single" w:sz="6" w:space="0" w:color="000000"/>
              <w:bottom w:val="single" w:sz="6" w:space="0" w:color="000000"/>
            </w:tcBorders>
            <w:tcMar>
              <w:top w:w="60" w:type="dxa"/>
              <w:left w:w="100" w:type="dxa"/>
              <w:bottom w:w="60" w:type="dxa"/>
              <w:right w:w="100" w:type="dxa"/>
            </w:tcMar>
          </w:tcPr>
          <w:p w14:paraId="36C4D7EA" w14:textId="77777777" w:rsidR="00002083" w:rsidRDefault="00F050D8">
            <w:pPr>
              <w:spacing w:line="240" w:lineRule="auto"/>
              <w:jc w:val="center"/>
            </w:pPr>
            <w:r>
              <w:rPr>
                <w:sz w:val="22"/>
                <w:szCs w:val="22"/>
              </w:rPr>
              <w:t>En retornos</w:t>
            </w:r>
          </w:p>
        </w:tc>
      </w:tr>
      <w:tr w:rsidR="00002083" w14:paraId="0E5DB122" w14:textId="77777777">
        <w:tc>
          <w:tcPr>
            <w:tcW w:w="3120" w:type="dxa"/>
            <w:tcMar>
              <w:top w:w="60" w:type="dxa"/>
              <w:left w:w="100" w:type="dxa"/>
              <w:bottom w:w="60" w:type="dxa"/>
              <w:right w:w="100" w:type="dxa"/>
            </w:tcMar>
          </w:tcPr>
          <w:p w14:paraId="54CA054E" w14:textId="77777777" w:rsidR="00002083" w:rsidRDefault="00F050D8">
            <w:pPr>
              <w:spacing w:line="240" w:lineRule="auto"/>
            </w:pPr>
            <w:r>
              <w:rPr>
                <w:sz w:val="22"/>
                <w:szCs w:val="22"/>
              </w:rPr>
              <w:t>LTC – BTC</w:t>
            </w:r>
          </w:p>
        </w:tc>
        <w:tc>
          <w:tcPr>
            <w:tcW w:w="3120" w:type="dxa"/>
            <w:tcMar>
              <w:top w:w="60" w:type="dxa"/>
              <w:left w:w="100" w:type="dxa"/>
              <w:bottom w:w="60" w:type="dxa"/>
              <w:right w:w="100" w:type="dxa"/>
            </w:tcMar>
          </w:tcPr>
          <w:p w14:paraId="653A6164" w14:textId="77777777" w:rsidR="00002083" w:rsidRDefault="00F050D8">
            <w:pPr>
              <w:spacing w:line="240" w:lineRule="auto"/>
              <w:jc w:val="center"/>
            </w:pPr>
            <w:r>
              <w:rPr>
                <w:sz w:val="22"/>
                <w:szCs w:val="22"/>
              </w:rPr>
              <w:t>0,126</w:t>
            </w:r>
          </w:p>
        </w:tc>
        <w:tc>
          <w:tcPr>
            <w:tcW w:w="3120" w:type="dxa"/>
            <w:tcMar>
              <w:top w:w="60" w:type="dxa"/>
              <w:left w:w="100" w:type="dxa"/>
              <w:bottom w:w="60" w:type="dxa"/>
              <w:right w:w="100" w:type="dxa"/>
            </w:tcMar>
          </w:tcPr>
          <w:p w14:paraId="0BB7344A" w14:textId="77777777" w:rsidR="00002083" w:rsidRDefault="00F050D8">
            <w:pPr>
              <w:spacing w:line="240" w:lineRule="auto"/>
              <w:jc w:val="center"/>
            </w:pPr>
            <w:r>
              <w:rPr>
                <w:sz w:val="22"/>
                <w:szCs w:val="22"/>
              </w:rPr>
              <w:t>0,715</w:t>
            </w:r>
          </w:p>
        </w:tc>
      </w:tr>
      <w:tr w:rsidR="00002083" w14:paraId="1AB5CC76" w14:textId="77777777">
        <w:tc>
          <w:tcPr>
            <w:tcW w:w="3120" w:type="dxa"/>
            <w:tcBorders>
              <w:bottom w:val="single" w:sz="6" w:space="0" w:color="000000"/>
            </w:tcBorders>
            <w:tcMar>
              <w:top w:w="60" w:type="dxa"/>
              <w:left w:w="100" w:type="dxa"/>
              <w:bottom w:w="60" w:type="dxa"/>
              <w:right w:w="100" w:type="dxa"/>
            </w:tcMar>
          </w:tcPr>
          <w:p w14:paraId="3B612C4F" w14:textId="77777777" w:rsidR="00002083" w:rsidRDefault="00F050D8">
            <w:pPr>
              <w:spacing w:line="240" w:lineRule="auto"/>
            </w:pPr>
            <w:r>
              <w:rPr>
                <w:sz w:val="22"/>
                <w:szCs w:val="22"/>
              </w:rPr>
              <w:t>LTC – ADA</w:t>
            </w:r>
          </w:p>
        </w:tc>
        <w:tc>
          <w:tcPr>
            <w:tcW w:w="3120" w:type="dxa"/>
            <w:tcBorders>
              <w:bottom w:val="single" w:sz="6" w:space="0" w:color="000000"/>
            </w:tcBorders>
            <w:tcMar>
              <w:top w:w="60" w:type="dxa"/>
              <w:left w:w="100" w:type="dxa"/>
              <w:bottom w:w="60" w:type="dxa"/>
              <w:right w:w="100" w:type="dxa"/>
            </w:tcMar>
          </w:tcPr>
          <w:p w14:paraId="19EDAD11" w14:textId="77777777" w:rsidR="00002083" w:rsidRDefault="00F050D8">
            <w:pPr>
              <w:spacing w:line="240" w:lineRule="auto"/>
              <w:jc w:val="center"/>
            </w:pPr>
            <w:r>
              <w:rPr>
                <w:sz w:val="22"/>
                <w:szCs w:val="22"/>
              </w:rPr>
              <w:t>0,796</w:t>
            </w:r>
          </w:p>
        </w:tc>
        <w:tc>
          <w:tcPr>
            <w:tcW w:w="3120" w:type="dxa"/>
            <w:tcBorders>
              <w:bottom w:val="single" w:sz="6" w:space="0" w:color="000000"/>
            </w:tcBorders>
            <w:tcMar>
              <w:top w:w="60" w:type="dxa"/>
              <w:left w:w="100" w:type="dxa"/>
              <w:bottom w:w="60" w:type="dxa"/>
              <w:right w:w="100" w:type="dxa"/>
            </w:tcMar>
          </w:tcPr>
          <w:p w14:paraId="4E151AE6" w14:textId="77777777" w:rsidR="00002083" w:rsidRDefault="00F050D8">
            <w:pPr>
              <w:spacing w:line="240" w:lineRule="auto"/>
              <w:jc w:val="center"/>
            </w:pPr>
            <w:r>
              <w:rPr>
                <w:sz w:val="22"/>
                <w:szCs w:val="22"/>
              </w:rPr>
              <w:t>0,641</w:t>
            </w:r>
          </w:p>
        </w:tc>
      </w:tr>
    </w:tbl>
    <w:p w14:paraId="4B719BB7" w14:textId="77777777" w:rsidR="00002083" w:rsidRDefault="00002083">
      <w:pPr>
        <w:spacing w:after="240"/>
      </w:pPr>
    </w:p>
    <w:p w14:paraId="606F94F1" w14:textId="77777777" w:rsidR="00002083" w:rsidRDefault="00F050D8">
      <w:pPr>
        <w:pStyle w:val="Ttulo1"/>
        <w:keepNext/>
      </w:pPr>
      <w:bookmarkStart w:id="10" w:name="_Toc237941068"/>
      <w:r>
        <w:t xml:space="preserve">Marco Teórico: </w:t>
      </w:r>
      <w:proofErr w:type="spellStart"/>
      <w:r>
        <w:t>Criptoactivos</w:t>
      </w:r>
      <w:proofErr w:type="spellEnd"/>
      <w:r>
        <w:t xml:space="preserve"> y sus Características</w:t>
      </w:r>
      <w:bookmarkEnd w:id="10"/>
    </w:p>
    <w:p w14:paraId="33B1DD1C" w14:textId="77777777" w:rsidR="00002083" w:rsidRDefault="00F050D8">
      <w:pPr>
        <w:ind w:firstLine="720"/>
      </w:pPr>
      <w:r>
        <w:rPr>
          <w:b/>
          <w:bCs/>
        </w:rPr>
        <w:t>Autor:</w:t>
      </w:r>
      <w:r>
        <w:t xml:space="preserve"> Alejandro Zamora · </w:t>
      </w:r>
      <w:proofErr w:type="spellStart"/>
      <w:r>
        <w:rPr>
          <w:b/>
          <w:bCs/>
        </w:rPr>
        <w:t>Issue</w:t>
      </w:r>
      <w:proofErr w:type="spellEnd"/>
      <w:r>
        <w:rPr>
          <w:b/>
          <w:bCs/>
        </w:rPr>
        <w:t>:</w:t>
      </w:r>
      <w:r>
        <w:t xml:space="preserve"> S1-M2-05</w:t>
      </w:r>
    </w:p>
    <w:p w14:paraId="497C42CE" w14:textId="77777777" w:rsidR="00002083" w:rsidRDefault="00F050D8">
      <w:pPr>
        <w:pStyle w:val="Ttulo2"/>
        <w:keepNext/>
      </w:pPr>
      <w:bookmarkStart w:id="11" w:name="_Toc237941069"/>
      <w:r>
        <w:lastRenderedPageBreak/>
        <w:t xml:space="preserve">1. Definición de </w:t>
      </w:r>
      <w:proofErr w:type="spellStart"/>
      <w:r>
        <w:t>criptoactivo</w:t>
      </w:r>
      <w:bookmarkEnd w:id="11"/>
      <w:proofErr w:type="spellEnd"/>
    </w:p>
    <w:p w14:paraId="3F1BA530" w14:textId="77777777" w:rsidR="00002083" w:rsidRDefault="00F050D8">
      <w:pPr>
        <w:ind w:firstLine="720"/>
      </w:pPr>
      <w:r>
        <w:t xml:space="preserve">Un </w:t>
      </w:r>
      <w:proofErr w:type="spellStart"/>
      <w:r>
        <w:t>criptoactivo</w:t>
      </w:r>
      <w:proofErr w:type="spellEnd"/>
      <w:r>
        <w:t xml:space="preserve"> es una representación digital de valor que se registra, se transfiere y se almacena mediante criptografía sobre un registro distribuido, y cuya validez no depende de que una entidad central certifique cada operación. El Grupo de Acción Financiera Internacional lo define de forma funcional —por lo que el activo hace, no por quién lo emite—, como una representación digital de valor negociable electrónicamente y utilizable para pago o inversión (</w:t>
      </w:r>
      <w:proofErr w:type="spellStart"/>
      <w:r>
        <w:t>Financial</w:t>
      </w:r>
      <w:proofErr w:type="spellEnd"/>
      <w:r>
        <w:t xml:space="preserve"> </w:t>
      </w:r>
      <w:proofErr w:type="spellStart"/>
      <w:r>
        <w:t>Action</w:t>
      </w:r>
      <w:proofErr w:type="spellEnd"/>
      <w:r>
        <w:t xml:space="preserve"> </w:t>
      </w:r>
      <w:proofErr w:type="spellStart"/>
      <w:r>
        <w:t>Task</w:t>
      </w:r>
      <w:proofErr w:type="spellEnd"/>
      <w:r>
        <w:t xml:space="preserve"> Force [FATF], 2021).</w:t>
      </w:r>
    </w:p>
    <w:p w14:paraId="229CFFCD" w14:textId="77777777" w:rsidR="00002083" w:rsidRDefault="00F050D8">
      <w:pPr>
        <w:ind w:firstLine="720"/>
      </w:pPr>
      <w:r>
        <w:t xml:space="preserve">Lo que lo distingue de un activo financiero tradicional no es que sea digital, porque un depósito bancario también lo es, sino </w:t>
      </w:r>
      <w:r>
        <w:rPr>
          <w:b/>
          <w:bCs/>
        </w:rPr>
        <w:t>quién garantiza el registro</w:t>
      </w:r>
      <w:r>
        <w:t xml:space="preserve">. En un activo tradicional el libro contable de un intermediario es la fuente de verdad y la propiedad es una anotación en ese libro. En un </w:t>
      </w:r>
      <w:proofErr w:type="spellStart"/>
      <w:r>
        <w:t>criptoactivo</w:t>
      </w:r>
      <w:proofErr w:type="spellEnd"/>
      <w:r>
        <w:t xml:space="preserve"> el libro está replicado por una red que acuerda su contenido mediante un protocolo de consenso, de modo que la propiedad se prueba con una clave criptográfica y no con la palabra de un custodio (Nakamoto, 2008; Narayanan et al., 2016).</w:t>
      </w:r>
    </w:p>
    <w:p w14:paraId="7C0E1B62" w14:textId="77777777" w:rsidR="00002083" w:rsidRDefault="00F050D8">
      <w:pPr>
        <w:ind w:firstLine="720"/>
      </w:pPr>
      <w:r>
        <w:t xml:space="preserve">De ahí se deriva la propiedad que más importa aquí: </w:t>
      </w:r>
      <w:r>
        <w:rPr>
          <w:b/>
          <w:bCs/>
        </w:rPr>
        <w:t>no existe un emisor con obligación de pago</w:t>
      </w:r>
      <w:r>
        <w:t xml:space="preserve">. Un bono tiene un flujo contractual y una acción un derecho residual sobre las utilidades; un </w:t>
      </w:r>
      <w:proofErr w:type="spellStart"/>
      <w:r>
        <w:t>criptoactivo</w:t>
      </w:r>
      <w:proofErr w:type="spellEnd"/>
      <w:r>
        <w:t xml:space="preserve"> no tiene ninguno de los dos, y carece por tanto de anclaje de valoración fundamental. Böhme et al. (2015) señalan que su precio se determina enteramente por el equilibrio entre compradores y vendedores, sin un valor de referencia externo que ancle las expectativas.</w:t>
      </w:r>
    </w:p>
    <w:p w14:paraId="443D7C7B" w14:textId="77777777" w:rsidR="00002083" w:rsidRDefault="00F050D8">
      <w:pPr>
        <w:ind w:firstLine="720"/>
      </w:pPr>
      <w:r>
        <w:t xml:space="preserve">Esa ausencia de ancla es la razón técnica por la que el proyecto se plantea como </w:t>
      </w:r>
      <w:r>
        <w:rPr>
          <w:b/>
          <w:bCs/>
        </w:rPr>
        <w:t>reconocimiento de patrones sobre la serie de precios</w:t>
      </w:r>
      <w:r>
        <w:t xml:space="preserve"> y no como valoración: no hay un múltiplo al que el precio deba revertir, hay una dinámica que caracterizar. Y es también la razón </w:t>
      </w:r>
      <w:r>
        <w:lastRenderedPageBreak/>
        <w:t xml:space="preserve">del enfoque multivariante: si no hay fundamentales que expliquen el precio de LTC, buena parte de la información disponible está en cómo se comportan los demás </w:t>
      </w:r>
      <w:proofErr w:type="spellStart"/>
      <w:r>
        <w:t>criptoactivos</w:t>
      </w:r>
      <w:proofErr w:type="spellEnd"/>
      <w:r>
        <w:t>.</w:t>
      </w:r>
    </w:p>
    <w:p w14:paraId="05DD5A85" w14:textId="77777777" w:rsidR="00002083" w:rsidRDefault="00F050D8">
      <w:pPr>
        <w:pStyle w:val="Ttulo2"/>
        <w:keepNext/>
      </w:pPr>
      <w:bookmarkStart w:id="12" w:name="_Toc237941070"/>
      <w:r>
        <w:t>2. Características principales</w:t>
      </w:r>
      <w:bookmarkEnd w:id="12"/>
    </w:p>
    <w:p w14:paraId="17E66002" w14:textId="77777777" w:rsidR="00002083" w:rsidRDefault="00F050D8">
      <w:pPr>
        <w:ind w:firstLine="720"/>
      </w:pPr>
      <w:r>
        <w:rPr>
          <w:b/>
          <w:bCs/>
        </w:rPr>
        <w:t>Descentralización del registro.</w:t>
      </w:r>
      <w:r>
        <w:t xml:space="preserve"> Ningún participante puede modificar unilateralmente el historial. La consecuencia práctica es que no existe un precio oficial: cada </w:t>
      </w:r>
      <w:proofErr w:type="spellStart"/>
      <w:r>
        <w:t>exchange</w:t>
      </w:r>
      <w:proofErr w:type="spellEnd"/>
      <w:r>
        <w:t xml:space="preserve"> forma el suyo, y elegir la fuente es una decisión metodológica que hay que declarar (sección 4).</w:t>
      </w:r>
    </w:p>
    <w:p w14:paraId="7BFDEF56" w14:textId="77777777" w:rsidR="00002083" w:rsidRDefault="00F050D8">
      <w:pPr>
        <w:ind w:firstLine="720"/>
      </w:pPr>
      <w:r>
        <w:rPr>
          <w:b/>
          <w:bCs/>
        </w:rPr>
        <w:t>Operación continua.</w:t>
      </w:r>
      <w:r>
        <w:t xml:space="preserve"> El mercado funciona las veinticuatro horas los siete días, sin apertura ni cierre. Se ve directamente en nuestros datos: la descomposición de la serie diaria de LTC atribuye a la componente estacional apenas el </w:t>
      </w:r>
      <w:r>
        <w:rPr>
          <w:b/>
          <w:bCs/>
        </w:rPr>
        <w:t>0,426 %</w:t>
      </w:r>
      <w:r>
        <w:t xml:space="preserve"> de la variación total. En un mercado con horario aparecería un efecto de fin de semana y un patrón </w:t>
      </w:r>
      <w:proofErr w:type="spellStart"/>
      <w:r>
        <w:t>intrasemanal</w:t>
      </w:r>
      <w:proofErr w:type="spellEnd"/>
      <w:r>
        <w:t xml:space="preserve"> apreciable.</w:t>
      </w:r>
    </w:p>
    <w:p w14:paraId="57D3A270" w14:textId="77777777" w:rsidR="00002083" w:rsidRDefault="00F050D8">
      <w:pPr>
        <w:ind w:firstLine="720"/>
      </w:pPr>
      <w:r>
        <w:t xml:space="preserve">No es un dato descriptivo: </w:t>
      </w:r>
      <w:r>
        <w:rPr>
          <w:b/>
          <w:bCs/>
        </w:rPr>
        <w:t>justifica una decisión de diseño</w:t>
      </w:r>
      <w:r>
        <w:t>. Sin estacionalidad relevante, no tiene sentido gastar características en codificar el día de la semana, y ese presupuesto queda disponible para variables que sí informan.</w:t>
      </w:r>
    </w:p>
    <w:p w14:paraId="6D0B879D" w14:textId="77777777" w:rsidR="00002083" w:rsidRDefault="00F050D8">
      <w:pPr>
        <w:ind w:firstLine="720"/>
      </w:pPr>
      <w:r>
        <w:rPr>
          <w:b/>
          <w:bCs/>
        </w:rPr>
        <w:t>Divisibilidad.</w:t>
      </w:r>
      <w:r>
        <w:t xml:space="preserve"> Un </w:t>
      </w:r>
      <w:proofErr w:type="spellStart"/>
      <w:r>
        <w:t>criptoactivo</w:t>
      </w:r>
      <w:proofErr w:type="spellEnd"/>
      <w:r>
        <w:t xml:space="preserve"> se fracciona hasta ocho decimales o más, así que no hay tamaño mínimo de operación comparable al lote de una acción y la serie no presenta discretización artificial por tamaño de contrato.</w:t>
      </w:r>
    </w:p>
    <w:p w14:paraId="6E5E8592" w14:textId="77777777" w:rsidR="00002083" w:rsidRDefault="00F050D8">
      <w:pPr>
        <w:ind w:firstLine="720"/>
      </w:pPr>
      <w:r>
        <w:rPr>
          <w:b/>
          <w:bCs/>
        </w:rPr>
        <w:t>Transparencia del registro y opacidad del participante.</w:t>
      </w:r>
      <w:r>
        <w:t xml:space="preserve"> Las transacciones son públicas pero las direcciones no están asociadas a identidades. Existe por tanto información en cadena (</w:t>
      </w:r>
      <w:proofErr w:type="spellStart"/>
      <w:r>
        <w:rPr>
          <w:i/>
          <w:iCs/>
        </w:rPr>
        <w:t>on-chain</w:t>
      </w:r>
      <w:proofErr w:type="spellEnd"/>
      <w:r>
        <w:t>) potencialmente utilizable. No la usamos: el enunciado especifica los precios rezagados de las seis criptomonedas como entrada, y ampliar las fuentes sin una necesidad medida sería complejidad sin justificación.</w:t>
      </w:r>
    </w:p>
    <w:p w14:paraId="3B3735D7" w14:textId="77777777" w:rsidR="00002083" w:rsidRDefault="00F050D8">
      <w:pPr>
        <w:ind w:firstLine="720"/>
      </w:pPr>
      <w:r>
        <w:rPr>
          <w:b/>
          <w:bCs/>
        </w:rPr>
        <w:t>Ausencia de cierre diario.</w:t>
      </w:r>
      <w:r>
        <w:t xml:space="preserve"> La vela diaria es un corte de reloj convencional —00:00 UTC—, no un evento de mercado. Un cierre bursátil concentra órdenes y produce un precio con </w:t>
      </w:r>
      <w:r>
        <w:lastRenderedPageBreak/>
        <w:t xml:space="preserve">significado institucional; un corte a medianoche en cripto es una convención del </w:t>
      </w:r>
      <w:proofErr w:type="spellStart"/>
      <w:r>
        <w:t>exchange</w:t>
      </w:r>
      <w:proofErr w:type="spellEnd"/>
      <w:r>
        <w:t>. Eso refuerza la conveniencia de trabajar con velas de 4 horas: si el corte es arbitrario de todos modos, la granularidad se elige por criterio estadístico y no por respeto a una convención vacía.</w:t>
      </w:r>
    </w:p>
    <w:p w14:paraId="50194010" w14:textId="77777777" w:rsidR="00002083" w:rsidRDefault="00F050D8">
      <w:pPr>
        <w:ind w:firstLine="720"/>
      </w:pPr>
      <w:r>
        <w:rPr>
          <w:b/>
          <w:bCs/>
        </w:rPr>
        <w:t>Volatilidad elevada y variable en el tiempo.</w:t>
      </w:r>
      <w:r>
        <w:t xml:space="preserve"> Sobre los datos del proyecto, la desviación estándar móvil de los retornos de LTC en ventanas de 30 días recorre de </w:t>
      </w:r>
      <w:r>
        <w:rPr>
          <w:b/>
          <w:bCs/>
        </w:rPr>
        <w:t>0,0138 a 0,122</w:t>
      </w:r>
      <w:r>
        <w:t xml:space="preserve">: el período más agitado fue </w:t>
      </w:r>
      <w:r>
        <w:rPr>
          <w:b/>
          <w:bCs/>
        </w:rPr>
        <w:t>8,8 veces</w:t>
      </w:r>
      <w:r>
        <w:t xml:space="preserve"> más volátil que el más tranquilo. La literatura lo documenta de forma sistemática: </w:t>
      </w:r>
      <w:proofErr w:type="spellStart"/>
      <w:r>
        <w:t>Katsiampa</w:t>
      </w:r>
      <w:proofErr w:type="spellEnd"/>
      <w:r>
        <w:t xml:space="preserve"> (2017) compara modelos GARCH sobre Bitcoin, y Caporale y </w:t>
      </w:r>
      <w:proofErr w:type="spellStart"/>
      <w:r>
        <w:t>Zekokh</w:t>
      </w:r>
      <w:proofErr w:type="spellEnd"/>
      <w:r>
        <w:t xml:space="preserve"> (2019) muestran, con modelos GARCH de cambio </w:t>
      </w:r>
      <w:proofErr w:type="spellStart"/>
      <w:r>
        <w:t>markoviano</w:t>
      </w:r>
      <w:proofErr w:type="spellEnd"/>
      <w:r>
        <w:t xml:space="preserve">, que la volatilidad de los </w:t>
      </w:r>
      <w:proofErr w:type="spellStart"/>
      <w:r>
        <w:t>criptoactivos</w:t>
      </w:r>
      <w:proofErr w:type="spellEnd"/>
      <w:r>
        <w:t xml:space="preserve"> no solo es </w:t>
      </w:r>
      <w:proofErr w:type="gramStart"/>
      <w:r>
        <w:t>alta</w:t>
      </w:r>
      <w:proofErr w:type="gramEnd"/>
      <w:r>
        <w:t xml:space="preserve"> sino que </w:t>
      </w:r>
      <w:r>
        <w:rPr>
          <w:b/>
          <w:bCs/>
        </w:rPr>
        <w:t>conmuta entre estados</w:t>
      </w:r>
      <w:r>
        <w:t>. La implicación metodológica es directa: como la varianza no es constante, cualquier característica construida sobre magnitudes absolutas de precio será inestable entre períodos, y por eso el pipeline trabaja sobre retornos y sobre estadísticos normalizados por ventana.</w:t>
      </w:r>
    </w:p>
    <w:p w14:paraId="73BB802C" w14:textId="77777777" w:rsidR="00002083" w:rsidRDefault="00F050D8">
      <w:pPr>
        <w:pStyle w:val="Ttulo2"/>
        <w:keepNext/>
      </w:pPr>
      <w:bookmarkStart w:id="13" w:name="_Toc237941071"/>
      <w:r>
        <w:t>3. Principales tipos</w:t>
      </w:r>
      <w:bookmarkEnd w:id="13"/>
    </w:p>
    <w:p w14:paraId="7B311A6E" w14:textId="77777777" w:rsidR="00002083" w:rsidRDefault="00F050D8">
      <w:pPr>
        <w:ind w:firstLine="720"/>
      </w:pPr>
      <w:r>
        <w:t>La clasificación por función económica es la útil aquí, porque explica por qué las seis criptomonedas del proyecto no son intercambiables:</w:t>
      </w:r>
    </w:p>
    <w:p w14:paraId="25CFF74E" w14:textId="77777777" w:rsidR="00002083" w:rsidRDefault="00F050D8">
      <w:pPr>
        <w:ind w:firstLine="720"/>
      </w:pPr>
      <w:r>
        <w:rPr>
          <w:b/>
          <w:bCs/>
        </w:rPr>
        <w:t>Monedas de pago.</w:t>
      </w:r>
      <w:r>
        <w:t xml:space="preserve"> Diseñadas como medio de intercambio, con funcionalidad programable limitada. </w:t>
      </w:r>
      <w:r>
        <w:rPr>
          <w:b/>
          <w:bCs/>
        </w:rPr>
        <w:t>LTC</w:t>
      </w:r>
      <w:r>
        <w:t xml:space="preserve"> pertenece a esta categoría: nació en 2011 como variante de Bitcoin con bloques más rápidos y una prueba de trabajo distinta, orientada a transacciones de menor valor.</w:t>
      </w:r>
    </w:p>
    <w:p w14:paraId="364F433A" w14:textId="77777777" w:rsidR="00002083" w:rsidRDefault="00F050D8">
      <w:pPr>
        <w:ind w:firstLine="720"/>
      </w:pPr>
      <w:r>
        <w:rPr>
          <w:b/>
          <w:bCs/>
        </w:rPr>
        <w:t>Reserva de valor y activo de referencia.</w:t>
      </w:r>
      <w:r>
        <w:t xml:space="preserve"> </w:t>
      </w:r>
      <w:r>
        <w:rPr>
          <w:b/>
          <w:bCs/>
        </w:rPr>
        <w:t>BTC</w:t>
      </w:r>
      <w:r>
        <w:t xml:space="preserve"> cumple hoy sobre todo esta función. Baur et al. (2018) muestran que su uso predominante es especulativo y de tenencia antes que transaccional, lo que lo aproxima más a un activo de inversión que a un medio de pago.</w:t>
      </w:r>
    </w:p>
    <w:p w14:paraId="19D2E462" w14:textId="77777777" w:rsidR="00002083" w:rsidRDefault="00F050D8">
      <w:pPr>
        <w:ind w:firstLine="720"/>
      </w:pPr>
      <w:r>
        <w:rPr>
          <w:b/>
          <w:bCs/>
        </w:rPr>
        <w:lastRenderedPageBreak/>
        <w:t>Plataformas de contratos inteligentes (capa 1).</w:t>
      </w:r>
      <w:r>
        <w:t xml:space="preserve"> Redes cuyo valor deriva de la actividad que alojan. </w:t>
      </w:r>
      <w:r>
        <w:rPr>
          <w:b/>
          <w:bCs/>
        </w:rPr>
        <w:t>ETH</w:t>
      </w:r>
      <w:r>
        <w:t xml:space="preserve"> es la de mayor adopción; </w:t>
      </w:r>
      <w:r>
        <w:rPr>
          <w:b/>
          <w:bCs/>
        </w:rPr>
        <w:t>SOL</w:t>
      </w:r>
      <w:r>
        <w:t xml:space="preserve"> compite ofreciendo mayor rendimiento a cambio de supuestos de descentralización distintos; </w:t>
      </w:r>
      <w:r>
        <w:rPr>
          <w:b/>
          <w:bCs/>
        </w:rPr>
        <w:t>ADA</w:t>
      </w:r>
      <w:r>
        <w:t xml:space="preserve"> sigue una ruta más conservadora y por etapas.</w:t>
      </w:r>
    </w:p>
    <w:p w14:paraId="4A90550C" w14:textId="77777777" w:rsidR="00002083" w:rsidRDefault="00F050D8">
      <w:pPr>
        <w:ind w:firstLine="720"/>
      </w:pPr>
      <w:r>
        <w:rPr>
          <w:b/>
          <w:bCs/>
        </w:rPr>
        <w:t>Orientados a pagos transfronterizos.</w:t>
      </w:r>
      <w:r>
        <w:t xml:space="preserve"> </w:t>
      </w:r>
      <w:r>
        <w:rPr>
          <w:b/>
          <w:bCs/>
        </w:rPr>
        <w:t>XRP</w:t>
      </w:r>
      <w:r>
        <w:t xml:space="preserve"> apunta a la liquidación entre instituciones financieras, y su valor está más expuesto que el resto a decisiones regulatorias sobre su naturaleza jurídica.</w:t>
      </w:r>
    </w:p>
    <w:p w14:paraId="1E1B9836" w14:textId="77777777" w:rsidR="00002083" w:rsidRDefault="00F050D8">
      <w:pPr>
        <w:ind w:firstLine="720"/>
      </w:pPr>
      <w:proofErr w:type="spellStart"/>
      <w:r>
        <w:rPr>
          <w:b/>
          <w:bCs/>
        </w:rPr>
        <w:t>Stablecoins</w:t>
      </w:r>
      <w:proofErr w:type="spellEnd"/>
      <w:r>
        <w:rPr>
          <w:b/>
          <w:bCs/>
        </w:rPr>
        <w:t>.</w:t>
      </w:r>
      <w:r>
        <w:t xml:space="preserve"> Mantienen paridad con una moneda fiduciaria. Quedan fuera del estudio precisamente por eso: su precio es aproximadamente constante por diseño, no tiene puntos de inflexión que pronosticar.</w:t>
      </w:r>
    </w:p>
    <w:p w14:paraId="23AB03D8" w14:textId="77777777" w:rsidR="00002083" w:rsidRDefault="00F050D8">
      <w:pPr>
        <w:ind w:firstLine="720"/>
      </w:pPr>
      <w:r>
        <w:t>La composición de la canasta importa. Las seis series no son seis observaciones independientes del mismo mercado: son cuatro funciones económicas distintas, y esa heterogeneidad es lo que permite que la correlación cruzada de la sección 6 aporte información en lugar de redundancia.</w:t>
      </w:r>
    </w:p>
    <w:p w14:paraId="72BF4018" w14:textId="77777777" w:rsidR="00002083" w:rsidRDefault="00F050D8">
      <w:pPr>
        <w:pStyle w:val="Ttulo2"/>
        <w:keepNext/>
      </w:pPr>
      <w:bookmarkStart w:id="14" w:name="_Toc237941072"/>
      <w:r>
        <w:t>4. Mercado cripto</w:t>
      </w:r>
      <w:bookmarkEnd w:id="14"/>
    </w:p>
    <w:p w14:paraId="2E0AD5A0" w14:textId="77777777" w:rsidR="00002083" w:rsidRDefault="00F050D8">
      <w:pPr>
        <w:ind w:firstLine="720"/>
      </w:pPr>
      <w:r>
        <w:t xml:space="preserve">El mercado se organiza en torno a </w:t>
      </w:r>
      <w:proofErr w:type="spellStart"/>
      <w:r>
        <w:rPr>
          <w:b/>
          <w:bCs/>
        </w:rPr>
        <w:t>exchanges</w:t>
      </w:r>
      <w:proofErr w:type="spellEnd"/>
      <w:r>
        <w:rPr>
          <w:b/>
          <w:bCs/>
        </w:rPr>
        <w:t xml:space="preserve"> centralizados</w:t>
      </w:r>
      <w:r>
        <w:t>, con libros de órdenes de emparejamiento continuo, y a mercados descentralizados basados en contratos inteligentes. La formación de precios sucede en cada plaza por separado y el arbitraje mantiene las cotizaciones alineadas sin hacerlas idénticas. No existe, a diferencia de los mercados regulados, un mecanismo de consolidación que produzca un precio único de referencia.</w:t>
      </w:r>
    </w:p>
    <w:p w14:paraId="70B22D2B" w14:textId="77777777" w:rsidR="00002083" w:rsidRDefault="00F050D8">
      <w:pPr>
        <w:ind w:firstLine="720"/>
      </w:pPr>
      <w:r>
        <w:rPr>
          <w:b/>
          <w:bCs/>
        </w:rPr>
        <w:t>Decisión de fuente y su consecuencia.</w:t>
      </w:r>
      <w:r>
        <w:t xml:space="preserve"> Los precios provienen de la API pública de </w:t>
      </w:r>
      <w:proofErr w:type="spellStart"/>
      <w:r>
        <w:t>Binance</w:t>
      </w:r>
      <w:proofErr w:type="spellEnd"/>
      <w:r>
        <w:t xml:space="preserve">. Hay que declararlo porque condiciona lo que los resultados significan: son los precios de </w:t>
      </w:r>
      <w:r>
        <w:rPr>
          <w:b/>
          <w:bCs/>
        </w:rPr>
        <w:t>un</w:t>
      </w:r>
      <w:r>
        <w:t xml:space="preserve"> </w:t>
      </w:r>
      <w:proofErr w:type="spellStart"/>
      <w:r>
        <w:t>exchange</w:t>
      </w:r>
      <w:proofErr w:type="spellEnd"/>
      <w:r>
        <w:t xml:space="preserve"> y no un promedio ponderado del mercado, de modo que incorporan la </w:t>
      </w:r>
      <w:r>
        <w:lastRenderedPageBreak/>
        <w:t xml:space="preserve">microestructura de esa plaza. Un punto de inflexión detectado sobre esta serie es un punto de inflexión en </w:t>
      </w:r>
      <w:proofErr w:type="spellStart"/>
      <w:r>
        <w:t>Binance</w:t>
      </w:r>
      <w:proofErr w:type="spellEnd"/>
      <w:r>
        <w:t>. Dado que concentra una parte sustancial del volumen de las seis parejas contra USDT, es una aproximación razonable al precio de mercado, pero es una aproximación y así se reporta.</w:t>
      </w:r>
    </w:p>
    <w:p w14:paraId="7E7BC6D9" w14:textId="77777777" w:rsidR="00002083" w:rsidRDefault="00F050D8">
      <w:pPr>
        <w:ind w:firstLine="720"/>
      </w:pPr>
      <w:r>
        <w:rPr>
          <w:b/>
          <w:bCs/>
        </w:rPr>
        <w:t>Ventana histórica común.</w:t>
      </w:r>
      <w:r>
        <w:t xml:space="preserve"> El panel arranca el </w:t>
      </w:r>
      <w:r>
        <w:rPr>
          <w:b/>
          <w:bCs/>
        </w:rPr>
        <w:t>11 de agosto de 2020</w:t>
      </w:r>
      <w:r>
        <w:t xml:space="preserve"> porque esa ventana la determina el activo de listado más reciente, Solana. Las coberturas individuales son mucho más amplias —LTC desde el 13 de diciembre de 2017 y BTC desde el 17 de agosto de 2017—, pero un panel multivariante exige que las seis series existan simultáneamente en cada instante.</w:t>
      </w:r>
    </w:p>
    <w:p w14:paraId="6D887953" w14:textId="77777777" w:rsidR="00002083" w:rsidRDefault="00F050D8">
      <w:pPr>
        <w:ind w:firstLine="720"/>
      </w:pPr>
      <w:r>
        <w:t xml:space="preserve">El costo es cuantificable. Con velas diarias el panel queda en </w:t>
      </w:r>
      <w:r>
        <w:rPr>
          <w:b/>
          <w:bCs/>
        </w:rPr>
        <w:t>2 185 observaciones</w:t>
      </w:r>
      <w:r>
        <w:t xml:space="preserve"> frente a las 3 157 de la serie individual de LTC: se sacrifica cerca de un tercio del historial para poder plantear el problema como multivariante. Con velas de 4 horas el mismo período produce </w:t>
      </w:r>
      <w:r>
        <w:rPr>
          <w:b/>
          <w:bCs/>
        </w:rPr>
        <w:t>13 114 observaciones</w:t>
      </w:r>
      <w:r>
        <w:t>, y por eso esa es la granularidad de trabajo. El requisito de simultaneidad se paga en historia, y la granularidad más fina devuelve el volumen de ejemplos.</w:t>
      </w:r>
    </w:p>
    <w:p w14:paraId="27A36728" w14:textId="77777777" w:rsidR="00002083" w:rsidRDefault="00F050D8">
      <w:pPr>
        <w:ind w:firstLine="720"/>
      </w:pPr>
      <w:r>
        <w:t xml:space="preserve">La cobertura del panel de 4 horas es prácticamente completa: sobre los 13 114 instantes esperados para SOL no hay ningún hueco, y los de los demás activos en su historia completa van de 9 a 16 velas, menos del 0,1 %. La calidad del dato está medida en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/evidencias/spike-datos-4h.json</w:t>
      </w:r>
      <w:r>
        <w:t>.</w:t>
      </w:r>
    </w:p>
    <w:p w14:paraId="42B922B4" w14:textId="77777777" w:rsidR="00002083" w:rsidRDefault="00F050D8">
      <w:pPr>
        <w:pStyle w:val="Ttulo2"/>
        <w:keepNext/>
      </w:pPr>
      <w:bookmarkStart w:id="15" w:name="_Toc237941073"/>
      <w:r>
        <w:t>5. Factores que afectan el precio</w:t>
      </w:r>
      <w:bookmarkEnd w:id="15"/>
    </w:p>
    <w:p w14:paraId="53751D92" w14:textId="77777777" w:rsidR="00002083" w:rsidRDefault="00F050D8">
      <w:pPr>
        <w:ind w:firstLine="720"/>
      </w:pPr>
      <w:r>
        <w:rPr>
          <w:b/>
          <w:bCs/>
        </w:rPr>
        <w:t>Oferta y demanda con oferta programada.</w:t>
      </w:r>
      <w:r>
        <w:t xml:space="preserve"> LTC tiene un tope de 84 millones de unidades y una reducción de la recompensa por bloque —</w:t>
      </w:r>
      <w:proofErr w:type="spellStart"/>
      <w:r>
        <w:rPr>
          <w:i/>
          <w:iCs/>
        </w:rPr>
        <w:t>halving</w:t>
      </w:r>
      <w:proofErr w:type="spellEnd"/>
      <w:r>
        <w:t xml:space="preserve">— aproximadamente cada cuatro años. La oferta futura es conocida de antemano y no responde al precio, así que todo el ajuste ocurre por el lado de la demanda. El efecto de los </w:t>
      </w:r>
      <w:proofErr w:type="spellStart"/>
      <w:r>
        <w:t>halvings</w:t>
      </w:r>
      <w:proofErr w:type="spellEnd"/>
      <w:r>
        <w:t xml:space="preserve"> es objeto de debate: al ser un </w:t>
      </w:r>
      <w:r>
        <w:lastRenderedPageBreak/>
        <w:t>evento anunciado, la hipótesis de mercados eficientes predice que ya está incorporado, aunque la evidencia sobre eficiencia en cripto es mixta (Urquhart, 2016).</w:t>
      </w:r>
    </w:p>
    <w:p w14:paraId="4EFC3D22" w14:textId="77777777" w:rsidR="00002083" w:rsidRDefault="00F050D8">
      <w:pPr>
        <w:ind w:firstLine="720"/>
      </w:pPr>
      <w:r>
        <w:rPr>
          <w:b/>
          <w:bCs/>
        </w:rPr>
        <w:t>Regulación.</w:t>
      </w:r>
      <w:r>
        <w:t xml:space="preserve"> Los anuncios regulatorios producen movimientos abruptos y sincronizados en todo el sector. Auer y Claessens (2018) documentan una reacción marcada de los precios, diferenciada según el tipo de anuncio. Para nuestro problema importa por una razón concreta: esos saltos son </w:t>
      </w:r>
      <w:r>
        <w:rPr>
          <w:b/>
          <w:bCs/>
        </w:rPr>
        <w:t>exógenos a la serie</w:t>
      </w:r>
      <w:r>
        <w:t>, ninguna característica construida sobre el histórico de precios puede anticiparlos, y hay por tanto una fracción irreducible de los puntos de inflexión que el modelo no puede predecir por construcción.</w:t>
      </w:r>
    </w:p>
    <w:p w14:paraId="3DC22C0D" w14:textId="77777777" w:rsidR="00002083" w:rsidRDefault="00F050D8">
      <w:pPr>
        <w:ind w:firstLine="720"/>
      </w:pPr>
      <w:r>
        <w:rPr>
          <w:b/>
          <w:bCs/>
        </w:rPr>
        <w:t>Sentimiento y atención.</w:t>
      </w:r>
      <w:r>
        <w:t xml:space="preserve"> La ausencia de anclaje fundamental deja más espacio a la expectativa, y hay evidencia cuantitativa. Liu y </w:t>
      </w:r>
      <w:proofErr w:type="spellStart"/>
      <w:r>
        <w:t>Tsyvinski</w:t>
      </w:r>
      <w:proofErr w:type="spellEnd"/>
      <w:r>
        <w:t xml:space="preserve"> (2021) muestran que los rendimientos de los </w:t>
      </w:r>
      <w:proofErr w:type="spellStart"/>
      <w:r>
        <w:t>criptoactivos</w:t>
      </w:r>
      <w:proofErr w:type="spellEnd"/>
      <w:r>
        <w:t xml:space="preserve"> no están expuestos a los factores de riesgo de acciones, divisas ni materias primas, ni a las variables macroeconómicas habituales, y que en cambio sí resultan predichos de forma robusta por el momento del precio y por medidas de atención del inversor. Es la confirmación empírica del argumento de la sección 1: si los fundamentales no explican el precio, lo que queda por explotar es la dinámica de la propia serie.</w:t>
      </w:r>
    </w:p>
    <w:p w14:paraId="5D20BB5F" w14:textId="77777777" w:rsidR="00002083" w:rsidRDefault="00F050D8">
      <w:pPr>
        <w:ind w:firstLine="720"/>
      </w:pPr>
      <w:r>
        <w:rPr>
          <w:b/>
          <w:bCs/>
        </w:rPr>
        <w:t>Flujos institucionales y liquidez.</w:t>
      </w:r>
      <w:r>
        <w:t xml:space="preserve"> La entrada de vehículos de inversión regulados modificó la base de participantes y con ella el régimen de volatilidad, lo que es coherente con el cociente de 8,8 medido en nuestra serie: no describe un mercado de volatilidad alta y estable, sino uno que </w:t>
      </w:r>
      <w:r>
        <w:rPr>
          <w:b/>
          <w:bCs/>
        </w:rPr>
        <w:t>cambia de régimen</w:t>
      </w:r>
      <w:r>
        <w:t>.</w:t>
      </w:r>
    </w:p>
    <w:p w14:paraId="4BC124BF" w14:textId="77777777" w:rsidR="00002083" w:rsidRDefault="00F050D8">
      <w:pPr>
        <w:ind w:firstLine="720"/>
      </w:pPr>
      <w:r>
        <w:rPr>
          <w:b/>
          <w:bCs/>
        </w:rPr>
        <w:t>Contagio entre activos.</w:t>
      </w:r>
      <w:r>
        <w:t xml:space="preserve"> Es el factor que justifica el diseño multivariante y por eso tiene sección propia. Ji et al. (2019) y Yi et al. (2018) documentan una red densa de transmisión de retornos y volatilidad entre </w:t>
      </w:r>
      <w:proofErr w:type="spellStart"/>
      <w:r>
        <w:t>criptoactivos</w:t>
      </w:r>
      <w:proofErr w:type="spellEnd"/>
      <w:r>
        <w:t xml:space="preserve">, con Bitcoin en posición dominante como emisor de choques. La selección de las cinco variables de apoyo que hace el enunciado es consistente con </w:t>
      </w:r>
      <w:r>
        <w:lastRenderedPageBreak/>
        <w:t>esa literatura: BTC como transmisor sistémico, ETH como segundo motor, SOL como indicador de actividad especulativa en capas 1 de alto rendimiento, XRP por su sensibilidad regulatoria y ADA como reflejo de la rotación de capital entre plataformas.</w:t>
      </w:r>
    </w:p>
    <w:p w14:paraId="4BAB892E" w14:textId="77777777" w:rsidR="00002083" w:rsidRDefault="00F050D8">
      <w:pPr>
        <w:pStyle w:val="Ttulo2"/>
        <w:keepNext/>
      </w:pPr>
      <w:bookmarkStart w:id="16" w:name="_Toc237941074"/>
      <w:r>
        <w:t>6. Correlación y dependencia entre activos</w:t>
      </w:r>
      <w:bookmarkEnd w:id="16"/>
    </w:p>
    <w:p w14:paraId="0EBA82BB" w14:textId="77777777" w:rsidR="00002083" w:rsidRDefault="00F050D8">
      <w:pPr>
        <w:keepNext/>
        <w:spacing w:before="240"/>
      </w:pPr>
      <w:r>
        <w:rPr>
          <w:b/>
          <w:bCs/>
        </w:rPr>
        <w:t>Figura 9</w:t>
      </w:r>
    </w:p>
    <w:p w14:paraId="2435EB52" w14:textId="77777777" w:rsidR="00002083" w:rsidRDefault="00F050D8">
      <w:pPr>
        <w:keepNext/>
        <w:spacing w:after="120"/>
      </w:pPr>
      <w:r>
        <w:rPr>
          <w:i/>
          <w:iCs/>
        </w:rPr>
        <w:t>Matriz de correlación entre las seis criptomonedas, calculada sobre retornos diarios del panel 11/08/2020 – 04/08/2026 (n = 2 185)</w:t>
      </w:r>
    </w:p>
    <w:p w14:paraId="439162C9" w14:textId="77777777" w:rsidR="00002083" w:rsidRDefault="00F050D8">
      <w:pPr>
        <w:spacing w:after="120"/>
        <w:jc w:val="center"/>
      </w:pPr>
      <w:r>
        <w:rPr>
          <w:noProof/>
        </w:rPr>
        <w:drawing>
          <wp:inline distT="0" distB="0" distL="0" distR="0" wp14:anchorId="72ABD377" wp14:editId="44DC67AD">
            <wp:extent cx="5715000" cy="1876425"/>
            <wp:effectExtent l="0" t="0" r="0" b="0"/>
            <wp:docPr id="2139037063" name="Imagen 213903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3B878320" w14:textId="77777777" w:rsidR="00002083" w:rsidRDefault="00F050D8">
      <w:pPr>
        <w:spacing w:after="240"/>
      </w:pPr>
      <w:r>
        <w:rPr>
          <w:i/>
          <w:iCs/>
        </w:rPr>
        <w:t>Nota.</w:t>
      </w:r>
      <w:r>
        <w:t xml:space="preserve"> Fuente: elaboración propia sobre datos de </w:t>
      </w:r>
      <w:proofErr w:type="spellStart"/>
      <w:r>
        <w:t>Binance</w:t>
      </w:r>
      <w:proofErr w:type="spellEnd"/>
      <w:r>
        <w:t>.</w:t>
      </w:r>
    </w:p>
    <w:p w14:paraId="58BE2EC0" w14:textId="77777777" w:rsidR="00002083" w:rsidRDefault="00F050D8">
      <w:pPr>
        <w:ind w:firstLine="720"/>
      </w:pPr>
      <w:r>
        <w:rPr>
          <w:b/>
          <w:bCs/>
        </w:rPr>
        <w:t>Medido sobre retornos:</w:t>
      </w:r>
      <w:r>
        <w:t xml:space="preserve"> todas las parejas caen entre </w:t>
      </w:r>
      <w:r>
        <w:rPr>
          <w:b/>
          <w:bCs/>
        </w:rPr>
        <w:t>0,475 y 0,806</w:t>
      </w:r>
      <w:r>
        <w:t xml:space="preserve">, con una media fuera de la diagonal de </w:t>
      </w:r>
      <w:r>
        <w:rPr>
          <w:b/>
          <w:bCs/>
        </w:rPr>
        <w:t>0,625</w:t>
      </w:r>
      <w:r>
        <w:t xml:space="preserve">. LTC se correlaciona más con </w:t>
      </w:r>
      <w:r>
        <w:rPr>
          <w:b/>
          <w:bCs/>
        </w:rPr>
        <w:t>ETH (0,740)</w:t>
      </w:r>
      <w:r>
        <w:t xml:space="preserve"> y con </w:t>
      </w:r>
      <w:r>
        <w:rPr>
          <w:b/>
          <w:bCs/>
        </w:rPr>
        <w:t>BTC (0,715)</w:t>
      </w:r>
      <w:r>
        <w:t xml:space="preserve">, y menos con </w:t>
      </w:r>
      <w:r>
        <w:rPr>
          <w:b/>
          <w:bCs/>
        </w:rPr>
        <w:t>SOL (0,524)</w:t>
      </w:r>
      <w:r>
        <w:t>.</w:t>
      </w:r>
    </w:p>
    <w:p w14:paraId="13146A92" w14:textId="77777777" w:rsidR="00002083" w:rsidRDefault="00F050D8">
      <w:pPr>
        <w:ind w:firstLine="720"/>
      </w:pPr>
      <w:r>
        <w:t>M1 desarrolla la mecánica estadística de la correlación cruzada. Lo que sigue es la interpretación económica.</w:t>
      </w:r>
    </w:p>
    <w:p w14:paraId="11492F52" w14:textId="77777777" w:rsidR="00002083" w:rsidRDefault="00F050D8">
      <w:pPr>
        <w:ind w:firstLine="720"/>
      </w:pPr>
      <w:r>
        <w:rPr>
          <w:b/>
          <w:bCs/>
        </w:rPr>
        <w:t>Por qué ETH y BTC encabezan la lista.</w:t>
      </w:r>
      <w:r>
        <w:t xml:space="preserve"> LTC nació como variante técnica de Bitcoin y comparte con él la función de moneda de pago; se negocia en las mismas plazas, contra los mismos pares y ante los mismos flujos de noticias. BTC es además el activo de referencia del </w:t>
      </w:r>
      <w:r>
        <w:lastRenderedPageBreak/>
        <w:t>sector: Ji et al. (2019) lo identifican como principal emisor de choques de retorno, de modo que un movimiento suyo se propaga a LTC casi por definición. ETH queda ligeramente por encima porque comparte con LTC el estatus de activo de gran capitalización y alta liquidez, destino habitual de los mismos flujos.</w:t>
      </w:r>
    </w:p>
    <w:p w14:paraId="3FA90CD2" w14:textId="77777777" w:rsidR="00002083" w:rsidRDefault="00F050D8">
      <w:pPr>
        <w:ind w:firstLine="720"/>
      </w:pPr>
      <w:r>
        <w:rPr>
          <w:b/>
          <w:bCs/>
        </w:rPr>
        <w:t>Por qué SOL es la menos correlacionada.</w:t>
      </w:r>
      <w:r>
        <w:t xml:space="preserve"> Es el activo más joven de la canasta y el de perfil más especulativo, y su precio responde en mayor medida a factores propios de su ecosistema que no afectan a LTC. Es por tanto el activo cuya información resulta </w:t>
      </w:r>
      <w:r>
        <w:rPr>
          <w:b/>
          <w:bCs/>
        </w:rPr>
        <w:t>menos redundante</w:t>
      </w:r>
      <w:r>
        <w:t>, y por eso mismo el candidato más interesante a aportar señal incremental. La medición de importancia de características de la Semana 3 permitirá contrastar esta hipótesis con un número.</w:t>
      </w:r>
    </w:p>
    <w:p w14:paraId="535D9853" w14:textId="77777777" w:rsidR="00002083" w:rsidRDefault="00F050D8">
      <w:pPr>
        <w:ind w:firstLine="720"/>
      </w:pPr>
      <w:r>
        <w:rPr>
          <w:b/>
          <w:bCs/>
        </w:rPr>
        <w:t>Qué significa un mercado con correlaciones de 0,5 a 0,8.</w:t>
      </w:r>
      <w:r>
        <w:t xml:space="preserve"> Tres consecuencias:</w:t>
      </w:r>
    </w:p>
    <w:p w14:paraId="48A97F4B" w14:textId="77777777" w:rsidR="00002083" w:rsidRDefault="00F050D8">
      <w:pPr>
        <w:ind w:firstLine="720"/>
      </w:pPr>
      <w:r>
        <w:t xml:space="preserve">1. </w:t>
      </w:r>
      <w:r>
        <w:rPr>
          <w:b/>
          <w:bCs/>
        </w:rPr>
        <w:t>La diversificación dentro del sector es limitada.</w:t>
      </w:r>
      <w:r>
        <w:t xml:space="preserve"> Una cartera de las seis criptomonedas se comporta aproximadamente como una posición sobre un factor común. Yi et al. (2018) llegan a una conclusión equivalente sobre 52 criptomonedas: la red de transmisión de volatilidad es densa, de modo que el riesgo no se reparte al añadir más activos del mismo sector. 2. </w:t>
      </w:r>
      <w:r>
        <w:rPr>
          <w:b/>
          <w:bCs/>
        </w:rPr>
        <w:t>El contagio es rápido.</w:t>
      </w:r>
      <w:r>
        <w:t xml:space="preserve"> Con correlaciones de esa magnitud sobre retornos diarios, un choque en un activo se refleja en los demás dentro de la misma vela. 3. </w:t>
      </w:r>
      <w:r>
        <w:rPr>
          <w:b/>
          <w:bCs/>
        </w:rPr>
        <w:t>Hay información compartida, pero no toda lo es.</w:t>
      </w:r>
      <w:r>
        <w:t xml:space="preserve"> Una correlación media de 0,625 implica que alrededor del 39 % de la varianza es común y el 61 % restante idiosincrásico. Esa es la condición que hace útil el enfoque multivariante: con correlación 0,99 las series de apoyo serían redundantes y con 0,1 no aportarían nada. El valor medido está en el rango donde sí puede aportar.</w:t>
      </w:r>
    </w:p>
    <w:p w14:paraId="2985439A" w14:textId="77777777" w:rsidR="00002083" w:rsidRDefault="00F050D8">
      <w:pPr>
        <w:ind w:firstLine="720"/>
      </w:pPr>
      <w:r>
        <w:rPr>
          <w:b/>
          <w:bCs/>
        </w:rPr>
        <w:t>Advertencia metodológica.</w:t>
      </w:r>
      <w:r>
        <w:t xml:space="preserve"> Sobre precios en </w:t>
      </w:r>
      <w:r>
        <w:rPr>
          <w:b/>
          <w:bCs/>
        </w:rPr>
        <w:t>nivel</w:t>
      </w:r>
      <w:r>
        <w:t xml:space="preserve"> el rango se dispara a </w:t>
      </w:r>
      <w:r>
        <w:rPr>
          <w:b/>
          <w:bCs/>
        </w:rPr>
        <w:t>0,126 – 0,888</w:t>
      </w:r>
      <w:r>
        <w:t xml:space="preserve"> y el orden económico se desmorona: LTC–BTC, que sobre retornos es la segunda pareja más </w:t>
      </w:r>
      <w:r>
        <w:lastRenderedPageBreak/>
        <w:t xml:space="preserve">fuerte, cae a </w:t>
      </w:r>
      <w:r>
        <w:rPr>
          <w:b/>
          <w:bCs/>
        </w:rPr>
        <w:t>0,126</w:t>
      </w:r>
      <w:r>
        <w:t xml:space="preserve">, mientras LTC–ADA sube a </w:t>
      </w:r>
      <w:r>
        <w:rPr>
          <w:b/>
          <w:bCs/>
        </w:rPr>
        <w:t>0,796</w:t>
      </w:r>
      <w:r>
        <w:t>. La razón es que las seis series son no estacionarias según midió M1, y la correlación entre series con tendencia mide la coincidencia de tendencias y no la codependencia de sus movimientos. Es la regresión espuria de Granger y Newbold (1974), y por eso toda la correlación cruzada del proyecto se calcula sobre retornos.</w:t>
      </w:r>
    </w:p>
    <w:p w14:paraId="787F3F3D" w14:textId="77777777" w:rsidR="00002083" w:rsidRDefault="00F050D8">
      <w:pPr>
        <w:ind w:firstLine="720"/>
      </w:pPr>
      <w:r>
        <w:rPr>
          <w:b/>
          <w:bCs/>
        </w:rPr>
        <w:t>Control sobre serie construida.</w:t>
      </w:r>
      <w:r>
        <w:t xml:space="preserve"> Sobre paneles sintéticos con correlación </w:t>
      </w:r>
      <w:proofErr w:type="gramStart"/>
      <w:r>
        <w:t>objetivo conocida</w:t>
      </w:r>
      <w:proofErr w:type="gramEnd"/>
      <w:r>
        <w:t xml:space="preserve">, la medición recupera </w:t>
      </w:r>
      <w:r>
        <w:rPr>
          <w:b/>
          <w:bCs/>
        </w:rPr>
        <w:t>0,0945</w:t>
      </w:r>
      <w:r>
        <w:t xml:space="preserve"> cuando pedimos correlación baja y </w:t>
      </w:r>
      <w:r>
        <w:rPr>
          <w:b/>
          <w:bCs/>
        </w:rPr>
        <w:t>0,903</w:t>
      </w:r>
      <w:r>
        <w:t xml:space="preserve"> cuando la pedimos alta. Verifica que el procedimiento hace lo que decimos, antes de aplicarlo a datos donde nadie conoce la respuesta.</w:t>
      </w:r>
    </w:p>
    <w:p w14:paraId="44A9EE43" w14:textId="77777777" w:rsidR="00002083" w:rsidRDefault="00F050D8">
      <w:pPr>
        <w:pStyle w:val="Ttulo2"/>
        <w:keepNext/>
      </w:pPr>
      <w:bookmarkStart w:id="17" w:name="_Toc237941075"/>
      <w:r>
        <w:t>7. Definición de punto de inflexión</w:t>
      </w:r>
      <w:bookmarkEnd w:id="17"/>
    </w:p>
    <w:p w14:paraId="462657C8" w14:textId="77777777" w:rsidR="00002083" w:rsidRDefault="00F050D8">
      <w:pPr>
        <w:keepNext/>
        <w:spacing w:before="240"/>
      </w:pPr>
      <w:r>
        <w:rPr>
          <w:b/>
          <w:bCs/>
        </w:rPr>
        <w:t>Figura 10</w:t>
      </w:r>
    </w:p>
    <w:p w14:paraId="48026C85" w14:textId="77777777" w:rsidR="00002083" w:rsidRDefault="00F050D8">
      <w:pPr>
        <w:keepNext/>
        <w:spacing w:after="120"/>
      </w:pPr>
      <w:r>
        <w:rPr>
          <w:i/>
          <w:iCs/>
        </w:rPr>
        <w:t xml:space="preserve">Serie construida por nosotros mediante </w:t>
      </w:r>
      <w:proofErr w:type="spellStart"/>
      <w:r>
        <w:rPr>
          <w:rFonts w:ascii="Courier New" w:eastAsia="Courier New" w:hAnsi="Courier New" w:cs="Courier New"/>
          <w:i/>
          <w:iCs/>
          <w:sz w:val="22"/>
          <w:szCs w:val="22"/>
        </w:rPr>
        <w:t>serie_</w:t>
      </w:r>
      <w:proofErr w:type="gramStart"/>
      <w:r>
        <w:rPr>
          <w:rFonts w:ascii="Courier New" w:eastAsia="Courier New" w:hAnsi="Courier New" w:cs="Courier New"/>
          <w:i/>
          <w:iCs/>
          <w:sz w:val="22"/>
          <w:szCs w:val="22"/>
        </w:rPr>
        <w:t>zigzag</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r>
        <w:rPr>
          <w:i/>
          <w:iCs/>
        </w:rPr>
        <w:t xml:space="preserve">. Los giros marcados son exactamente los vértices que colocamos al generarla; </w:t>
      </w:r>
      <w:r>
        <w:rPr>
          <w:b/>
          <w:bCs/>
          <w:i/>
          <w:iCs/>
        </w:rPr>
        <w:t>no son datos de mercado</w:t>
      </w:r>
    </w:p>
    <w:p w14:paraId="200A147E" w14:textId="77777777" w:rsidR="00002083" w:rsidRDefault="00F050D8">
      <w:pPr>
        <w:spacing w:after="120"/>
        <w:jc w:val="center"/>
      </w:pPr>
      <w:r>
        <w:rPr>
          <w:noProof/>
        </w:rPr>
        <w:drawing>
          <wp:inline distT="0" distB="0" distL="0" distR="0" wp14:anchorId="568243F8" wp14:editId="5E765F0D">
            <wp:extent cx="5715000" cy="2828925"/>
            <wp:effectExtent l="0" t="0" r="0" b="0"/>
            <wp:docPr id="471850436" name="Imagen 47185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28925"/>
                    </a:xfrm>
                    <a:prstGeom prst="rect">
                      <a:avLst/>
                    </a:prstGeom>
                  </pic:spPr>
                </pic:pic>
              </a:graphicData>
            </a:graphic>
          </wp:inline>
        </w:drawing>
      </w:r>
    </w:p>
    <w:p w14:paraId="3DC0E803" w14:textId="77777777" w:rsidR="00002083" w:rsidRDefault="00F050D8">
      <w:pPr>
        <w:spacing w:after="240"/>
      </w:pPr>
      <w:r>
        <w:rPr>
          <w:i/>
          <w:iCs/>
        </w:rPr>
        <w:t>Nota.</w:t>
      </w:r>
      <w:r>
        <w:t xml:space="preserve"> Fuente: elaboración propia.</w:t>
      </w:r>
    </w:p>
    <w:p w14:paraId="2C918472" w14:textId="77777777" w:rsidR="00002083" w:rsidRDefault="00F050D8">
      <w:pPr>
        <w:ind w:firstLine="720"/>
      </w:pPr>
      <w:r>
        <w:lastRenderedPageBreak/>
        <w:t>Intuitivamente, un máximo es el punto donde el precio deja de subir y empieza a bajar. El problema es que un precio sube y baja continuamente, a todas las escalas, de modo que la intuición no basta para construir una etiqueta.</w:t>
      </w:r>
    </w:p>
    <w:p w14:paraId="6592DC95" w14:textId="77777777" w:rsidR="00002083" w:rsidRDefault="00F050D8">
      <w:pPr>
        <w:ind w:firstLine="720"/>
      </w:pPr>
      <w:r>
        <w:rPr>
          <w:b/>
          <w:bCs/>
        </w:rPr>
        <w:t>Un máximo no existe en términos absolutos: existe respecto de una ventana.</w:t>
      </w:r>
      <w:r>
        <w:t xml:space="preserve"> Sobre una misma serie, mirando una observación a cada lado aparecen varios máximos; mirando cinco, la mayoría deja de serlo porque dentro de esa vecindad hay un valor más alto. El dato no cambió, cambió la escala de observación, y las dos lecturas son correctas: es un giro local pequeño y no es un giro estructural. De ahí se sigue lo esencial de esta sección: no buscamos la definición verdadera de máximo, porque no existe. Estamos </w:t>
      </w:r>
      <w:r>
        <w:rPr>
          <w:b/>
          <w:bCs/>
        </w:rPr>
        <w:t>eligiendo a qué escala trabaja el modelo</w:t>
      </w:r>
      <w:r>
        <w:t>, y esa elección hay que justificarla con datos.</w:t>
      </w:r>
    </w:p>
    <w:p w14:paraId="4E2531CB" w14:textId="77777777" w:rsidR="00002083" w:rsidRDefault="00F050D8">
      <w:pPr>
        <w:ind w:firstLine="720"/>
      </w:pPr>
      <w:r>
        <w:rPr>
          <w:b/>
          <w:bCs/>
        </w:rPr>
        <w:t>Definición operativa adoptada.</w:t>
      </w:r>
      <w:r>
        <w:t xml:space="preserve"> El proyecto fija la etiqueta en un único lugar (</w:t>
      </w:r>
      <w:proofErr w:type="spellStart"/>
      <w:r>
        <w:rPr>
          <w:rFonts w:ascii="Courier New" w:eastAsia="Courier New" w:hAnsi="Courier New" w:cs="Courier New"/>
          <w:sz w:val="22"/>
          <w:szCs w:val="22"/>
        </w:rPr>
        <w:t>contracts</w:t>
      </w:r>
      <w:proofErr w:type="spellEnd"/>
      <w:r>
        <w:rPr>
          <w:rFonts w:ascii="Courier New" w:eastAsia="Courier New" w:hAnsi="Courier New" w:cs="Courier New"/>
          <w:sz w:val="22"/>
          <w:szCs w:val="22"/>
        </w:rPr>
        <w:t>/labeling.py</w:t>
      </w:r>
      <w:r>
        <w:t>) y los cuatro módulos la consumen:</w:t>
      </w:r>
    </w:p>
    <w:p w14:paraId="03F427A5" w14:textId="77777777" w:rsidR="00002083" w:rsidRDefault="00F050D8">
      <w:pPr>
        <w:ind w:left="720"/>
      </w:pPr>
      <w:r>
        <w:t xml:space="preserve">Una vela </w:t>
      </w:r>
      <w:r>
        <w:rPr>
          <w:rFonts w:ascii="Courier New" w:eastAsia="Courier New" w:hAnsi="Courier New" w:cs="Courier New"/>
          <w:sz w:val="22"/>
          <w:szCs w:val="22"/>
        </w:rPr>
        <w:t>t</w:t>
      </w:r>
      <w:r>
        <w:t xml:space="preserve"> es </w:t>
      </w:r>
      <w:r>
        <w:rPr>
          <w:b/>
          <w:bCs/>
        </w:rPr>
        <w:t>Máximo</w:t>
      </w:r>
      <w:r>
        <w:t xml:space="preserve"> si su precio de cierre es estrictamente mayor que el de todas las velas entre </w:t>
      </w:r>
      <w:r>
        <w:rPr>
          <w:rFonts w:ascii="Courier New" w:eastAsia="Courier New" w:hAnsi="Courier New" w:cs="Courier New"/>
          <w:sz w:val="22"/>
          <w:szCs w:val="22"/>
        </w:rPr>
        <w:t>t-w</w:t>
      </w:r>
      <w:r>
        <w:t xml:space="preserve"> y </w:t>
      </w:r>
      <w:proofErr w:type="spellStart"/>
      <w:r>
        <w:rPr>
          <w:rFonts w:ascii="Courier New" w:eastAsia="Courier New" w:hAnsi="Courier New" w:cs="Courier New"/>
          <w:sz w:val="22"/>
          <w:szCs w:val="22"/>
        </w:rPr>
        <w:t>t+w</w:t>
      </w:r>
      <w:proofErr w:type="spellEnd"/>
      <w:r>
        <w:t xml:space="preserve">. Es </w:t>
      </w:r>
      <w:r>
        <w:rPr>
          <w:b/>
          <w:bCs/>
        </w:rPr>
        <w:t>Mínimo</w:t>
      </w:r>
      <w:r>
        <w:t xml:space="preserve"> si es estrictamente menor que todas ellas. En cualquier otro caso es </w:t>
      </w:r>
      <w:r>
        <w:rPr>
          <w:b/>
          <w:bCs/>
        </w:rPr>
        <w:t>Zona de Continuidad</w:t>
      </w:r>
      <w:r>
        <w:t>.</w:t>
      </w:r>
    </w:p>
    <w:p w14:paraId="48A191D3" w14:textId="77777777" w:rsidR="00002083" w:rsidRDefault="00F050D8">
      <w:pPr>
        <w:ind w:firstLine="720"/>
      </w:pPr>
      <w:r>
        <w:t xml:space="preserve">Dos precisiones que no son cosméticas. La exigencia de desigualdad </w:t>
      </w:r>
      <w:r>
        <w:rPr>
          <w:b/>
          <w:bCs/>
        </w:rPr>
        <w:t>estricta</w:t>
      </w:r>
      <w:r>
        <w:t xml:space="preserve"> contra las 2w vecinas es lo que garantiza la propiedad aritmética del párrafo siguiente; admitiendo empates se pierde. Y las primeras y últimas </w:t>
      </w:r>
      <w:r>
        <w:rPr>
          <w:rFonts w:ascii="Courier New" w:eastAsia="Courier New" w:hAnsi="Courier New" w:cs="Courier New"/>
          <w:sz w:val="22"/>
          <w:szCs w:val="22"/>
        </w:rPr>
        <w:t>w</w:t>
      </w:r>
      <w:r>
        <w:t xml:space="preserve"> velas quedan </w:t>
      </w:r>
      <w:r>
        <w:rPr>
          <w:b/>
          <w:bCs/>
        </w:rPr>
        <w:t>sin etiqueta</w:t>
      </w:r>
      <w:r>
        <w:t>, no etiquetadas como Continuidad: no tienen ventana completa, su clase es desconocida, y contarlas como Continuidad inflaría artificialmente la clase mayoritaria.</w:t>
      </w:r>
    </w:p>
    <w:p w14:paraId="79641DEC" w14:textId="77777777" w:rsidR="00002083" w:rsidRDefault="00F050D8">
      <w:pPr>
        <w:ind w:firstLine="720"/>
      </w:pPr>
      <w:r>
        <w:rPr>
          <w:b/>
          <w:bCs/>
        </w:rPr>
        <w:t>Propiedad aritmética: la cota superior del desbalance.</w:t>
      </w:r>
      <w:r>
        <w:t xml:space="preserve"> Dos máximos no pueden estar a menos de </w:t>
      </w:r>
      <w:r>
        <w:rPr>
          <w:rFonts w:ascii="Courier New" w:eastAsia="Courier New" w:hAnsi="Courier New" w:cs="Courier New"/>
          <w:sz w:val="22"/>
          <w:szCs w:val="22"/>
        </w:rPr>
        <w:t>w+1</w:t>
      </w:r>
      <w:r>
        <w:t xml:space="preserve"> velas de distancia, porque cada uno caería dentro de la ventana del otro y cada </w:t>
      </w:r>
      <w:r>
        <w:lastRenderedPageBreak/>
        <w:t xml:space="preserve">uno tendría que ser estrictamente mayor que el otro. Por lo tanto, </w:t>
      </w:r>
      <w:r>
        <w:rPr>
          <w:b/>
          <w:bCs/>
        </w:rPr>
        <w:t xml:space="preserve">como mucho 1 de cada </w:t>
      </w:r>
      <w:r>
        <w:rPr>
          <w:rFonts w:ascii="Courier New" w:eastAsia="Courier New" w:hAnsi="Courier New" w:cs="Courier New"/>
          <w:b/>
          <w:bCs/>
          <w:sz w:val="22"/>
          <w:szCs w:val="22"/>
        </w:rPr>
        <w:t>w+</w:t>
      </w:r>
      <w:proofErr w:type="gramStart"/>
      <w:r>
        <w:rPr>
          <w:rFonts w:ascii="Courier New" w:eastAsia="Courier New" w:hAnsi="Courier New" w:cs="Courier New"/>
          <w:b/>
          <w:bCs/>
          <w:sz w:val="22"/>
          <w:szCs w:val="22"/>
        </w:rPr>
        <w:t>1</w:t>
      </w:r>
      <w:r>
        <w:rPr>
          <w:b/>
          <w:bCs/>
        </w:rPr>
        <w:t xml:space="preserve"> velas puede</w:t>
      </w:r>
      <w:proofErr w:type="gramEnd"/>
      <w:r>
        <w:rPr>
          <w:b/>
          <w:bCs/>
        </w:rPr>
        <w:t xml:space="preserve"> ser Máximo</w:t>
      </w:r>
      <w:r>
        <w:t>, y lo mismo vale para Mínimo.</w:t>
      </w:r>
    </w:p>
    <w:p w14:paraId="10DCD183" w14:textId="77777777" w:rsidR="00002083" w:rsidRDefault="00F050D8">
      <w:pPr>
        <w:ind w:firstLine="720"/>
      </w:pPr>
      <w:r>
        <w:t xml:space="preserve">Esto es </w:t>
      </w:r>
      <w:proofErr w:type="gramStart"/>
      <w:r>
        <w:t>aritmética</w:t>
      </w:r>
      <w:proofErr w:type="gramEnd"/>
      <w:r>
        <w:t xml:space="preserve">, no una medición, y su consecuencia condiciona todo el proyecto: el desbalance de clases </w:t>
      </w:r>
      <w:r>
        <w:rPr>
          <w:b/>
          <w:bCs/>
        </w:rPr>
        <w:t>está garantizado por la definición de la etiqueta</w:t>
      </w:r>
      <w:r>
        <w:t xml:space="preserve">, no es un accidente de los datos. Con </w:t>
      </w:r>
      <w:r>
        <w:rPr>
          <w:rFonts w:ascii="Courier New" w:eastAsia="Courier New" w:hAnsi="Courier New" w:cs="Courier New"/>
          <w:sz w:val="22"/>
          <w:szCs w:val="22"/>
        </w:rPr>
        <w:t>w = 5</w:t>
      </w:r>
      <w:r>
        <w:t xml:space="preserve"> los máximos no pueden superar el 16,7 % de las observaciones; con </w:t>
      </w:r>
      <w:r>
        <w:rPr>
          <w:rFonts w:ascii="Courier New" w:eastAsia="Courier New" w:hAnsi="Courier New" w:cs="Courier New"/>
          <w:sz w:val="22"/>
          <w:szCs w:val="22"/>
        </w:rPr>
        <w:t>w = 7</w:t>
      </w:r>
      <w:r>
        <w:t>, el 12,5 %. La medición sobre el panel confirma que la proporción real queda muy por debajo de esa cota, como corresponde a un límite superior. La elección concreta de granularidad y de ventana pertenece a la etapa de extracción de datos, que el enunciado sitúa en la entrega siguiente.</w:t>
      </w:r>
    </w:p>
    <w:p w14:paraId="025E3BED" w14:textId="77777777" w:rsidR="00002083" w:rsidRDefault="00F050D8">
      <w:pPr>
        <w:ind w:firstLine="720"/>
      </w:pPr>
      <w:r>
        <w:rPr>
          <w:b/>
          <w:bCs/>
        </w:rPr>
        <w:t xml:space="preserve">El horizonte </w:t>
      </w:r>
      <w:r>
        <w:rPr>
          <w:rFonts w:ascii="Courier New" w:eastAsia="Courier New" w:hAnsi="Courier New" w:cs="Courier New"/>
          <w:b/>
          <w:bCs/>
          <w:sz w:val="22"/>
          <w:szCs w:val="22"/>
        </w:rPr>
        <w:t>h</w:t>
      </w:r>
      <w:r>
        <w:rPr>
          <w:b/>
          <w:bCs/>
        </w:rPr>
        <w:t>.</w:t>
      </w:r>
      <w:r>
        <w:t xml:space="preserve"> Es independiente de </w:t>
      </w:r>
      <w:r>
        <w:rPr>
          <w:rFonts w:ascii="Courier New" w:eastAsia="Courier New" w:hAnsi="Courier New" w:cs="Courier New"/>
          <w:sz w:val="22"/>
          <w:szCs w:val="22"/>
        </w:rPr>
        <w:t>w</w:t>
      </w:r>
      <w:r>
        <w:t xml:space="preserve">: mientras </w:t>
      </w:r>
      <w:r>
        <w:rPr>
          <w:rFonts w:ascii="Courier New" w:eastAsia="Courier New" w:hAnsi="Courier New" w:cs="Courier New"/>
          <w:sz w:val="22"/>
          <w:szCs w:val="22"/>
        </w:rPr>
        <w:t>w</w:t>
      </w:r>
      <w:r>
        <w:t xml:space="preserve"> define </w:t>
      </w:r>
      <w:r>
        <w:rPr>
          <w:i/>
          <w:iCs/>
        </w:rPr>
        <w:t>qué</w:t>
      </w:r>
      <w:r>
        <w:t xml:space="preserve"> es un giro, </w:t>
      </w:r>
      <w:r>
        <w:rPr>
          <w:rFonts w:ascii="Courier New" w:eastAsia="Courier New" w:hAnsi="Courier New" w:cs="Courier New"/>
          <w:sz w:val="22"/>
          <w:szCs w:val="22"/>
        </w:rPr>
        <w:t>h</w:t>
      </w:r>
      <w:r>
        <w:t xml:space="preserve"> define </w:t>
      </w:r>
      <w:r>
        <w:rPr>
          <w:i/>
          <w:iCs/>
        </w:rPr>
        <w:t>con cuánta anticipación</w:t>
      </w:r>
      <w:r>
        <w:t xml:space="preserve"> se anuncia. El modelo observa la información disponible hasta </w:t>
      </w:r>
      <w:r>
        <w:rPr>
          <w:rFonts w:ascii="Courier New" w:eastAsia="Courier New" w:hAnsi="Courier New" w:cs="Courier New"/>
          <w:sz w:val="22"/>
          <w:szCs w:val="22"/>
        </w:rPr>
        <w:t>t</w:t>
      </w:r>
      <w:r>
        <w:t xml:space="preserve"> y responde qué etiqueta corresponderá a la vela </w:t>
      </w:r>
      <w:proofErr w:type="spellStart"/>
      <w:r>
        <w:rPr>
          <w:rFonts w:ascii="Courier New" w:eastAsia="Courier New" w:hAnsi="Courier New" w:cs="Courier New"/>
          <w:sz w:val="22"/>
          <w:szCs w:val="22"/>
        </w:rPr>
        <w:t>t+h</w:t>
      </w:r>
      <w:proofErr w:type="spellEnd"/>
      <w:r>
        <w:t>.</w:t>
      </w:r>
    </w:p>
    <w:p w14:paraId="742DA273" w14:textId="77777777" w:rsidR="00002083" w:rsidRDefault="00F050D8">
      <w:pPr>
        <w:ind w:firstLine="720"/>
      </w:pPr>
      <w:r>
        <w:rPr>
          <w:b/>
          <w:bCs/>
        </w:rPr>
        <w:t>La latencia real del sistema.</w:t>
      </w:r>
      <w:r>
        <w:t xml:space="preserve"> Para saber si la vela </w:t>
      </w:r>
      <w:r>
        <w:rPr>
          <w:rFonts w:ascii="Courier New" w:eastAsia="Courier New" w:hAnsi="Courier New" w:cs="Courier New"/>
          <w:sz w:val="22"/>
          <w:szCs w:val="22"/>
        </w:rPr>
        <w:t>t</w:t>
      </w:r>
      <w:r>
        <w:t xml:space="preserve"> fue un máximo hay que observar las </w:t>
      </w:r>
      <w:r>
        <w:rPr>
          <w:rFonts w:ascii="Courier New" w:eastAsia="Courier New" w:hAnsi="Courier New" w:cs="Courier New"/>
          <w:sz w:val="22"/>
          <w:szCs w:val="22"/>
        </w:rPr>
        <w:t>w</w:t>
      </w:r>
      <w:r>
        <w:t xml:space="preserve"> velas posteriores, de modo que su etiqueta </w:t>
      </w:r>
      <w:r>
        <w:rPr>
          <w:b/>
          <w:bCs/>
        </w:rPr>
        <w:t xml:space="preserve">no se conoce hasta </w:t>
      </w:r>
      <w:proofErr w:type="spellStart"/>
      <w:r>
        <w:rPr>
          <w:rFonts w:ascii="Courier New" w:eastAsia="Courier New" w:hAnsi="Courier New" w:cs="Courier New"/>
          <w:b/>
          <w:bCs/>
          <w:sz w:val="22"/>
          <w:szCs w:val="22"/>
        </w:rPr>
        <w:t>t+w</w:t>
      </w:r>
      <w:proofErr w:type="spellEnd"/>
      <w:r>
        <w:t xml:space="preserve">. Si predecimos desde </w:t>
      </w:r>
      <w:r>
        <w:rPr>
          <w:rFonts w:ascii="Courier New" w:eastAsia="Courier New" w:hAnsi="Courier New" w:cs="Courier New"/>
          <w:sz w:val="22"/>
          <w:szCs w:val="22"/>
        </w:rPr>
        <w:t>t</w:t>
      </w:r>
      <w:r>
        <w:t xml:space="preserve"> la etiqueta de </w:t>
      </w:r>
      <w:proofErr w:type="spellStart"/>
      <w:r>
        <w:rPr>
          <w:rFonts w:ascii="Courier New" w:eastAsia="Courier New" w:hAnsi="Courier New" w:cs="Courier New"/>
          <w:sz w:val="22"/>
          <w:szCs w:val="22"/>
        </w:rPr>
        <w:t>t+h</w:t>
      </w:r>
      <w:proofErr w:type="spellEnd"/>
      <w:r>
        <w:t xml:space="preserve">, esa etiqueta no existirá hasta </w:t>
      </w:r>
      <w:proofErr w:type="spellStart"/>
      <w:r>
        <w:rPr>
          <w:rFonts w:ascii="Courier New" w:eastAsia="Courier New" w:hAnsi="Courier New" w:cs="Courier New"/>
          <w:sz w:val="22"/>
          <w:szCs w:val="22"/>
        </w:rPr>
        <w:t>t+h+w</w:t>
      </w:r>
      <w:proofErr w:type="spellEnd"/>
      <w:r>
        <w:t xml:space="preserve">: la anticipación efectiva es de </w:t>
      </w:r>
      <w:proofErr w:type="spellStart"/>
      <w:r>
        <w:rPr>
          <w:rFonts w:ascii="Courier New" w:eastAsia="Courier New" w:hAnsi="Courier New" w:cs="Courier New"/>
          <w:b/>
          <w:bCs/>
          <w:sz w:val="22"/>
          <w:szCs w:val="22"/>
        </w:rPr>
        <w:t>h+w</w:t>
      </w:r>
      <w:proofErr w:type="spellEnd"/>
      <w:r>
        <w:rPr>
          <w:b/>
          <w:bCs/>
        </w:rPr>
        <w:t xml:space="preserve"> velas, no de </w:t>
      </w:r>
      <w:r>
        <w:rPr>
          <w:rFonts w:ascii="Courier New" w:eastAsia="Courier New" w:hAnsi="Courier New" w:cs="Courier New"/>
          <w:b/>
          <w:bCs/>
          <w:sz w:val="22"/>
          <w:szCs w:val="22"/>
        </w:rPr>
        <w:t>h</w:t>
      </w:r>
      <w:r>
        <w:t xml:space="preserve">, y reportar solo </w:t>
      </w:r>
      <w:r>
        <w:rPr>
          <w:rFonts w:ascii="Courier New" w:eastAsia="Courier New" w:hAnsi="Courier New" w:cs="Courier New"/>
          <w:sz w:val="22"/>
          <w:szCs w:val="22"/>
        </w:rPr>
        <w:t>h</w:t>
      </w:r>
      <w:r>
        <w:t xml:space="preserve"> sería engañoso. El proyecto expone esa cantidad como función explícita para que el número entre al informe calculado y no estimado.</w:t>
      </w:r>
    </w:p>
    <w:p w14:paraId="15BE0E31" w14:textId="77777777" w:rsidR="00002083" w:rsidRDefault="00F050D8">
      <w:pPr>
        <w:ind w:firstLine="720"/>
      </w:pPr>
      <w:r>
        <w:t xml:space="preserve">De esta propiedad se desprende el riesgo técnico más serio del proyecto. Como la etiqueta se construye mirando el futuro, es fácil contaminar las características con información posterior al instante de predicción sin darse cuenta, y es particularmente peligroso porque </w:t>
      </w:r>
      <w:r>
        <w:rPr>
          <w:b/>
          <w:bCs/>
        </w:rPr>
        <w:t>no se manifiesta como un error</w:t>
      </w:r>
      <w:r>
        <w:t xml:space="preserve">: produce métricas excelentes y un sistema inservible. La literatura de aprendizaje automático aplicado a finanzas insiste en el punto (López de Prado, 2018), y por eso </w:t>
      </w:r>
      <w:r>
        <w:lastRenderedPageBreak/>
        <w:t xml:space="preserve">el proyecto lo trata con una prueba automática obligatoria y con un embargo de </w:t>
      </w:r>
      <w:proofErr w:type="spellStart"/>
      <w:r>
        <w:rPr>
          <w:rFonts w:ascii="Courier New" w:eastAsia="Courier New" w:hAnsi="Courier New" w:cs="Courier New"/>
          <w:sz w:val="22"/>
          <w:szCs w:val="22"/>
        </w:rPr>
        <w:t>w+h</w:t>
      </w:r>
      <w:proofErr w:type="spellEnd"/>
      <w:r>
        <w:t xml:space="preserve"> velas en cada frontera de la partición temporal (</w:t>
      </w:r>
      <w:proofErr w:type="spellStart"/>
      <w:r>
        <w:t>Bergmeir</w:t>
      </w:r>
      <w:proofErr w:type="spellEnd"/>
      <w:r>
        <w:t xml:space="preserve"> &amp; Benítez, 2012).</w:t>
      </w:r>
    </w:p>
    <w:p w14:paraId="3733344F" w14:textId="77777777" w:rsidR="00002083" w:rsidRDefault="00F050D8">
      <w:pPr>
        <w:pStyle w:val="Ttulo2"/>
        <w:keepNext/>
      </w:pPr>
      <w:bookmarkStart w:id="18" w:name="_Toc237941076"/>
      <w:r>
        <w:t>8. Cómo encontrar puntos de inflexión</w:t>
      </w:r>
      <w:bookmarkEnd w:id="18"/>
    </w:p>
    <w:p w14:paraId="426A919E" w14:textId="77777777" w:rsidR="00002083" w:rsidRDefault="00F050D8">
      <w:pPr>
        <w:keepNext/>
        <w:spacing w:before="240"/>
      </w:pPr>
      <w:r>
        <w:rPr>
          <w:b/>
          <w:bCs/>
        </w:rPr>
        <w:t>Figura 11</w:t>
      </w:r>
    </w:p>
    <w:p w14:paraId="0D6128DA" w14:textId="77777777" w:rsidR="00002083" w:rsidRDefault="00F050D8">
      <w:pPr>
        <w:keepNext/>
        <w:spacing w:after="120"/>
      </w:pPr>
      <w:r>
        <w:rPr>
          <w:i/>
          <w:iCs/>
        </w:rPr>
        <w:t>Últimas 250 velas diarias de LTC con los giros detectados por el criterio de ventana (</w:t>
      </w:r>
      <w:r>
        <w:rPr>
          <w:rFonts w:ascii="Courier New" w:eastAsia="Courier New" w:hAnsi="Courier New" w:cs="Courier New"/>
          <w:i/>
          <w:iCs/>
          <w:sz w:val="22"/>
          <w:szCs w:val="22"/>
        </w:rPr>
        <w:t>w = 5</w:t>
      </w:r>
      <w:r>
        <w:rPr>
          <w:i/>
          <w:iCs/>
        </w:rPr>
        <w:t>)</w:t>
      </w:r>
    </w:p>
    <w:p w14:paraId="6368ED7D" w14:textId="77777777" w:rsidR="00002083" w:rsidRDefault="00F050D8">
      <w:pPr>
        <w:spacing w:after="120"/>
        <w:jc w:val="center"/>
      </w:pPr>
      <w:r>
        <w:rPr>
          <w:noProof/>
        </w:rPr>
        <w:drawing>
          <wp:inline distT="0" distB="0" distL="0" distR="0" wp14:anchorId="7E296D61" wp14:editId="16562584">
            <wp:extent cx="5715000" cy="2828925"/>
            <wp:effectExtent l="0" t="0" r="0" b="0"/>
            <wp:docPr id="1737991229" name="Imagen 173799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28925"/>
                    </a:xfrm>
                    <a:prstGeom prst="rect">
                      <a:avLst/>
                    </a:prstGeom>
                  </pic:spPr>
                </pic:pic>
              </a:graphicData>
            </a:graphic>
          </wp:inline>
        </w:drawing>
      </w:r>
    </w:p>
    <w:p w14:paraId="4B6BBA63" w14:textId="77777777" w:rsidR="00002083" w:rsidRDefault="00F050D8">
      <w:pPr>
        <w:spacing w:after="240"/>
      </w:pPr>
      <w:r>
        <w:rPr>
          <w:i/>
          <w:iCs/>
        </w:rPr>
        <w:t>Nota.</w:t>
      </w:r>
      <w:r>
        <w:t xml:space="preserve"> Fuente: elaboración propia sobre datos de </w:t>
      </w:r>
      <w:proofErr w:type="spellStart"/>
      <w:r>
        <w:t>Binance</w:t>
      </w:r>
      <w:proofErr w:type="spellEnd"/>
      <w:r>
        <w:t>.</w:t>
      </w:r>
    </w:p>
    <w:p w14:paraId="7EDA49F8" w14:textId="77777777" w:rsidR="00002083" w:rsidRDefault="00F050D8">
      <w:pPr>
        <w:ind w:firstLine="720"/>
      </w:pPr>
      <w:r>
        <w:t>Existen dos enfoques, y contrastarlos aclara qué estamos haciendo y qué dejamos fuera.</w:t>
      </w:r>
    </w:p>
    <w:p w14:paraId="17549F6A" w14:textId="77777777" w:rsidR="00002083" w:rsidRDefault="00F050D8">
      <w:pPr>
        <w:pStyle w:val="Ttulo3"/>
        <w:keepNext/>
      </w:pPr>
      <w:bookmarkStart w:id="19" w:name="_Toc237941077"/>
      <w:r>
        <w:t>8.1 Estructura de mercado (HH, HL, LH, LL)</w:t>
      </w:r>
      <w:bookmarkEnd w:id="19"/>
    </w:p>
    <w:p w14:paraId="247463C6" w14:textId="77777777" w:rsidR="00002083" w:rsidRDefault="00F050D8">
      <w:pPr>
        <w:ind w:firstLine="720"/>
      </w:pPr>
      <w:r>
        <w:t xml:space="preserve">Es el enfoque clásico del análisis técnico y el de la figura del enunciado. Se identifican máximos y mínimos sucesivos y se clasifican como </w:t>
      </w:r>
      <w:proofErr w:type="spellStart"/>
      <w:r>
        <w:rPr>
          <w:i/>
          <w:iCs/>
        </w:rPr>
        <w:t>higher</w:t>
      </w:r>
      <w:proofErr w:type="spellEnd"/>
      <w:r>
        <w:rPr>
          <w:i/>
          <w:iCs/>
        </w:rPr>
        <w:t xml:space="preserve"> </w:t>
      </w:r>
      <w:proofErr w:type="spellStart"/>
      <w:r>
        <w:rPr>
          <w:i/>
          <w:iCs/>
        </w:rPr>
        <w:t>high</w:t>
      </w:r>
      <w:proofErr w:type="spellEnd"/>
      <w:r>
        <w:t xml:space="preserve"> (HH), </w:t>
      </w:r>
      <w:proofErr w:type="spellStart"/>
      <w:r>
        <w:rPr>
          <w:i/>
          <w:iCs/>
        </w:rPr>
        <w:t>higher</w:t>
      </w:r>
      <w:proofErr w:type="spellEnd"/>
      <w:r>
        <w:rPr>
          <w:i/>
          <w:iCs/>
        </w:rPr>
        <w:t xml:space="preserve"> </w:t>
      </w:r>
      <w:proofErr w:type="spellStart"/>
      <w:r>
        <w:rPr>
          <w:i/>
          <w:iCs/>
        </w:rPr>
        <w:t>low</w:t>
      </w:r>
      <w:proofErr w:type="spellEnd"/>
      <w:r>
        <w:t xml:space="preserve"> (HL), </w:t>
      </w:r>
      <w:proofErr w:type="spellStart"/>
      <w:r>
        <w:rPr>
          <w:i/>
          <w:iCs/>
        </w:rPr>
        <w:t>lower</w:t>
      </w:r>
      <w:proofErr w:type="spellEnd"/>
      <w:r>
        <w:rPr>
          <w:i/>
          <w:iCs/>
        </w:rPr>
        <w:t xml:space="preserve"> </w:t>
      </w:r>
      <w:proofErr w:type="spellStart"/>
      <w:r>
        <w:rPr>
          <w:i/>
          <w:iCs/>
        </w:rPr>
        <w:t>high</w:t>
      </w:r>
      <w:proofErr w:type="spellEnd"/>
      <w:r>
        <w:t xml:space="preserve"> (LH) y </w:t>
      </w:r>
      <w:proofErr w:type="spellStart"/>
      <w:r>
        <w:rPr>
          <w:i/>
          <w:iCs/>
        </w:rPr>
        <w:t>lower</w:t>
      </w:r>
      <w:proofErr w:type="spellEnd"/>
      <w:r>
        <w:rPr>
          <w:i/>
          <w:iCs/>
        </w:rPr>
        <w:t xml:space="preserve"> </w:t>
      </w:r>
      <w:proofErr w:type="spellStart"/>
      <w:r>
        <w:rPr>
          <w:i/>
          <w:iCs/>
        </w:rPr>
        <w:t>low</w:t>
      </w:r>
      <w:proofErr w:type="spellEnd"/>
      <w:r>
        <w:t xml:space="preserve"> (LL). Una secuencia de HH y HL describe tendencia alcista; una de LH y LL, bajista. El giro se señala cuando la secuencia se rompe: en tendencia alcista, el primer máximo que no supera al anterior seguido de un mínimo que perfora al anterior (Murphy, 1999).</w:t>
      </w:r>
    </w:p>
    <w:p w14:paraId="20247A99" w14:textId="77777777" w:rsidR="00002083" w:rsidRDefault="00F050D8">
      <w:pPr>
        <w:ind w:firstLine="720"/>
      </w:pPr>
      <w:r>
        <w:lastRenderedPageBreak/>
        <w:t xml:space="preserve">Su virtud es incorporar el contexto de la tendencia: no pregunta solo si un punto es un extremo local, sino si rompe una estructura. Su limitación es decisiva para un trabajo cuantitativo: </w:t>
      </w:r>
      <w:r>
        <w:rPr>
          <w:b/>
          <w:bCs/>
        </w:rPr>
        <w:t>depende del criterio del observador</w:t>
      </w:r>
      <w:r>
        <w:t>. Qué oscilación cuenta como máximo relevante y cuál es ruido no está definido por el método, y dos analistas pueden etiquetar la misma serie de forma distinta. Sin regla explícita no hay verdad de referencia reproducible, y sin ella no hay aprendizaje supervisado posible.</w:t>
      </w:r>
    </w:p>
    <w:p w14:paraId="328006FD" w14:textId="77777777" w:rsidR="00002083" w:rsidRDefault="00F050D8">
      <w:pPr>
        <w:pStyle w:val="Ttulo3"/>
        <w:keepNext/>
      </w:pPr>
      <w:bookmarkStart w:id="20" w:name="_Toc237941078"/>
      <w:r>
        <w:t>8.2 Criterio automático de ventana</w:t>
      </w:r>
      <w:bookmarkEnd w:id="20"/>
    </w:p>
    <w:p w14:paraId="7498F5B8" w14:textId="77777777" w:rsidR="00002083" w:rsidRDefault="00F050D8">
      <w:pPr>
        <w:ind w:firstLine="720"/>
      </w:pPr>
      <w:r>
        <w:t xml:space="preserve">Es el que adopta el proyecto, definido en la sección 7. Tiene lo que le falta al anterior: es </w:t>
      </w:r>
      <w:r>
        <w:rPr>
          <w:b/>
          <w:bCs/>
        </w:rPr>
        <w:t>reproducible</w:t>
      </w:r>
      <w:r>
        <w:t xml:space="preserve">, porque la misma serie produce siempre las mismas etiquetas; es </w:t>
      </w:r>
      <w:r>
        <w:rPr>
          <w:b/>
          <w:bCs/>
        </w:rPr>
        <w:t>auditable</w:t>
      </w:r>
      <w:r>
        <w:t xml:space="preserve">, porque cabe en una función con pruebas; y es </w:t>
      </w:r>
      <w:r>
        <w:rPr>
          <w:b/>
          <w:bCs/>
        </w:rPr>
        <w:t>explícito</w:t>
      </w:r>
      <w:r>
        <w:t xml:space="preserve"> en su escala, porque </w:t>
      </w:r>
      <w:r>
        <w:rPr>
          <w:rFonts w:ascii="Courier New" w:eastAsia="Courier New" w:hAnsi="Courier New" w:cs="Courier New"/>
          <w:sz w:val="22"/>
          <w:szCs w:val="22"/>
        </w:rPr>
        <w:t>w</w:t>
      </w:r>
      <w:r>
        <w:t xml:space="preserve"> está a la vista.</w:t>
      </w:r>
    </w:p>
    <w:p w14:paraId="2B177D92" w14:textId="77777777" w:rsidR="00002083" w:rsidRDefault="00F050D8">
      <w:pPr>
        <w:ind w:firstLine="720"/>
      </w:pPr>
      <w:r>
        <w:t xml:space="preserve">Su costo es que exige elegir </w:t>
      </w:r>
      <w:r>
        <w:rPr>
          <w:rFonts w:ascii="Courier New" w:eastAsia="Courier New" w:hAnsi="Courier New" w:cs="Courier New"/>
          <w:sz w:val="22"/>
          <w:szCs w:val="22"/>
        </w:rPr>
        <w:t>w</w:t>
      </w:r>
      <w:r>
        <w:t xml:space="preserve"> y que ignora el contexto de tendencia: trata por igual un máximo en medio de una tendencia alcista y uno que marca su final. Es un intercambio consciente, y elegir </w:t>
      </w:r>
      <w:r>
        <w:rPr>
          <w:rFonts w:ascii="Courier New" w:eastAsia="Courier New" w:hAnsi="Courier New" w:cs="Courier New"/>
          <w:sz w:val="22"/>
          <w:szCs w:val="22"/>
        </w:rPr>
        <w:t>w</w:t>
      </w:r>
      <w:r>
        <w:t xml:space="preserve"> con criterio medido es lo que impide que se convierta en arbitrariedad.</w:t>
      </w:r>
    </w:p>
    <w:p w14:paraId="3F3908E7" w14:textId="77777777" w:rsidR="00002083" w:rsidRDefault="00F050D8">
      <w:pPr>
        <w:pStyle w:val="Ttulo3"/>
        <w:keepNext/>
      </w:pPr>
      <w:bookmarkStart w:id="21" w:name="_Toc237941079"/>
      <w:r>
        <w:t>8.3 Validación del detector sobre una serie donde conocemos la respuesta</w:t>
      </w:r>
      <w:bookmarkEnd w:id="21"/>
    </w:p>
    <w:p w14:paraId="0A176EF9" w14:textId="77777777" w:rsidR="00002083" w:rsidRDefault="00F050D8">
      <w:pPr>
        <w:ind w:firstLine="720"/>
      </w:pPr>
      <w:r>
        <w:t xml:space="preserve">El argumento que sostiene todo lo demás: </w:t>
      </w:r>
      <w:r>
        <w:rPr>
          <w:b/>
          <w:bCs/>
        </w:rPr>
        <w:t>antes de creerle al detector sobre datos donde nadie sabe la verdad, hay que verificar que encuentra lo que debe sobre una serie donde la verdad la pusimos nosotros.</w:t>
      </w:r>
    </w:p>
    <w:p w14:paraId="4008ECE5" w14:textId="77777777" w:rsidR="00002083" w:rsidRDefault="00F050D8">
      <w:pPr>
        <w:ind w:firstLine="720"/>
      </w:pPr>
      <w:r>
        <w:t xml:space="preserve">Sobre la serie construida de la Figura 10 —lineal a tramos, con vértices colocados por construcción— el detector encontró </w:t>
      </w:r>
      <w:r>
        <w:rPr>
          <w:b/>
          <w:bCs/>
        </w:rPr>
        <w:t>18 de 18</w:t>
      </w:r>
      <w:r>
        <w:t xml:space="preserve"> vértices, exactamente y sin falsos positivos. Esto no dice nada sobre el mercado: dice que la implementación del etiquetador es correcta, condición previa a cualquier otra afirmación del proyecto.</w:t>
      </w:r>
    </w:p>
    <w:p w14:paraId="3174EE00" w14:textId="77777777" w:rsidR="00002083" w:rsidRDefault="00F050D8">
      <w:pPr>
        <w:pStyle w:val="Ttulo3"/>
        <w:keepNext/>
      </w:pPr>
      <w:bookmarkStart w:id="22" w:name="_Toc237941080"/>
      <w:r>
        <w:lastRenderedPageBreak/>
        <w:t>8.4 A qué nivel de ruido se rompe el etiquetado</w:t>
      </w:r>
      <w:bookmarkEnd w:id="22"/>
    </w:p>
    <w:p w14:paraId="6DDB438C" w14:textId="77777777" w:rsidR="00002083" w:rsidRDefault="00F050D8">
      <w:pPr>
        <w:ind w:firstLine="720"/>
      </w:pPr>
      <w:r>
        <w:t xml:space="preserve">La comprobación anterior deja abierta la pregunta incómoda: </w:t>
      </w:r>
      <w:r>
        <w:rPr>
          <w:i/>
          <w:iCs/>
        </w:rPr>
        <w:t>¿cómo saben que sus etiquetas no son ruido?</w:t>
      </w:r>
      <w:r>
        <w:t xml:space="preserve"> Una serie lineal a tramos sin ruido es un caso fácil; la pregunta relevante es cuánto ruido tolera el detector antes de inventar giros. Es medible, y lo medimos.</w:t>
      </w:r>
    </w:p>
    <w:p w14:paraId="0FBB51FD" w14:textId="77777777" w:rsidR="00002083" w:rsidRDefault="00F050D8">
      <w:pPr>
        <w:ind w:firstLine="720"/>
      </w:pPr>
      <w:r>
        <w:rPr>
          <w:b/>
          <w:bCs/>
        </w:rPr>
        <w:t>Diseño.</w:t>
      </w:r>
      <w:r>
        <w:t xml:space="preserve"> Se generan series de 800 velas con vértices colocados por construcción y se les suma ruido gaussiano de desviación creciente. La verdad de referencia se toma de la serie </w:t>
      </w:r>
      <w:r>
        <w:rPr>
          <w:b/>
          <w:bCs/>
        </w:rPr>
        <w:t>limpia</w:t>
      </w:r>
      <w:r>
        <w:t xml:space="preserve"> y no de la salida del etiquetador —de lo contrario la prueba compararía la función consigo misma y pasaría siempre—, y la detección se evalúa sobre la </w:t>
      </w:r>
      <w:r>
        <w:rPr>
          <w:b/>
          <w:bCs/>
        </w:rPr>
        <w:t>ruidosa</w:t>
      </w:r>
      <w:r>
        <w:t xml:space="preserve">. Cada nivel promedia </w:t>
      </w:r>
      <w:r>
        <w:rPr>
          <w:b/>
          <w:bCs/>
        </w:rPr>
        <w:t>diez semillas</w:t>
      </w:r>
      <w:r>
        <w:t>, porque una sola serie no distingue el efecto del ruido del azar de esa serie concreta: 498 giros verdaderos por nivel.</w:t>
      </w:r>
    </w:p>
    <w:p w14:paraId="204521C4" w14:textId="77777777" w:rsidR="00002083" w:rsidRDefault="00F050D8">
      <w:pPr>
        <w:ind w:firstLine="720"/>
      </w:pPr>
      <w:r>
        <w:t xml:space="preserve">El ruido se expresa </w:t>
      </w:r>
      <w:r>
        <w:rPr>
          <w:b/>
          <w:bCs/>
        </w:rPr>
        <w:t>relativo al cambio típico de precio entre velas consecutivas</w:t>
      </w:r>
      <w:r>
        <w:t xml:space="preserve">, no en unidades absolutas: un σ de 0,5 es enorme en una serie que se mueve 0,2 por vela e irrelevante en una que se mueve 20, y el cociente es lo que hace la medición comparable entre series. Y se miden dos cosas a propósito, porque perder un giro no es lo mismo que detectarlo corrido una vela: la detección </w:t>
      </w:r>
      <w:r>
        <w:rPr>
          <w:b/>
          <w:bCs/>
        </w:rPr>
        <w:t>exacta</w:t>
      </w:r>
      <w:r>
        <w:t xml:space="preserve"> y la detección </w:t>
      </w:r>
      <w:r>
        <w:rPr>
          <w:b/>
          <w:bCs/>
        </w:rPr>
        <w:t>con tolerancia de una vela</w:t>
      </w:r>
      <w:r>
        <w:t>.</w:t>
      </w:r>
    </w:p>
    <w:p w14:paraId="172D214A" w14:textId="77777777" w:rsidR="00002083" w:rsidRDefault="00F050D8">
      <w:pPr>
        <w:keepNext/>
        <w:spacing w:before="240"/>
      </w:pPr>
      <w:r>
        <w:rPr>
          <w:b/>
          <w:bCs/>
        </w:rPr>
        <w:t>Tabla 1</w:t>
      </w:r>
    </w:p>
    <w:p w14:paraId="3962D97E" w14:textId="77777777" w:rsidR="00002083" w:rsidRDefault="00F050D8">
      <w:pPr>
        <w:keepNext/>
        <w:spacing w:after="60"/>
      </w:pPr>
      <w:r>
        <w:rPr>
          <w:i/>
          <w:iCs/>
        </w:rPr>
        <w:t xml:space="preserve">Sensibilidad del etiquetador al ruido. Serie construida de 800 velas, </w:t>
      </w:r>
      <w:r>
        <w:rPr>
          <w:rFonts w:ascii="Courier New" w:eastAsia="Courier New" w:hAnsi="Courier New" w:cs="Courier New"/>
          <w:i/>
          <w:iCs/>
          <w:sz w:val="22"/>
          <w:szCs w:val="22"/>
        </w:rPr>
        <w:t>w = 7</w:t>
      </w:r>
      <w:r>
        <w:rPr>
          <w:i/>
          <w:iCs/>
        </w:rPr>
        <w:t>, promedio de 10 semillas por nivel (498 giros verdaderos en cada uno). La fila σ = 0,70 proviene del barrido fino</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002083" w14:paraId="44DCE59C" w14:textId="77777777">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203E86CD" w14:textId="77777777" w:rsidR="00002083" w:rsidRDefault="00F050D8">
            <w:pPr>
              <w:spacing w:line="240" w:lineRule="auto"/>
            </w:pPr>
            <w:r>
              <w:rPr>
                <w:sz w:val="22"/>
                <w:szCs w:val="22"/>
              </w:rPr>
              <w:t>σ</w:t>
            </w:r>
          </w:p>
        </w:tc>
        <w:tc>
          <w:tcPr>
            <w:tcW w:w="1872" w:type="dxa"/>
            <w:tcBorders>
              <w:top w:val="single" w:sz="6" w:space="0" w:color="000000"/>
              <w:bottom w:val="single" w:sz="6" w:space="0" w:color="000000"/>
            </w:tcBorders>
            <w:tcMar>
              <w:top w:w="60" w:type="dxa"/>
              <w:left w:w="100" w:type="dxa"/>
              <w:bottom w:w="60" w:type="dxa"/>
              <w:right w:w="100" w:type="dxa"/>
            </w:tcMar>
          </w:tcPr>
          <w:p w14:paraId="19C619A7" w14:textId="77777777" w:rsidR="00002083" w:rsidRDefault="00F050D8">
            <w:pPr>
              <w:spacing w:line="240" w:lineRule="auto"/>
              <w:jc w:val="center"/>
            </w:pPr>
            <w:r>
              <w:rPr>
                <w:sz w:val="22"/>
                <w:szCs w:val="22"/>
              </w:rPr>
              <w:t>Ruido relativo</w:t>
            </w:r>
          </w:p>
        </w:tc>
        <w:tc>
          <w:tcPr>
            <w:tcW w:w="1872" w:type="dxa"/>
            <w:tcBorders>
              <w:top w:val="single" w:sz="6" w:space="0" w:color="000000"/>
              <w:bottom w:val="single" w:sz="6" w:space="0" w:color="000000"/>
            </w:tcBorders>
            <w:tcMar>
              <w:top w:w="60" w:type="dxa"/>
              <w:left w:w="100" w:type="dxa"/>
              <w:bottom w:w="60" w:type="dxa"/>
              <w:right w:w="100" w:type="dxa"/>
            </w:tcMar>
          </w:tcPr>
          <w:p w14:paraId="5FD2D177" w14:textId="77777777" w:rsidR="00002083" w:rsidRDefault="00F050D8">
            <w:pPr>
              <w:spacing w:line="240" w:lineRule="auto"/>
              <w:jc w:val="center"/>
            </w:pPr>
            <w:r>
              <w:rPr>
                <w:sz w:val="22"/>
                <w:szCs w:val="22"/>
              </w:rPr>
              <w:t>Giros recuperados (tolerancia 1 vela)</w:t>
            </w:r>
          </w:p>
        </w:tc>
        <w:tc>
          <w:tcPr>
            <w:tcW w:w="1872" w:type="dxa"/>
            <w:tcBorders>
              <w:top w:val="single" w:sz="6" w:space="0" w:color="000000"/>
              <w:bottom w:val="single" w:sz="6" w:space="0" w:color="000000"/>
            </w:tcBorders>
            <w:tcMar>
              <w:top w:w="60" w:type="dxa"/>
              <w:left w:w="100" w:type="dxa"/>
              <w:bottom w:w="60" w:type="dxa"/>
              <w:right w:w="100" w:type="dxa"/>
            </w:tcMar>
          </w:tcPr>
          <w:p w14:paraId="35BAAC1B" w14:textId="77777777" w:rsidR="00002083" w:rsidRDefault="00F050D8">
            <w:pPr>
              <w:spacing w:line="240" w:lineRule="auto"/>
              <w:jc w:val="center"/>
            </w:pPr>
            <w:r>
              <w:rPr>
                <w:sz w:val="22"/>
                <w:szCs w:val="22"/>
              </w:rPr>
              <w:t>Giros recuperados (vela exacta)</w:t>
            </w:r>
          </w:p>
        </w:tc>
        <w:tc>
          <w:tcPr>
            <w:tcW w:w="1872" w:type="dxa"/>
            <w:tcBorders>
              <w:top w:val="single" w:sz="6" w:space="0" w:color="000000"/>
              <w:bottom w:val="single" w:sz="6" w:space="0" w:color="000000"/>
            </w:tcBorders>
            <w:tcMar>
              <w:top w:w="60" w:type="dxa"/>
              <w:left w:w="100" w:type="dxa"/>
              <w:bottom w:w="60" w:type="dxa"/>
              <w:right w:w="100" w:type="dxa"/>
            </w:tcMar>
          </w:tcPr>
          <w:p w14:paraId="55695489" w14:textId="77777777" w:rsidR="00002083" w:rsidRDefault="00F050D8">
            <w:pPr>
              <w:spacing w:line="240" w:lineRule="auto"/>
              <w:jc w:val="center"/>
            </w:pPr>
            <w:r>
              <w:rPr>
                <w:sz w:val="22"/>
                <w:szCs w:val="22"/>
              </w:rPr>
              <w:t>Giros falsos por giro verdadero</w:t>
            </w:r>
          </w:p>
        </w:tc>
      </w:tr>
      <w:tr w:rsidR="00002083" w14:paraId="7A00347A" w14:textId="77777777">
        <w:tc>
          <w:tcPr>
            <w:tcW w:w="1872" w:type="dxa"/>
            <w:tcMar>
              <w:top w:w="60" w:type="dxa"/>
              <w:left w:w="100" w:type="dxa"/>
              <w:bottom w:w="60" w:type="dxa"/>
              <w:right w:w="100" w:type="dxa"/>
            </w:tcMar>
          </w:tcPr>
          <w:p w14:paraId="69616357" w14:textId="77777777" w:rsidR="00002083" w:rsidRDefault="00F050D8">
            <w:pPr>
              <w:spacing w:line="240" w:lineRule="auto"/>
            </w:pPr>
            <w:r>
              <w:rPr>
                <w:sz w:val="22"/>
                <w:szCs w:val="22"/>
              </w:rPr>
              <w:t>0,00</w:t>
            </w:r>
          </w:p>
        </w:tc>
        <w:tc>
          <w:tcPr>
            <w:tcW w:w="1872" w:type="dxa"/>
            <w:tcMar>
              <w:top w:w="60" w:type="dxa"/>
              <w:left w:w="100" w:type="dxa"/>
              <w:bottom w:w="60" w:type="dxa"/>
              <w:right w:w="100" w:type="dxa"/>
            </w:tcMar>
          </w:tcPr>
          <w:p w14:paraId="582D005B" w14:textId="77777777" w:rsidR="00002083" w:rsidRDefault="00F050D8">
            <w:pPr>
              <w:spacing w:line="240" w:lineRule="auto"/>
              <w:jc w:val="center"/>
            </w:pPr>
            <w:r>
              <w:rPr>
                <w:sz w:val="22"/>
                <w:szCs w:val="22"/>
              </w:rPr>
              <w:t>0,00</w:t>
            </w:r>
          </w:p>
        </w:tc>
        <w:tc>
          <w:tcPr>
            <w:tcW w:w="1872" w:type="dxa"/>
            <w:tcMar>
              <w:top w:w="60" w:type="dxa"/>
              <w:left w:w="100" w:type="dxa"/>
              <w:bottom w:w="60" w:type="dxa"/>
              <w:right w:w="100" w:type="dxa"/>
            </w:tcMar>
          </w:tcPr>
          <w:p w14:paraId="517397A5" w14:textId="77777777" w:rsidR="00002083" w:rsidRDefault="00F050D8">
            <w:pPr>
              <w:spacing w:line="240" w:lineRule="auto"/>
              <w:jc w:val="center"/>
            </w:pPr>
            <w:r>
              <w:rPr>
                <w:b/>
                <w:bCs/>
                <w:sz w:val="22"/>
                <w:szCs w:val="22"/>
              </w:rPr>
              <w:t>1,000</w:t>
            </w:r>
          </w:p>
        </w:tc>
        <w:tc>
          <w:tcPr>
            <w:tcW w:w="1872" w:type="dxa"/>
            <w:tcMar>
              <w:top w:w="60" w:type="dxa"/>
              <w:left w:w="100" w:type="dxa"/>
              <w:bottom w:w="60" w:type="dxa"/>
              <w:right w:w="100" w:type="dxa"/>
            </w:tcMar>
          </w:tcPr>
          <w:p w14:paraId="5A8D870E" w14:textId="77777777" w:rsidR="00002083" w:rsidRDefault="00F050D8">
            <w:pPr>
              <w:spacing w:line="240" w:lineRule="auto"/>
              <w:jc w:val="center"/>
            </w:pPr>
            <w:r>
              <w:rPr>
                <w:b/>
                <w:bCs/>
                <w:sz w:val="22"/>
                <w:szCs w:val="22"/>
              </w:rPr>
              <w:t>1,000</w:t>
            </w:r>
          </w:p>
        </w:tc>
        <w:tc>
          <w:tcPr>
            <w:tcW w:w="1872" w:type="dxa"/>
            <w:tcMar>
              <w:top w:w="60" w:type="dxa"/>
              <w:left w:w="100" w:type="dxa"/>
              <w:bottom w:w="60" w:type="dxa"/>
              <w:right w:w="100" w:type="dxa"/>
            </w:tcMar>
          </w:tcPr>
          <w:p w14:paraId="0283166E" w14:textId="77777777" w:rsidR="00002083" w:rsidRDefault="00F050D8">
            <w:pPr>
              <w:spacing w:line="240" w:lineRule="auto"/>
              <w:jc w:val="center"/>
            </w:pPr>
            <w:r>
              <w:rPr>
                <w:sz w:val="22"/>
                <w:szCs w:val="22"/>
              </w:rPr>
              <w:t>0,000</w:t>
            </w:r>
          </w:p>
        </w:tc>
      </w:tr>
      <w:tr w:rsidR="00002083" w14:paraId="4460748E" w14:textId="77777777">
        <w:tc>
          <w:tcPr>
            <w:tcW w:w="1872" w:type="dxa"/>
            <w:tcMar>
              <w:top w:w="60" w:type="dxa"/>
              <w:left w:w="100" w:type="dxa"/>
              <w:bottom w:w="60" w:type="dxa"/>
              <w:right w:w="100" w:type="dxa"/>
            </w:tcMar>
          </w:tcPr>
          <w:p w14:paraId="74EA2734" w14:textId="77777777" w:rsidR="00002083" w:rsidRDefault="00F050D8">
            <w:pPr>
              <w:spacing w:line="240" w:lineRule="auto"/>
            </w:pPr>
            <w:r>
              <w:rPr>
                <w:sz w:val="22"/>
                <w:szCs w:val="22"/>
              </w:rPr>
              <w:t>0,10</w:t>
            </w:r>
          </w:p>
        </w:tc>
        <w:tc>
          <w:tcPr>
            <w:tcW w:w="1872" w:type="dxa"/>
            <w:tcMar>
              <w:top w:w="60" w:type="dxa"/>
              <w:left w:w="100" w:type="dxa"/>
              <w:bottom w:w="60" w:type="dxa"/>
              <w:right w:w="100" w:type="dxa"/>
            </w:tcMar>
          </w:tcPr>
          <w:p w14:paraId="55EEE29C" w14:textId="77777777" w:rsidR="00002083" w:rsidRDefault="00F050D8">
            <w:pPr>
              <w:spacing w:line="240" w:lineRule="auto"/>
              <w:jc w:val="center"/>
            </w:pPr>
            <w:r>
              <w:rPr>
                <w:sz w:val="22"/>
                <w:szCs w:val="22"/>
              </w:rPr>
              <w:t>0,07</w:t>
            </w:r>
          </w:p>
        </w:tc>
        <w:tc>
          <w:tcPr>
            <w:tcW w:w="1872" w:type="dxa"/>
            <w:tcMar>
              <w:top w:w="60" w:type="dxa"/>
              <w:left w:w="100" w:type="dxa"/>
              <w:bottom w:w="60" w:type="dxa"/>
              <w:right w:w="100" w:type="dxa"/>
            </w:tcMar>
          </w:tcPr>
          <w:p w14:paraId="48786A17" w14:textId="77777777" w:rsidR="00002083" w:rsidRDefault="00F050D8">
            <w:pPr>
              <w:spacing w:line="240" w:lineRule="auto"/>
              <w:jc w:val="center"/>
            </w:pPr>
            <w:r>
              <w:rPr>
                <w:sz w:val="22"/>
                <w:szCs w:val="22"/>
              </w:rPr>
              <w:t>1,000</w:t>
            </w:r>
          </w:p>
        </w:tc>
        <w:tc>
          <w:tcPr>
            <w:tcW w:w="1872" w:type="dxa"/>
            <w:tcMar>
              <w:top w:w="60" w:type="dxa"/>
              <w:left w:w="100" w:type="dxa"/>
              <w:bottom w:w="60" w:type="dxa"/>
              <w:right w:w="100" w:type="dxa"/>
            </w:tcMar>
          </w:tcPr>
          <w:p w14:paraId="4E8AD204" w14:textId="77777777" w:rsidR="00002083" w:rsidRDefault="00F050D8">
            <w:pPr>
              <w:spacing w:line="240" w:lineRule="auto"/>
              <w:jc w:val="center"/>
            </w:pPr>
            <w:r>
              <w:rPr>
                <w:sz w:val="22"/>
                <w:szCs w:val="22"/>
              </w:rPr>
              <w:t>1,000</w:t>
            </w:r>
          </w:p>
        </w:tc>
        <w:tc>
          <w:tcPr>
            <w:tcW w:w="1872" w:type="dxa"/>
            <w:tcMar>
              <w:top w:w="60" w:type="dxa"/>
              <w:left w:w="100" w:type="dxa"/>
              <w:bottom w:w="60" w:type="dxa"/>
              <w:right w:w="100" w:type="dxa"/>
            </w:tcMar>
          </w:tcPr>
          <w:p w14:paraId="3EA7BF3E" w14:textId="77777777" w:rsidR="00002083" w:rsidRDefault="00F050D8">
            <w:pPr>
              <w:spacing w:line="240" w:lineRule="auto"/>
              <w:jc w:val="center"/>
            </w:pPr>
            <w:r>
              <w:rPr>
                <w:sz w:val="22"/>
                <w:szCs w:val="22"/>
              </w:rPr>
              <w:t>0,000</w:t>
            </w:r>
          </w:p>
        </w:tc>
      </w:tr>
      <w:tr w:rsidR="00002083" w14:paraId="777AD372" w14:textId="77777777">
        <w:tc>
          <w:tcPr>
            <w:tcW w:w="1872" w:type="dxa"/>
            <w:tcMar>
              <w:top w:w="60" w:type="dxa"/>
              <w:left w:w="100" w:type="dxa"/>
              <w:bottom w:w="60" w:type="dxa"/>
              <w:right w:w="100" w:type="dxa"/>
            </w:tcMar>
          </w:tcPr>
          <w:p w14:paraId="43644CEB" w14:textId="77777777" w:rsidR="00002083" w:rsidRDefault="00F050D8">
            <w:pPr>
              <w:spacing w:line="240" w:lineRule="auto"/>
            </w:pPr>
            <w:r>
              <w:rPr>
                <w:sz w:val="22"/>
                <w:szCs w:val="22"/>
              </w:rPr>
              <w:t>0,25</w:t>
            </w:r>
          </w:p>
        </w:tc>
        <w:tc>
          <w:tcPr>
            <w:tcW w:w="1872" w:type="dxa"/>
            <w:tcMar>
              <w:top w:w="60" w:type="dxa"/>
              <w:left w:w="100" w:type="dxa"/>
              <w:bottom w:w="60" w:type="dxa"/>
              <w:right w:w="100" w:type="dxa"/>
            </w:tcMar>
          </w:tcPr>
          <w:p w14:paraId="79E7AB55" w14:textId="77777777" w:rsidR="00002083" w:rsidRDefault="00F050D8">
            <w:pPr>
              <w:spacing w:line="240" w:lineRule="auto"/>
              <w:jc w:val="center"/>
            </w:pPr>
            <w:r>
              <w:rPr>
                <w:sz w:val="22"/>
                <w:szCs w:val="22"/>
              </w:rPr>
              <w:t>0,18</w:t>
            </w:r>
          </w:p>
        </w:tc>
        <w:tc>
          <w:tcPr>
            <w:tcW w:w="1872" w:type="dxa"/>
            <w:tcMar>
              <w:top w:w="60" w:type="dxa"/>
              <w:left w:w="100" w:type="dxa"/>
              <w:bottom w:w="60" w:type="dxa"/>
              <w:right w:w="100" w:type="dxa"/>
            </w:tcMar>
          </w:tcPr>
          <w:p w14:paraId="47A4E586" w14:textId="77777777" w:rsidR="00002083" w:rsidRDefault="00F050D8">
            <w:pPr>
              <w:spacing w:line="240" w:lineRule="auto"/>
              <w:jc w:val="center"/>
            </w:pPr>
            <w:r>
              <w:rPr>
                <w:sz w:val="22"/>
                <w:szCs w:val="22"/>
              </w:rPr>
              <w:t>1,000</w:t>
            </w:r>
          </w:p>
        </w:tc>
        <w:tc>
          <w:tcPr>
            <w:tcW w:w="1872" w:type="dxa"/>
            <w:tcMar>
              <w:top w:w="60" w:type="dxa"/>
              <w:left w:w="100" w:type="dxa"/>
              <w:bottom w:w="60" w:type="dxa"/>
              <w:right w:w="100" w:type="dxa"/>
            </w:tcMar>
          </w:tcPr>
          <w:p w14:paraId="1C061315" w14:textId="77777777" w:rsidR="00002083" w:rsidRDefault="00F050D8">
            <w:pPr>
              <w:spacing w:line="240" w:lineRule="auto"/>
              <w:jc w:val="center"/>
            </w:pPr>
            <w:r>
              <w:rPr>
                <w:sz w:val="22"/>
                <w:szCs w:val="22"/>
              </w:rPr>
              <w:t>0,998</w:t>
            </w:r>
          </w:p>
        </w:tc>
        <w:tc>
          <w:tcPr>
            <w:tcW w:w="1872" w:type="dxa"/>
            <w:tcMar>
              <w:top w:w="60" w:type="dxa"/>
              <w:left w:w="100" w:type="dxa"/>
              <w:bottom w:w="60" w:type="dxa"/>
              <w:right w:w="100" w:type="dxa"/>
            </w:tcMar>
          </w:tcPr>
          <w:p w14:paraId="3016D875" w14:textId="77777777" w:rsidR="00002083" w:rsidRDefault="00F050D8">
            <w:pPr>
              <w:spacing w:line="240" w:lineRule="auto"/>
              <w:jc w:val="center"/>
            </w:pPr>
            <w:r>
              <w:rPr>
                <w:sz w:val="22"/>
                <w:szCs w:val="22"/>
              </w:rPr>
              <w:t>0,000</w:t>
            </w:r>
          </w:p>
        </w:tc>
      </w:tr>
      <w:tr w:rsidR="00002083" w14:paraId="09BE7B5F" w14:textId="77777777">
        <w:tc>
          <w:tcPr>
            <w:tcW w:w="1872" w:type="dxa"/>
            <w:tcMar>
              <w:top w:w="60" w:type="dxa"/>
              <w:left w:w="100" w:type="dxa"/>
              <w:bottom w:w="60" w:type="dxa"/>
              <w:right w:w="100" w:type="dxa"/>
            </w:tcMar>
          </w:tcPr>
          <w:p w14:paraId="3E0EBF8A" w14:textId="77777777" w:rsidR="00002083" w:rsidRDefault="00F050D8">
            <w:pPr>
              <w:spacing w:line="240" w:lineRule="auto"/>
            </w:pPr>
            <w:r>
              <w:rPr>
                <w:sz w:val="22"/>
                <w:szCs w:val="22"/>
              </w:rPr>
              <w:t>0,50</w:t>
            </w:r>
          </w:p>
        </w:tc>
        <w:tc>
          <w:tcPr>
            <w:tcW w:w="1872" w:type="dxa"/>
            <w:tcMar>
              <w:top w:w="60" w:type="dxa"/>
              <w:left w:w="100" w:type="dxa"/>
              <w:bottom w:w="60" w:type="dxa"/>
              <w:right w:w="100" w:type="dxa"/>
            </w:tcMar>
          </w:tcPr>
          <w:p w14:paraId="56D6E62D" w14:textId="77777777" w:rsidR="00002083" w:rsidRDefault="00F050D8">
            <w:pPr>
              <w:spacing w:line="240" w:lineRule="auto"/>
              <w:jc w:val="center"/>
            </w:pPr>
            <w:r>
              <w:rPr>
                <w:sz w:val="22"/>
                <w:szCs w:val="22"/>
              </w:rPr>
              <w:t>0,36</w:t>
            </w:r>
          </w:p>
        </w:tc>
        <w:tc>
          <w:tcPr>
            <w:tcW w:w="1872" w:type="dxa"/>
            <w:tcMar>
              <w:top w:w="60" w:type="dxa"/>
              <w:left w:w="100" w:type="dxa"/>
              <w:bottom w:w="60" w:type="dxa"/>
              <w:right w:w="100" w:type="dxa"/>
            </w:tcMar>
          </w:tcPr>
          <w:p w14:paraId="0D492C69" w14:textId="77777777" w:rsidR="00002083" w:rsidRDefault="00F050D8">
            <w:pPr>
              <w:spacing w:line="240" w:lineRule="auto"/>
              <w:jc w:val="center"/>
            </w:pPr>
            <w:r>
              <w:rPr>
                <w:sz w:val="22"/>
                <w:szCs w:val="22"/>
              </w:rPr>
              <w:t>1,000</w:t>
            </w:r>
          </w:p>
        </w:tc>
        <w:tc>
          <w:tcPr>
            <w:tcW w:w="1872" w:type="dxa"/>
            <w:tcMar>
              <w:top w:w="60" w:type="dxa"/>
              <w:left w:w="100" w:type="dxa"/>
              <w:bottom w:w="60" w:type="dxa"/>
              <w:right w:w="100" w:type="dxa"/>
            </w:tcMar>
          </w:tcPr>
          <w:p w14:paraId="4B396660" w14:textId="77777777" w:rsidR="00002083" w:rsidRDefault="00F050D8">
            <w:pPr>
              <w:spacing w:line="240" w:lineRule="auto"/>
              <w:jc w:val="center"/>
            </w:pPr>
            <w:r>
              <w:rPr>
                <w:sz w:val="22"/>
                <w:szCs w:val="22"/>
              </w:rPr>
              <w:t>0,944</w:t>
            </w:r>
          </w:p>
        </w:tc>
        <w:tc>
          <w:tcPr>
            <w:tcW w:w="1872" w:type="dxa"/>
            <w:tcMar>
              <w:top w:w="60" w:type="dxa"/>
              <w:left w:w="100" w:type="dxa"/>
              <w:bottom w:w="60" w:type="dxa"/>
              <w:right w:w="100" w:type="dxa"/>
            </w:tcMar>
          </w:tcPr>
          <w:p w14:paraId="74194D7C" w14:textId="77777777" w:rsidR="00002083" w:rsidRDefault="00F050D8">
            <w:pPr>
              <w:spacing w:line="240" w:lineRule="auto"/>
              <w:jc w:val="center"/>
            </w:pPr>
            <w:r>
              <w:rPr>
                <w:sz w:val="22"/>
                <w:szCs w:val="22"/>
              </w:rPr>
              <w:t>0,000</w:t>
            </w:r>
          </w:p>
        </w:tc>
      </w:tr>
      <w:tr w:rsidR="00002083" w14:paraId="6F1B12C6" w14:textId="77777777">
        <w:tc>
          <w:tcPr>
            <w:tcW w:w="1872" w:type="dxa"/>
            <w:tcMar>
              <w:top w:w="60" w:type="dxa"/>
              <w:left w:w="100" w:type="dxa"/>
              <w:bottom w:w="60" w:type="dxa"/>
              <w:right w:w="100" w:type="dxa"/>
            </w:tcMar>
          </w:tcPr>
          <w:p w14:paraId="6B8F9F96" w14:textId="77777777" w:rsidR="00002083" w:rsidRDefault="00F050D8">
            <w:pPr>
              <w:spacing w:line="240" w:lineRule="auto"/>
            </w:pPr>
            <w:r>
              <w:rPr>
                <w:sz w:val="22"/>
                <w:szCs w:val="22"/>
              </w:rPr>
              <w:t>0,70</w:t>
            </w:r>
          </w:p>
        </w:tc>
        <w:tc>
          <w:tcPr>
            <w:tcW w:w="1872" w:type="dxa"/>
            <w:tcMar>
              <w:top w:w="60" w:type="dxa"/>
              <w:left w:w="100" w:type="dxa"/>
              <w:bottom w:w="60" w:type="dxa"/>
              <w:right w:w="100" w:type="dxa"/>
            </w:tcMar>
          </w:tcPr>
          <w:p w14:paraId="7FEA208B" w14:textId="77777777" w:rsidR="00002083" w:rsidRDefault="00F050D8">
            <w:pPr>
              <w:spacing w:line="240" w:lineRule="auto"/>
              <w:jc w:val="center"/>
            </w:pPr>
            <w:r>
              <w:rPr>
                <w:sz w:val="22"/>
                <w:szCs w:val="22"/>
              </w:rPr>
              <w:t>0,50</w:t>
            </w:r>
          </w:p>
        </w:tc>
        <w:tc>
          <w:tcPr>
            <w:tcW w:w="1872" w:type="dxa"/>
            <w:tcMar>
              <w:top w:w="60" w:type="dxa"/>
              <w:left w:w="100" w:type="dxa"/>
              <w:bottom w:w="60" w:type="dxa"/>
              <w:right w:w="100" w:type="dxa"/>
            </w:tcMar>
          </w:tcPr>
          <w:p w14:paraId="53EF79CB" w14:textId="77777777" w:rsidR="00002083" w:rsidRDefault="00F050D8">
            <w:pPr>
              <w:spacing w:line="240" w:lineRule="auto"/>
              <w:jc w:val="center"/>
            </w:pPr>
            <w:r>
              <w:rPr>
                <w:sz w:val="22"/>
                <w:szCs w:val="22"/>
              </w:rPr>
              <w:t>0,992</w:t>
            </w:r>
          </w:p>
        </w:tc>
        <w:tc>
          <w:tcPr>
            <w:tcW w:w="1872" w:type="dxa"/>
            <w:tcMar>
              <w:top w:w="60" w:type="dxa"/>
              <w:left w:w="100" w:type="dxa"/>
              <w:bottom w:w="60" w:type="dxa"/>
              <w:right w:w="100" w:type="dxa"/>
            </w:tcMar>
          </w:tcPr>
          <w:p w14:paraId="25203FFB" w14:textId="77777777" w:rsidR="00002083" w:rsidRDefault="00F050D8">
            <w:pPr>
              <w:spacing w:line="240" w:lineRule="auto"/>
              <w:jc w:val="center"/>
            </w:pPr>
            <w:r>
              <w:rPr>
                <w:sz w:val="22"/>
                <w:szCs w:val="22"/>
              </w:rPr>
              <w:t>0,857</w:t>
            </w:r>
          </w:p>
        </w:tc>
        <w:tc>
          <w:tcPr>
            <w:tcW w:w="1872" w:type="dxa"/>
            <w:tcMar>
              <w:top w:w="60" w:type="dxa"/>
              <w:left w:w="100" w:type="dxa"/>
              <w:bottom w:w="60" w:type="dxa"/>
              <w:right w:w="100" w:type="dxa"/>
            </w:tcMar>
          </w:tcPr>
          <w:p w14:paraId="614354DA" w14:textId="77777777" w:rsidR="00002083" w:rsidRDefault="00F050D8">
            <w:pPr>
              <w:spacing w:line="240" w:lineRule="auto"/>
              <w:jc w:val="center"/>
            </w:pPr>
            <w:r>
              <w:rPr>
                <w:b/>
                <w:bCs/>
                <w:sz w:val="22"/>
                <w:szCs w:val="22"/>
              </w:rPr>
              <w:t>0,008</w:t>
            </w:r>
          </w:p>
        </w:tc>
      </w:tr>
      <w:tr w:rsidR="00002083" w14:paraId="4C97884C" w14:textId="77777777">
        <w:tc>
          <w:tcPr>
            <w:tcW w:w="1872" w:type="dxa"/>
            <w:tcMar>
              <w:top w:w="60" w:type="dxa"/>
              <w:left w:w="100" w:type="dxa"/>
              <w:bottom w:w="60" w:type="dxa"/>
              <w:right w:w="100" w:type="dxa"/>
            </w:tcMar>
          </w:tcPr>
          <w:p w14:paraId="7CAC1F20" w14:textId="77777777" w:rsidR="00002083" w:rsidRDefault="00F050D8">
            <w:pPr>
              <w:spacing w:line="240" w:lineRule="auto"/>
            </w:pPr>
            <w:r>
              <w:rPr>
                <w:sz w:val="22"/>
                <w:szCs w:val="22"/>
              </w:rPr>
              <w:lastRenderedPageBreak/>
              <w:t>1,00</w:t>
            </w:r>
          </w:p>
        </w:tc>
        <w:tc>
          <w:tcPr>
            <w:tcW w:w="1872" w:type="dxa"/>
            <w:tcMar>
              <w:top w:w="60" w:type="dxa"/>
              <w:left w:w="100" w:type="dxa"/>
              <w:bottom w:w="60" w:type="dxa"/>
              <w:right w:w="100" w:type="dxa"/>
            </w:tcMar>
          </w:tcPr>
          <w:p w14:paraId="72330FB9" w14:textId="77777777" w:rsidR="00002083" w:rsidRDefault="00F050D8">
            <w:pPr>
              <w:spacing w:line="240" w:lineRule="auto"/>
              <w:jc w:val="center"/>
            </w:pPr>
            <w:r>
              <w:rPr>
                <w:sz w:val="22"/>
                <w:szCs w:val="22"/>
              </w:rPr>
              <w:t>0,72</w:t>
            </w:r>
          </w:p>
        </w:tc>
        <w:tc>
          <w:tcPr>
            <w:tcW w:w="1872" w:type="dxa"/>
            <w:tcMar>
              <w:top w:w="60" w:type="dxa"/>
              <w:left w:w="100" w:type="dxa"/>
              <w:bottom w:w="60" w:type="dxa"/>
              <w:right w:w="100" w:type="dxa"/>
            </w:tcMar>
          </w:tcPr>
          <w:p w14:paraId="2BEF2B36" w14:textId="77777777" w:rsidR="00002083" w:rsidRDefault="00F050D8">
            <w:pPr>
              <w:spacing w:line="240" w:lineRule="auto"/>
              <w:jc w:val="center"/>
            </w:pPr>
            <w:r>
              <w:rPr>
                <w:sz w:val="22"/>
                <w:szCs w:val="22"/>
              </w:rPr>
              <w:t>0,960</w:t>
            </w:r>
          </w:p>
        </w:tc>
        <w:tc>
          <w:tcPr>
            <w:tcW w:w="1872" w:type="dxa"/>
            <w:tcMar>
              <w:top w:w="60" w:type="dxa"/>
              <w:left w:w="100" w:type="dxa"/>
              <w:bottom w:w="60" w:type="dxa"/>
              <w:right w:w="100" w:type="dxa"/>
            </w:tcMar>
          </w:tcPr>
          <w:p w14:paraId="11598BF7" w14:textId="77777777" w:rsidR="00002083" w:rsidRDefault="00F050D8">
            <w:pPr>
              <w:spacing w:line="240" w:lineRule="auto"/>
              <w:jc w:val="center"/>
            </w:pPr>
            <w:r>
              <w:rPr>
                <w:sz w:val="22"/>
                <w:szCs w:val="22"/>
              </w:rPr>
              <w:t>0,729</w:t>
            </w:r>
          </w:p>
        </w:tc>
        <w:tc>
          <w:tcPr>
            <w:tcW w:w="1872" w:type="dxa"/>
            <w:tcMar>
              <w:top w:w="60" w:type="dxa"/>
              <w:left w:w="100" w:type="dxa"/>
              <w:bottom w:w="60" w:type="dxa"/>
              <w:right w:w="100" w:type="dxa"/>
            </w:tcMar>
          </w:tcPr>
          <w:p w14:paraId="335B31F0" w14:textId="77777777" w:rsidR="00002083" w:rsidRDefault="00F050D8">
            <w:pPr>
              <w:spacing w:line="240" w:lineRule="auto"/>
              <w:jc w:val="center"/>
            </w:pPr>
            <w:r>
              <w:rPr>
                <w:sz w:val="22"/>
                <w:szCs w:val="22"/>
              </w:rPr>
              <w:t>0,040</w:t>
            </w:r>
          </w:p>
        </w:tc>
      </w:tr>
      <w:tr w:rsidR="00002083" w14:paraId="1A74CA58" w14:textId="77777777">
        <w:tc>
          <w:tcPr>
            <w:tcW w:w="1872" w:type="dxa"/>
            <w:tcMar>
              <w:top w:w="60" w:type="dxa"/>
              <w:left w:w="100" w:type="dxa"/>
              <w:bottom w:w="60" w:type="dxa"/>
              <w:right w:w="100" w:type="dxa"/>
            </w:tcMar>
          </w:tcPr>
          <w:p w14:paraId="6C54A9B8" w14:textId="77777777" w:rsidR="00002083" w:rsidRDefault="00F050D8">
            <w:pPr>
              <w:spacing w:line="240" w:lineRule="auto"/>
            </w:pPr>
            <w:r>
              <w:rPr>
                <w:sz w:val="22"/>
                <w:szCs w:val="22"/>
              </w:rPr>
              <w:t>2,00</w:t>
            </w:r>
          </w:p>
        </w:tc>
        <w:tc>
          <w:tcPr>
            <w:tcW w:w="1872" w:type="dxa"/>
            <w:tcMar>
              <w:top w:w="60" w:type="dxa"/>
              <w:left w:w="100" w:type="dxa"/>
              <w:bottom w:w="60" w:type="dxa"/>
              <w:right w:w="100" w:type="dxa"/>
            </w:tcMar>
          </w:tcPr>
          <w:p w14:paraId="06FFD715" w14:textId="77777777" w:rsidR="00002083" w:rsidRDefault="00F050D8">
            <w:pPr>
              <w:spacing w:line="240" w:lineRule="auto"/>
              <w:jc w:val="center"/>
            </w:pPr>
            <w:r>
              <w:rPr>
                <w:sz w:val="22"/>
                <w:szCs w:val="22"/>
              </w:rPr>
              <w:t>1,44</w:t>
            </w:r>
          </w:p>
        </w:tc>
        <w:tc>
          <w:tcPr>
            <w:tcW w:w="1872" w:type="dxa"/>
            <w:tcMar>
              <w:top w:w="60" w:type="dxa"/>
              <w:left w:w="100" w:type="dxa"/>
              <w:bottom w:w="60" w:type="dxa"/>
              <w:right w:w="100" w:type="dxa"/>
            </w:tcMar>
          </w:tcPr>
          <w:p w14:paraId="1FEAEF03" w14:textId="77777777" w:rsidR="00002083" w:rsidRDefault="00F050D8">
            <w:pPr>
              <w:spacing w:line="240" w:lineRule="auto"/>
              <w:jc w:val="center"/>
            </w:pPr>
            <w:r>
              <w:rPr>
                <w:sz w:val="22"/>
                <w:szCs w:val="22"/>
              </w:rPr>
              <w:t>0,852</w:t>
            </w:r>
          </w:p>
        </w:tc>
        <w:tc>
          <w:tcPr>
            <w:tcW w:w="1872" w:type="dxa"/>
            <w:tcMar>
              <w:top w:w="60" w:type="dxa"/>
              <w:left w:w="100" w:type="dxa"/>
              <w:bottom w:w="60" w:type="dxa"/>
              <w:right w:w="100" w:type="dxa"/>
            </w:tcMar>
          </w:tcPr>
          <w:p w14:paraId="12E00A47" w14:textId="77777777" w:rsidR="00002083" w:rsidRDefault="00F050D8">
            <w:pPr>
              <w:spacing w:line="240" w:lineRule="auto"/>
              <w:jc w:val="center"/>
            </w:pPr>
            <w:r>
              <w:rPr>
                <w:sz w:val="22"/>
                <w:szCs w:val="22"/>
              </w:rPr>
              <w:t>0,501</w:t>
            </w:r>
          </w:p>
        </w:tc>
        <w:tc>
          <w:tcPr>
            <w:tcW w:w="1872" w:type="dxa"/>
            <w:tcMar>
              <w:top w:w="60" w:type="dxa"/>
              <w:left w:w="100" w:type="dxa"/>
              <w:bottom w:w="60" w:type="dxa"/>
              <w:right w:w="100" w:type="dxa"/>
            </w:tcMar>
          </w:tcPr>
          <w:p w14:paraId="37F70482" w14:textId="77777777" w:rsidR="00002083" w:rsidRDefault="00F050D8">
            <w:pPr>
              <w:spacing w:line="240" w:lineRule="auto"/>
              <w:jc w:val="center"/>
            </w:pPr>
            <w:r>
              <w:rPr>
                <w:sz w:val="22"/>
                <w:szCs w:val="22"/>
              </w:rPr>
              <w:t>0,150</w:t>
            </w:r>
          </w:p>
        </w:tc>
      </w:tr>
      <w:tr w:rsidR="00002083" w14:paraId="4114A76C" w14:textId="77777777">
        <w:tc>
          <w:tcPr>
            <w:tcW w:w="1872" w:type="dxa"/>
            <w:tcBorders>
              <w:bottom w:val="single" w:sz="6" w:space="0" w:color="000000"/>
            </w:tcBorders>
            <w:tcMar>
              <w:top w:w="60" w:type="dxa"/>
              <w:left w:w="100" w:type="dxa"/>
              <w:bottom w:w="60" w:type="dxa"/>
              <w:right w:w="100" w:type="dxa"/>
            </w:tcMar>
          </w:tcPr>
          <w:p w14:paraId="0D8340A7" w14:textId="77777777" w:rsidR="00002083" w:rsidRDefault="00F050D8">
            <w:pPr>
              <w:spacing w:line="240" w:lineRule="auto"/>
            </w:pPr>
            <w:r>
              <w:rPr>
                <w:sz w:val="22"/>
                <w:szCs w:val="22"/>
              </w:rPr>
              <w:t>4,00</w:t>
            </w:r>
          </w:p>
        </w:tc>
        <w:tc>
          <w:tcPr>
            <w:tcW w:w="1872" w:type="dxa"/>
            <w:tcBorders>
              <w:bottom w:val="single" w:sz="6" w:space="0" w:color="000000"/>
            </w:tcBorders>
            <w:tcMar>
              <w:top w:w="60" w:type="dxa"/>
              <w:left w:w="100" w:type="dxa"/>
              <w:bottom w:w="60" w:type="dxa"/>
              <w:right w:w="100" w:type="dxa"/>
            </w:tcMar>
          </w:tcPr>
          <w:p w14:paraId="7F54005C" w14:textId="77777777" w:rsidR="00002083" w:rsidRDefault="00F050D8">
            <w:pPr>
              <w:spacing w:line="240" w:lineRule="auto"/>
              <w:jc w:val="center"/>
            </w:pPr>
            <w:r>
              <w:rPr>
                <w:sz w:val="22"/>
                <w:szCs w:val="22"/>
              </w:rPr>
              <w:t>2,87</w:t>
            </w:r>
          </w:p>
        </w:tc>
        <w:tc>
          <w:tcPr>
            <w:tcW w:w="1872" w:type="dxa"/>
            <w:tcBorders>
              <w:bottom w:val="single" w:sz="6" w:space="0" w:color="000000"/>
            </w:tcBorders>
            <w:tcMar>
              <w:top w:w="60" w:type="dxa"/>
              <w:left w:w="100" w:type="dxa"/>
              <w:bottom w:w="60" w:type="dxa"/>
              <w:right w:w="100" w:type="dxa"/>
            </w:tcMar>
          </w:tcPr>
          <w:p w14:paraId="549EC461" w14:textId="77777777" w:rsidR="00002083" w:rsidRDefault="00F050D8">
            <w:pPr>
              <w:spacing w:line="240" w:lineRule="auto"/>
              <w:jc w:val="center"/>
            </w:pPr>
            <w:r>
              <w:rPr>
                <w:sz w:val="22"/>
                <w:szCs w:val="22"/>
              </w:rPr>
              <w:t>0,669</w:t>
            </w:r>
          </w:p>
        </w:tc>
        <w:tc>
          <w:tcPr>
            <w:tcW w:w="1872" w:type="dxa"/>
            <w:tcBorders>
              <w:bottom w:val="single" w:sz="6" w:space="0" w:color="000000"/>
            </w:tcBorders>
            <w:tcMar>
              <w:top w:w="60" w:type="dxa"/>
              <w:left w:w="100" w:type="dxa"/>
              <w:bottom w:w="60" w:type="dxa"/>
              <w:right w:w="100" w:type="dxa"/>
            </w:tcMar>
          </w:tcPr>
          <w:p w14:paraId="69E099EC" w14:textId="77777777" w:rsidR="00002083" w:rsidRDefault="00F050D8">
            <w:pPr>
              <w:spacing w:line="240" w:lineRule="auto"/>
              <w:jc w:val="center"/>
            </w:pPr>
            <w:r>
              <w:rPr>
                <w:sz w:val="22"/>
                <w:szCs w:val="22"/>
              </w:rPr>
              <w:t>0,325</w:t>
            </w:r>
          </w:p>
        </w:tc>
        <w:tc>
          <w:tcPr>
            <w:tcW w:w="1872" w:type="dxa"/>
            <w:tcBorders>
              <w:bottom w:val="single" w:sz="6" w:space="0" w:color="000000"/>
            </w:tcBorders>
            <w:tcMar>
              <w:top w:w="60" w:type="dxa"/>
              <w:left w:w="100" w:type="dxa"/>
              <w:bottom w:w="60" w:type="dxa"/>
              <w:right w:w="100" w:type="dxa"/>
            </w:tcMar>
          </w:tcPr>
          <w:p w14:paraId="687DE705" w14:textId="77777777" w:rsidR="00002083" w:rsidRDefault="00F050D8">
            <w:pPr>
              <w:spacing w:line="240" w:lineRule="auto"/>
              <w:jc w:val="center"/>
            </w:pPr>
            <w:r>
              <w:rPr>
                <w:sz w:val="22"/>
                <w:szCs w:val="22"/>
              </w:rPr>
              <w:t>0,467</w:t>
            </w:r>
          </w:p>
        </w:tc>
      </w:tr>
    </w:tbl>
    <w:p w14:paraId="5067B6B2" w14:textId="77777777" w:rsidR="00002083" w:rsidRDefault="00F050D8">
      <w:pPr>
        <w:spacing w:after="240"/>
      </w:pPr>
      <w:r>
        <w:rPr>
          <w:i/>
          <w:iCs/>
        </w:rPr>
        <w:t>Nota.</w:t>
      </w:r>
      <w:r>
        <w:t xml:space="preserve"> Fuente: </w:t>
      </w:r>
      <w:r>
        <w:rPr>
          <w:rFonts w:ascii="Courier New" w:eastAsia="Courier New" w:hAnsi="Courier New" w:cs="Courier New"/>
          <w:sz w:val="22"/>
          <w:szCs w:val="22"/>
        </w:rPr>
        <w:t>m2-ruido-</w:t>
      </w:r>
      <w:proofErr w:type="gramStart"/>
      <w:r>
        <w:rPr>
          <w:rFonts w:ascii="Courier New" w:eastAsia="Courier New" w:hAnsi="Courier New" w:cs="Courier New"/>
          <w:sz w:val="22"/>
          <w:szCs w:val="22"/>
        </w:rPr>
        <w:t>etiquetado.json</w:t>
      </w:r>
      <w:proofErr w:type="gramEnd"/>
      <w:r>
        <w:t xml:space="preserve">, </w:t>
      </w:r>
      <w:proofErr w:type="spellStart"/>
      <w:r>
        <w:t>regenerable</w:t>
      </w:r>
      <w:proofErr w:type="spellEnd"/>
      <w:r>
        <w:t xml:space="preserve"> con </w:t>
      </w:r>
      <w:proofErr w:type="spellStart"/>
      <w:r>
        <w:rPr>
          <w:rFonts w:ascii="Courier New" w:eastAsia="Courier New" w:hAnsi="Courier New" w:cs="Courier New"/>
          <w:sz w:val="22"/>
          <w:szCs w:val="22"/>
        </w:rPr>
        <w:t>uv</w:t>
      </w:r>
      <w:proofErr w:type="spellEnd"/>
      <w:r>
        <w:rPr>
          <w:rFonts w:ascii="Courier New" w:eastAsia="Courier New" w:hAnsi="Courier New" w:cs="Courier New"/>
          <w:sz w:val="22"/>
          <w:szCs w:val="22"/>
        </w:rPr>
        <w:t xml:space="preserve"> run </w:t>
      </w:r>
      <w:proofErr w:type="spellStart"/>
      <w:r>
        <w:rPr>
          <w:rFonts w:ascii="Courier New" w:eastAsia="Courier New" w:hAnsi="Courier New" w:cs="Courier New"/>
          <w:sz w:val="22"/>
          <w:szCs w:val="22"/>
        </w:rPr>
        <w:t>python</w:t>
      </w:r>
      <w:proofErr w:type="spellEnd"/>
      <w:r>
        <w:rPr>
          <w:rFonts w:ascii="Courier New" w:eastAsia="Courier New" w:hAnsi="Courier New" w:cs="Courier New"/>
          <w:sz w:val="22"/>
          <w:szCs w:val="22"/>
        </w:rPr>
        <w:t xml:space="preserve"> -m </w:t>
      </w:r>
      <w:proofErr w:type="spellStart"/>
      <w:proofErr w:type="gramStart"/>
      <w:r>
        <w:rPr>
          <w:rFonts w:ascii="Courier New" w:eastAsia="Courier New" w:hAnsi="Courier New" w:cs="Courier New"/>
          <w:sz w:val="22"/>
          <w:szCs w:val="22"/>
        </w:rPr>
        <w:t>src.sintetico</w:t>
      </w:r>
      <w:proofErr w:type="gramEnd"/>
      <w:r>
        <w:rPr>
          <w:rFonts w:ascii="Courier New" w:eastAsia="Courier New" w:hAnsi="Courier New" w:cs="Courier New"/>
          <w:sz w:val="22"/>
          <w:szCs w:val="22"/>
        </w:rPr>
        <w:t>.sensibilidad</w:t>
      </w:r>
      <w:proofErr w:type="spellEnd"/>
      <w:r>
        <w:t>.</w:t>
      </w:r>
    </w:p>
    <w:p w14:paraId="35D8AA0C" w14:textId="77777777" w:rsidR="00002083" w:rsidRDefault="00F050D8">
      <w:pPr>
        <w:keepNext/>
        <w:spacing w:before="240"/>
      </w:pPr>
      <w:r>
        <w:rPr>
          <w:b/>
          <w:bCs/>
        </w:rPr>
        <w:t>Figura 12</w:t>
      </w:r>
    </w:p>
    <w:p w14:paraId="540070F7" w14:textId="77777777" w:rsidR="00002083" w:rsidRDefault="00F050D8">
      <w:pPr>
        <w:keepNext/>
        <w:spacing w:after="120"/>
      </w:pPr>
      <w:r>
        <w:rPr>
          <w:i/>
          <w:iCs/>
        </w:rPr>
        <w:t xml:space="preserve">Izquierda: fracción de giros verdaderos recuperados, con y sin tolerancia de una vela. Derecha: giros falsos por giro verdadero. </w:t>
      </w:r>
      <w:r>
        <w:rPr>
          <w:b/>
          <w:bCs/>
          <w:i/>
          <w:iCs/>
        </w:rPr>
        <w:t xml:space="preserve">Serie construida por nosotros; no es </w:t>
      </w:r>
      <w:proofErr w:type="spellStart"/>
      <w:r>
        <w:rPr>
          <w:b/>
          <w:bCs/>
          <w:i/>
          <w:iCs/>
        </w:rPr>
        <w:t>Litecoin</w:t>
      </w:r>
      <w:proofErr w:type="spellEnd"/>
      <w:r>
        <w:rPr>
          <w:b/>
          <w:bCs/>
          <w:i/>
          <w:iCs/>
        </w:rPr>
        <w:t>.</w:t>
      </w:r>
    </w:p>
    <w:p w14:paraId="2FFA8F12" w14:textId="77777777" w:rsidR="00002083" w:rsidRDefault="00F050D8">
      <w:pPr>
        <w:spacing w:after="120"/>
        <w:jc w:val="center"/>
      </w:pPr>
      <w:r>
        <w:rPr>
          <w:noProof/>
        </w:rPr>
        <w:drawing>
          <wp:inline distT="0" distB="0" distL="0" distR="0" wp14:anchorId="01E9F56D" wp14:editId="0778FA1E">
            <wp:extent cx="5715000" cy="2181225"/>
            <wp:effectExtent l="0" t="0" r="0" b="0"/>
            <wp:docPr id="525650890" name="Imagen 52565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81225"/>
                    </a:xfrm>
                    <a:prstGeom prst="rect">
                      <a:avLst/>
                    </a:prstGeom>
                  </pic:spPr>
                </pic:pic>
              </a:graphicData>
            </a:graphic>
          </wp:inline>
        </w:drawing>
      </w:r>
    </w:p>
    <w:p w14:paraId="3A4F6920" w14:textId="77777777" w:rsidR="00002083" w:rsidRDefault="00F050D8">
      <w:pPr>
        <w:spacing w:after="240"/>
      </w:pPr>
      <w:r>
        <w:rPr>
          <w:i/>
          <w:iCs/>
        </w:rPr>
        <w:t>Nota.</w:t>
      </w:r>
      <w:r>
        <w:t xml:space="preserve"> Fuente: elaboración propia.</w:t>
      </w:r>
    </w:p>
    <w:p w14:paraId="1380C453" w14:textId="77777777" w:rsidR="00002083" w:rsidRDefault="00F050D8">
      <w:pPr>
        <w:keepNext/>
        <w:spacing w:before="240"/>
      </w:pPr>
      <w:r>
        <w:rPr>
          <w:b/>
          <w:bCs/>
        </w:rPr>
        <w:t>Figura 13</w:t>
      </w:r>
    </w:p>
    <w:p w14:paraId="4DF85382" w14:textId="77777777" w:rsidR="00002083" w:rsidRDefault="00F050D8">
      <w:pPr>
        <w:keepNext/>
        <w:spacing w:after="120"/>
      </w:pPr>
      <w:r>
        <w:rPr>
          <w:i/>
          <w:iCs/>
        </w:rPr>
        <w:t xml:space="preserve">Un mismo tramo de 220 velas a tres niveles de ruido: el caso limpio, el punto de quiebre medido y el ruido máximo probado. Punto relleno: giro verdadero, colocado por construcción. Círculo </w:t>
      </w:r>
      <w:r>
        <w:rPr>
          <w:i/>
          <w:iCs/>
        </w:rPr>
        <w:lastRenderedPageBreak/>
        <w:t>hueco: giro detectado. Los conteos del título corresponden a este tramo y esta semilla; los valores citables son los promedios de la Tabla 1</w:t>
      </w:r>
    </w:p>
    <w:p w14:paraId="4AA87446" w14:textId="77777777" w:rsidR="00002083" w:rsidRDefault="00F050D8">
      <w:pPr>
        <w:spacing w:after="120"/>
        <w:jc w:val="center"/>
      </w:pPr>
      <w:r>
        <w:rPr>
          <w:noProof/>
        </w:rPr>
        <w:drawing>
          <wp:inline distT="0" distB="0" distL="0" distR="0" wp14:anchorId="4720081F" wp14:editId="32E47913">
            <wp:extent cx="5715000" cy="4505325"/>
            <wp:effectExtent l="0" t="0" r="0" b="0"/>
            <wp:docPr id="1192420362" name="Imagen 119242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505325"/>
                    </a:xfrm>
                    <a:prstGeom prst="rect">
                      <a:avLst/>
                    </a:prstGeom>
                  </pic:spPr>
                </pic:pic>
              </a:graphicData>
            </a:graphic>
          </wp:inline>
        </w:drawing>
      </w:r>
    </w:p>
    <w:p w14:paraId="3B81774C" w14:textId="77777777" w:rsidR="00002083" w:rsidRDefault="00F050D8">
      <w:pPr>
        <w:spacing w:after="240"/>
      </w:pPr>
      <w:r>
        <w:rPr>
          <w:i/>
          <w:iCs/>
        </w:rPr>
        <w:t>Nota.</w:t>
      </w:r>
      <w:r>
        <w:t xml:space="preserve"> Fuente: elaboración propia.</w:t>
      </w:r>
    </w:p>
    <w:p w14:paraId="70CA7E97" w14:textId="77777777" w:rsidR="00002083" w:rsidRDefault="00F050D8">
      <w:pPr>
        <w:ind w:firstLine="720"/>
      </w:pPr>
      <w:r>
        <w:rPr>
          <w:b/>
          <w:bCs/>
        </w:rPr>
        <w:t>Tres resultados, en orden de importancia:</w:t>
      </w:r>
    </w:p>
    <w:p w14:paraId="23675AD9" w14:textId="77777777" w:rsidR="00002083" w:rsidRDefault="00F050D8">
      <w:pPr>
        <w:ind w:firstLine="720"/>
      </w:pPr>
      <w:r>
        <w:t xml:space="preserve">1. </w:t>
      </w:r>
      <w:r>
        <w:rPr>
          <w:b/>
          <w:bCs/>
        </w:rPr>
        <w:t>El umbral de aparición de giros falsos está en un ruido relativo de 0,50.</w:t>
      </w:r>
      <w:r>
        <w:t xml:space="preserve"> Hasta un σ equivalente al 36 % del movimiento típico por vela, el detector recupera los 498 giros sin inventar ninguno. El primer falso positivo aparece cuando σ alcanza aproximadamente la mitad del movimiento por vela. 2. </w:t>
      </w:r>
      <w:r>
        <w:rPr>
          <w:b/>
          <w:bCs/>
        </w:rPr>
        <w:t>La detección exacta se degrada mucho antes que la detección del giro.</w:t>
      </w:r>
      <w:r>
        <w:t xml:space="preserve"> Con ruido relativo 0,36 el detector encuentra el 100 % de los </w:t>
      </w:r>
      <w:proofErr w:type="gramStart"/>
      <w:r>
        <w:t>giros</w:t>
      </w:r>
      <w:proofErr w:type="gramEnd"/>
      <w:r>
        <w:t xml:space="preserve"> pero solo el 94,4 % cae </w:t>
      </w:r>
      <w:r>
        <w:lastRenderedPageBreak/>
        <w:t xml:space="preserve">en la vela exacta; con 0,72, encuentra el 96,0 % y acierta la vela en el 72,9 %. </w:t>
      </w:r>
      <w:r>
        <w:rPr>
          <w:b/>
          <w:bCs/>
        </w:rPr>
        <w:t>El fallo dominante en ruido moderado no es perder giros: es correrlos de lugar.</w:t>
      </w:r>
      <w:r>
        <w:t xml:space="preserve"> Evaluar el modelo exigiendo la vela exacta puede penalizar como error lo que es un desplazamiento de una vela. 3. </w:t>
      </w:r>
      <w:r>
        <w:rPr>
          <w:b/>
          <w:bCs/>
        </w:rPr>
        <w:t>La degradación es gradual, no catastrófica.</w:t>
      </w:r>
      <w:r>
        <w:t xml:space="preserve"> Incluso con σ casi tres veces el movimiento típico por vela el detector recupera el 66,9 % de los giros. No hay un punto de quiebre, hay una pendiente. Como contraste, la confusión de tipo —marcar un máximo donde había un mínimo, el peor error posible— aparece </w:t>
      </w:r>
      <w:r>
        <w:rPr>
          <w:b/>
          <w:bCs/>
        </w:rPr>
        <w:t>una sola vez en los 3 486 giros evaluados</w:t>
      </w:r>
      <w:r>
        <w:t>, y solo en el nivel de ruido más alto.</w:t>
      </w:r>
    </w:p>
    <w:p w14:paraId="4F14F133" w14:textId="77777777" w:rsidR="00002083" w:rsidRDefault="00F050D8">
      <w:pPr>
        <w:ind w:firstLine="720"/>
      </w:pPr>
      <w:r>
        <w:rPr>
          <w:b/>
          <w:bCs/>
        </w:rPr>
        <w:t>Cómo hay que leer esto.</w:t>
      </w:r>
      <w:r>
        <w:t xml:space="preserve"> La serie es lineal a tramos con ruido gaussiano: </w:t>
      </w:r>
      <w:r>
        <w:rPr>
          <w:b/>
          <w:bCs/>
        </w:rPr>
        <w:t xml:space="preserve">no es </w:t>
      </w:r>
      <w:proofErr w:type="spellStart"/>
      <w:r>
        <w:rPr>
          <w:b/>
          <w:bCs/>
        </w:rPr>
        <w:t>Litecoin</w:t>
      </w:r>
      <w:proofErr w:type="spellEnd"/>
      <w:r>
        <w:t xml:space="preserve">. No tiene heterocedasticidad, ni colas pesadas, ni saltos, y su relación señal-ruido la fijamos nosotros. Estos números </w:t>
      </w:r>
      <w:r>
        <w:rPr>
          <w:b/>
          <w:bCs/>
        </w:rPr>
        <w:t>caracterizan al etiquetador</w:t>
      </w:r>
      <w:r>
        <w:t>, no al mercado, y no permiten afirmar que un porcentaje determinado de las etiquetas de LTC sea correcto. Lo que sí permiten afirmar es que el etiquetador tiene un régimen medido de funcionamiento correcto, expresado en una magnitud comparable entre series, y que su modo de fallo dominante está identificado: desplaza antes de perder, y prácticamente nunca invierte el tipo.</w:t>
      </w:r>
    </w:p>
    <w:p w14:paraId="71761E78" w14:textId="77777777" w:rsidR="00002083" w:rsidRDefault="00F050D8">
      <w:pPr>
        <w:pStyle w:val="Ttulo1"/>
        <w:keepNext/>
      </w:pPr>
      <w:bookmarkStart w:id="23" w:name="_Toc237941081"/>
      <w:r>
        <w:t>Métricas de Evaluación para Puntos de Inflexión</w:t>
      </w:r>
      <w:bookmarkEnd w:id="23"/>
    </w:p>
    <w:p w14:paraId="5B7BE5D7" w14:textId="77777777" w:rsidR="00002083" w:rsidRDefault="00F050D8">
      <w:pPr>
        <w:ind w:firstLine="720"/>
      </w:pPr>
      <w:r>
        <w:rPr>
          <w:b/>
          <w:bCs/>
        </w:rPr>
        <w:t>Autor:</w:t>
      </w:r>
      <w:r>
        <w:t xml:space="preserve"> Alejandro Zamora · </w:t>
      </w:r>
      <w:proofErr w:type="spellStart"/>
      <w:r>
        <w:rPr>
          <w:b/>
          <w:bCs/>
        </w:rPr>
        <w:t>Issue</w:t>
      </w:r>
      <w:proofErr w:type="spellEnd"/>
      <w:r>
        <w:rPr>
          <w:b/>
          <w:bCs/>
        </w:rPr>
        <w:t>:</w:t>
      </w:r>
      <w:r>
        <w:t xml:space="preserve"> S1-M2-06</w:t>
      </w:r>
    </w:p>
    <w:p w14:paraId="3B2D59E0" w14:textId="77777777" w:rsidR="00002083" w:rsidRDefault="00F050D8">
      <w:pPr>
        <w:ind w:firstLine="720"/>
      </w:pPr>
      <w:r>
        <w:t xml:space="preserve">Es el noveno punto del bloque de </w:t>
      </w:r>
      <w:proofErr w:type="spellStart"/>
      <w:r>
        <w:t>criptoactivos</w:t>
      </w:r>
      <w:proofErr w:type="spellEnd"/>
      <w:r>
        <w:t xml:space="preserve"> del enunciado. Va en archivo aparte porque tiene evidencia propia y da para una sección completa.</w:t>
      </w:r>
    </w:p>
    <w:p w14:paraId="55DDA803" w14:textId="77777777" w:rsidR="00002083" w:rsidRDefault="00F050D8">
      <w:pPr>
        <w:pStyle w:val="Ttulo2"/>
        <w:keepNext/>
      </w:pPr>
      <w:bookmarkStart w:id="24" w:name="_Toc237941082"/>
      <w:r>
        <w:lastRenderedPageBreak/>
        <w:t xml:space="preserve">1. El problema que hay que </w:t>
      </w:r>
      <w:proofErr w:type="gramStart"/>
      <w:r>
        <w:t>explicar</w:t>
      </w:r>
      <w:proofErr w:type="gramEnd"/>
      <w:r>
        <w:t xml:space="preserve"> antes que nada</w:t>
      </w:r>
      <w:bookmarkEnd w:id="24"/>
    </w:p>
    <w:p w14:paraId="3383596D" w14:textId="77777777" w:rsidR="00002083" w:rsidRDefault="00F050D8">
      <w:pPr>
        <w:keepNext/>
        <w:spacing w:before="240"/>
      </w:pPr>
      <w:r>
        <w:rPr>
          <w:b/>
          <w:bCs/>
        </w:rPr>
        <w:t>Figura 14</w:t>
      </w:r>
    </w:p>
    <w:p w14:paraId="510A785F" w14:textId="77777777" w:rsidR="00002083" w:rsidRDefault="00F050D8">
      <w:pPr>
        <w:keepNext/>
        <w:spacing w:after="120"/>
      </w:pPr>
      <w:r>
        <w:rPr>
          <w:i/>
          <w:iCs/>
        </w:rPr>
        <w:t xml:space="preserve">Distribución de las tres clases en LTC con </w:t>
      </w:r>
      <w:r>
        <w:rPr>
          <w:rFonts w:ascii="Courier New" w:eastAsia="Courier New" w:hAnsi="Courier New" w:cs="Courier New"/>
          <w:i/>
          <w:iCs/>
          <w:sz w:val="22"/>
          <w:szCs w:val="22"/>
        </w:rPr>
        <w:t>w = 5</w:t>
      </w:r>
      <w:r>
        <w:rPr>
          <w:i/>
          <w:iCs/>
        </w:rPr>
        <w:t xml:space="preserve"> sobre velas diarias (n = 2 175 velas con etiqueta definida)</w:t>
      </w:r>
    </w:p>
    <w:p w14:paraId="19B8C32F" w14:textId="77777777" w:rsidR="00002083" w:rsidRDefault="00F050D8">
      <w:pPr>
        <w:spacing w:after="120"/>
        <w:jc w:val="center"/>
      </w:pPr>
      <w:r>
        <w:rPr>
          <w:noProof/>
        </w:rPr>
        <w:drawing>
          <wp:inline distT="0" distB="0" distL="0" distR="0" wp14:anchorId="0205A712" wp14:editId="2DE716DC">
            <wp:extent cx="5715000" cy="3171825"/>
            <wp:effectExtent l="0" t="0" r="0" b="0"/>
            <wp:docPr id="2140544138" name="Imagen 214054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71825"/>
                    </a:xfrm>
                    <a:prstGeom prst="rect">
                      <a:avLst/>
                    </a:prstGeom>
                  </pic:spPr>
                </pic:pic>
              </a:graphicData>
            </a:graphic>
          </wp:inline>
        </w:drawing>
      </w:r>
    </w:p>
    <w:p w14:paraId="6024A06A" w14:textId="77777777" w:rsidR="00002083" w:rsidRDefault="00F050D8">
      <w:pPr>
        <w:spacing w:after="240"/>
      </w:pPr>
      <w:r>
        <w:rPr>
          <w:i/>
          <w:iCs/>
        </w:rPr>
        <w:t>Nota.</w:t>
      </w:r>
      <w:r>
        <w:t xml:space="preserve"> Fuente: elaboración propia sobre datos de </w:t>
      </w:r>
      <w:proofErr w:type="spellStart"/>
      <w:r>
        <w:t>Binance</w:t>
      </w:r>
      <w:proofErr w:type="spellEnd"/>
      <w:r>
        <w:t>.</w:t>
      </w:r>
    </w:p>
    <w:p w14:paraId="782AE124" w14:textId="77777777" w:rsidR="00002083" w:rsidRDefault="00F050D8">
      <w:pPr>
        <w:keepNext/>
        <w:spacing w:before="240"/>
      </w:pPr>
      <w:r>
        <w:rPr>
          <w:b/>
          <w:bCs/>
        </w:rPr>
        <w:t>Tabla 2</w:t>
      </w:r>
    </w:p>
    <w:p w14:paraId="200C0BBB" w14:textId="77777777" w:rsidR="00002083" w:rsidRDefault="00F050D8">
      <w:pPr>
        <w:keepNext/>
        <w:spacing w:after="60"/>
      </w:pPr>
      <w:r>
        <w:rPr>
          <w:i/>
          <w:iCs/>
        </w:rPr>
        <w:t xml:space="preserve">Balance de clases sobre la serie completa, </w:t>
      </w:r>
      <w:r>
        <w:rPr>
          <w:rFonts w:ascii="Courier New" w:eastAsia="Courier New" w:hAnsi="Courier New" w:cs="Courier New"/>
          <w:i/>
          <w:iCs/>
          <w:sz w:val="22"/>
          <w:szCs w:val="22"/>
        </w:rPr>
        <w:t>w = 5</w:t>
      </w:r>
      <w:r>
        <w:rPr>
          <w:i/>
          <w:iCs/>
        </w:rPr>
        <w:t>, velas diarias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002083" w14:paraId="1482A9D2" w14:textId="77777777">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092ABCE9" w14:textId="77777777" w:rsidR="00002083" w:rsidRDefault="00F050D8">
            <w:pPr>
              <w:spacing w:line="240" w:lineRule="auto"/>
            </w:pPr>
            <w:r>
              <w:rPr>
                <w:sz w:val="22"/>
                <w:szCs w:val="22"/>
              </w:rPr>
              <w:t>Clase</w:t>
            </w:r>
          </w:p>
        </w:tc>
        <w:tc>
          <w:tcPr>
            <w:tcW w:w="3120" w:type="dxa"/>
            <w:tcBorders>
              <w:top w:val="single" w:sz="6" w:space="0" w:color="000000"/>
              <w:bottom w:val="single" w:sz="6" w:space="0" w:color="000000"/>
            </w:tcBorders>
            <w:tcMar>
              <w:top w:w="60" w:type="dxa"/>
              <w:left w:w="100" w:type="dxa"/>
              <w:bottom w:w="60" w:type="dxa"/>
              <w:right w:w="100" w:type="dxa"/>
            </w:tcMar>
          </w:tcPr>
          <w:p w14:paraId="479DDE0F" w14:textId="77777777" w:rsidR="00002083" w:rsidRDefault="00F050D8">
            <w:pPr>
              <w:spacing w:line="240" w:lineRule="auto"/>
              <w:jc w:val="center"/>
            </w:pPr>
            <w:r>
              <w:rPr>
                <w:sz w:val="22"/>
                <w:szCs w:val="22"/>
              </w:rPr>
              <w:t>n</w:t>
            </w:r>
          </w:p>
        </w:tc>
        <w:tc>
          <w:tcPr>
            <w:tcW w:w="3120" w:type="dxa"/>
            <w:tcBorders>
              <w:top w:val="single" w:sz="6" w:space="0" w:color="000000"/>
              <w:bottom w:val="single" w:sz="6" w:space="0" w:color="000000"/>
            </w:tcBorders>
            <w:tcMar>
              <w:top w:w="60" w:type="dxa"/>
              <w:left w:w="100" w:type="dxa"/>
              <w:bottom w:w="60" w:type="dxa"/>
              <w:right w:w="100" w:type="dxa"/>
            </w:tcMar>
          </w:tcPr>
          <w:p w14:paraId="0E5CADC2" w14:textId="77777777" w:rsidR="00002083" w:rsidRDefault="00F050D8">
            <w:pPr>
              <w:spacing w:line="240" w:lineRule="auto"/>
              <w:jc w:val="center"/>
            </w:pPr>
            <w:r>
              <w:rPr>
                <w:sz w:val="22"/>
                <w:szCs w:val="22"/>
              </w:rPr>
              <w:t>%</w:t>
            </w:r>
          </w:p>
        </w:tc>
      </w:tr>
      <w:tr w:rsidR="00002083" w14:paraId="668BFC25" w14:textId="77777777">
        <w:tc>
          <w:tcPr>
            <w:tcW w:w="3120" w:type="dxa"/>
            <w:tcMar>
              <w:top w:w="60" w:type="dxa"/>
              <w:left w:w="100" w:type="dxa"/>
              <w:bottom w:w="60" w:type="dxa"/>
              <w:right w:w="100" w:type="dxa"/>
            </w:tcMar>
          </w:tcPr>
          <w:p w14:paraId="73B9958F" w14:textId="77777777" w:rsidR="00002083" w:rsidRDefault="00F050D8">
            <w:pPr>
              <w:spacing w:line="240" w:lineRule="auto"/>
            </w:pPr>
            <w:r>
              <w:rPr>
                <w:sz w:val="22"/>
                <w:szCs w:val="22"/>
              </w:rPr>
              <w:t>Máximo</w:t>
            </w:r>
          </w:p>
        </w:tc>
        <w:tc>
          <w:tcPr>
            <w:tcW w:w="3120" w:type="dxa"/>
            <w:tcMar>
              <w:top w:w="60" w:type="dxa"/>
              <w:left w:w="100" w:type="dxa"/>
              <w:bottom w:w="60" w:type="dxa"/>
              <w:right w:w="100" w:type="dxa"/>
            </w:tcMar>
          </w:tcPr>
          <w:p w14:paraId="31AB7899" w14:textId="77777777" w:rsidR="00002083" w:rsidRDefault="00F050D8">
            <w:pPr>
              <w:spacing w:line="240" w:lineRule="auto"/>
              <w:jc w:val="center"/>
            </w:pPr>
            <w:r>
              <w:rPr>
                <w:sz w:val="22"/>
                <w:szCs w:val="22"/>
              </w:rPr>
              <w:t>143</w:t>
            </w:r>
          </w:p>
        </w:tc>
        <w:tc>
          <w:tcPr>
            <w:tcW w:w="3120" w:type="dxa"/>
            <w:tcMar>
              <w:top w:w="60" w:type="dxa"/>
              <w:left w:w="100" w:type="dxa"/>
              <w:bottom w:w="60" w:type="dxa"/>
              <w:right w:w="100" w:type="dxa"/>
            </w:tcMar>
          </w:tcPr>
          <w:p w14:paraId="1A3E63EB" w14:textId="77777777" w:rsidR="00002083" w:rsidRDefault="00F050D8">
            <w:pPr>
              <w:spacing w:line="240" w:lineRule="auto"/>
              <w:jc w:val="center"/>
            </w:pPr>
            <w:r>
              <w:rPr>
                <w:sz w:val="22"/>
                <w:szCs w:val="22"/>
              </w:rPr>
              <w:t>6,58 %</w:t>
            </w:r>
          </w:p>
        </w:tc>
      </w:tr>
      <w:tr w:rsidR="00002083" w14:paraId="368D4A60" w14:textId="77777777">
        <w:tc>
          <w:tcPr>
            <w:tcW w:w="3120" w:type="dxa"/>
            <w:tcMar>
              <w:top w:w="60" w:type="dxa"/>
              <w:left w:w="100" w:type="dxa"/>
              <w:bottom w:w="60" w:type="dxa"/>
              <w:right w:w="100" w:type="dxa"/>
            </w:tcMar>
          </w:tcPr>
          <w:p w14:paraId="2355061D" w14:textId="77777777" w:rsidR="00002083" w:rsidRDefault="00F050D8">
            <w:pPr>
              <w:spacing w:line="240" w:lineRule="auto"/>
            </w:pPr>
            <w:r>
              <w:rPr>
                <w:sz w:val="22"/>
                <w:szCs w:val="22"/>
              </w:rPr>
              <w:t>Mínimo</w:t>
            </w:r>
          </w:p>
        </w:tc>
        <w:tc>
          <w:tcPr>
            <w:tcW w:w="3120" w:type="dxa"/>
            <w:tcMar>
              <w:top w:w="60" w:type="dxa"/>
              <w:left w:w="100" w:type="dxa"/>
              <w:bottom w:w="60" w:type="dxa"/>
              <w:right w:w="100" w:type="dxa"/>
            </w:tcMar>
          </w:tcPr>
          <w:p w14:paraId="0FD844E1" w14:textId="77777777" w:rsidR="00002083" w:rsidRDefault="00F050D8">
            <w:pPr>
              <w:spacing w:line="240" w:lineRule="auto"/>
              <w:jc w:val="center"/>
            </w:pPr>
            <w:r>
              <w:rPr>
                <w:sz w:val="22"/>
                <w:szCs w:val="22"/>
              </w:rPr>
              <w:t>141</w:t>
            </w:r>
          </w:p>
        </w:tc>
        <w:tc>
          <w:tcPr>
            <w:tcW w:w="3120" w:type="dxa"/>
            <w:tcMar>
              <w:top w:w="60" w:type="dxa"/>
              <w:left w:w="100" w:type="dxa"/>
              <w:bottom w:w="60" w:type="dxa"/>
              <w:right w:w="100" w:type="dxa"/>
            </w:tcMar>
          </w:tcPr>
          <w:p w14:paraId="76D72402" w14:textId="77777777" w:rsidR="00002083" w:rsidRDefault="00F050D8">
            <w:pPr>
              <w:spacing w:line="240" w:lineRule="auto"/>
              <w:jc w:val="center"/>
            </w:pPr>
            <w:r>
              <w:rPr>
                <w:sz w:val="22"/>
                <w:szCs w:val="22"/>
              </w:rPr>
              <w:t>6,48 %</w:t>
            </w:r>
          </w:p>
        </w:tc>
      </w:tr>
      <w:tr w:rsidR="00002083" w14:paraId="2BFB9958" w14:textId="77777777">
        <w:tc>
          <w:tcPr>
            <w:tcW w:w="3120" w:type="dxa"/>
            <w:tcBorders>
              <w:bottom w:val="single" w:sz="6" w:space="0" w:color="000000"/>
            </w:tcBorders>
            <w:tcMar>
              <w:top w:w="60" w:type="dxa"/>
              <w:left w:w="100" w:type="dxa"/>
              <w:bottom w:w="60" w:type="dxa"/>
              <w:right w:w="100" w:type="dxa"/>
            </w:tcMar>
          </w:tcPr>
          <w:p w14:paraId="656B2335" w14:textId="77777777" w:rsidR="00002083" w:rsidRDefault="00F050D8">
            <w:pPr>
              <w:spacing w:line="240" w:lineRule="auto"/>
            </w:pPr>
            <w:r>
              <w:rPr>
                <w:sz w:val="22"/>
                <w:szCs w:val="22"/>
              </w:rPr>
              <w:t>Zona de Continuidad</w:t>
            </w:r>
          </w:p>
        </w:tc>
        <w:tc>
          <w:tcPr>
            <w:tcW w:w="3120" w:type="dxa"/>
            <w:tcBorders>
              <w:bottom w:val="single" w:sz="6" w:space="0" w:color="000000"/>
            </w:tcBorders>
            <w:tcMar>
              <w:top w:w="60" w:type="dxa"/>
              <w:left w:w="100" w:type="dxa"/>
              <w:bottom w:w="60" w:type="dxa"/>
              <w:right w:w="100" w:type="dxa"/>
            </w:tcMar>
          </w:tcPr>
          <w:p w14:paraId="5A329C64" w14:textId="77777777" w:rsidR="00002083" w:rsidRDefault="00F050D8">
            <w:pPr>
              <w:spacing w:line="240" w:lineRule="auto"/>
              <w:jc w:val="center"/>
            </w:pPr>
            <w:r>
              <w:rPr>
                <w:sz w:val="22"/>
                <w:szCs w:val="22"/>
              </w:rPr>
              <w:t>1 891</w:t>
            </w:r>
          </w:p>
        </w:tc>
        <w:tc>
          <w:tcPr>
            <w:tcW w:w="3120" w:type="dxa"/>
            <w:tcBorders>
              <w:bottom w:val="single" w:sz="6" w:space="0" w:color="000000"/>
            </w:tcBorders>
            <w:tcMar>
              <w:top w:w="60" w:type="dxa"/>
              <w:left w:w="100" w:type="dxa"/>
              <w:bottom w:w="60" w:type="dxa"/>
              <w:right w:w="100" w:type="dxa"/>
            </w:tcMar>
          </w:tcPr>
          <w:p w14:paraId="62A696FF" w14:textId="77777777" w:rsidR="00002083" w:rsidRDefault="00F050D8">
            <w:pPr>
              <w:spacing w:line="240" w:lineRule="auto"/>
              <w:jc w:val="center"/>
            </w:pPr>
            <w:r>
              <w:rPr>
                <w:sz w:val="22"/>
                <w:szCs w:val="22"/>
              </w:rPr>
              <w:t>86,94 %</w:t>
            </w:r>
          </w:p>
        </w:tc>
      </w:tr>
    </w:tbl>
    <w:p w14:paraId="6E367D3D" w14:textId="77777777" w:rsidR="00002083" w:rsidRDefault="00F050D8">
      <w:pPr>
        <w:spacing w:after="240"/>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w:t>
      </w:r>
    </w:p>
    <w:p w14:paraId="3B6F76CF" w14:textId="77777777" w:rsidR="00002083" w:rsidRDefault="00F050D8">
      <w:pPr>
        <w:ind w:firstLine="720"/>
      </w:pPr>
      <w:r>
        <w:lastRenderedPageBreak/>
        <w:t xml:space="preserve">Las clases están desbalanceadas </w:t>
      </w:r>
      <w:r>
        <w:rPr>
          <w:b/>
          <w:bCs/>
        </w:rPr>
        <w:t>por construcción, no por accidente de los datos</w:t>
      </w:r>
      <w:r>
        <w:t xml:space="preserve">. Como se demostró en la sección 7 de </w:t>
      </w:r>
      <w:r>
        <w:rPr>
          <w:rFonts w:ascii="Courier New" w:eastAsia="Courier New" w:hAnsi="Courier New" w:cs="Courier New"/>
          <w:sz w:val="22"/>
          <w:szCs w:val="22"/>
        </w:rPr>
        <w:t>m2-criptoactivos.md</w:t>
      </w:r>
      <w:r>
        <w:t xml:space="preserve">, como mucho 1 de cada </w:t>
      </w:r>
      <w:r>
        <w:rPr>
          <w:rFonts w:ascii="Courier New" w:eastAsia="Courier New" w:hAnsi="Courier New" w:cs="Courier New"/>
          <w:sz w:val="22"/>
          <w:szCs w:val="22"/>
        </w:rPr>
        <w:t>w+</w:t>
      </w:r>
      <w:proofErr w:type="gramStart"/>
      <w:r>
        <w:rPr>
          <w:rFonts w:ascii="Courier New" w:eastAsia="Courier New" w:hAnsi="Courier New" w:cs="Courier New"/>
          <w:sz w:val="22"/>
          <w:szCs w:val="22"/>
        </w:rPr>
        <w:t>1</w:t>
      </w:r>
      <w:r>
        <w:t xml:space="preserve"> velas puede</w:t>
      </w:r>
      <w:proofErr w:type="gramEnd"/>
      <w:r>
        <w:t xml:space="preserve"> ser Máximo. Con </w:t>
      </w:r>
      <w:r>
        <w:rPr>
          <w:rFonts w:ascii="Courier New" w:eastAsia="Courier New" w:hAnsi="Courier New" w:cs="Courier New"/>
          <w:sz w:val="22"/>
          <w:szCs w:val="22"/>
        </w:rPr>
        <w:t>w = 5</w:t>
      </w:r>
      <w:r>
        <w:t xml:space="preserve"> esa cota aritmética es del 16,67 % por clase extrema, y la medición sobre LTC da 6,58 %: bastante por debajo, como corresponde a un límite superior.</w:t>
      </w:r>
    </w:p>
    <w:p w14:paraId="3E2DC189" w14:textId="77777777" w:rsidR="00002083" w:rsidRDefault="00F050D8">
      <w:pPr>
        <w:ind w:firstLine="720"/>
      </w:pPr>
      <w:r>
        <w:t xml:space="preserve">La distinción importa porque cambia qué se puede hacer al respecto. Un desbalance accidental se corrige recogiendo mejor los datos. Este </w:t>
      </w:r>
      <w:r>
        <w:rPr>
          <w:b/>
          <w:bCs/>
        </w:rPr>
        <w:t>no se puede corregir sin cambiar la definición del problema</w:t>
      </w:r>
      <w:r>
        <w:t xml:space="preserve">: bajar </w:t>
      </w:r>
      <w:r>
        <w:rPr>
          <w:rFonts w:ascii="Courier New" w:eastAsia="Courier New" w:hAnsi="Courier New" w:cs="Courier New"/>
          <w:sz w:val="22"/>
          <w:szCs w:val="22"/>
        </w:rPr>
        <w:t>w</w:t>
      </w:r>
      <w:r>
        <w:t xml:space="preserve"> produciría más ejemplos extremos, pero serían giros más pequeños, es decir, otro problema. Elegir </w:t>
      </w:r>
      <w:r>
        <w:rPr>
          <w:rFonts w:ascii="Courier New" w:eastAsia="Courier New" w:hAnsi="Courier New" w:cs="Courier New"/>
          <w:sz w:val="22"/>
          <w:szCs w:val="22"/>
        </w:rPr>
        <w:t>w</w:t>
      </w:r>
      <w:r>
        <w:t xml:space="preserve"> es elegir a la vez la escala del fenómeno y el grado de desbalance.</w:t>
      </w:r>
    </w:p>
    <w:p w14:paraId="7C66728B" w14:textId="77777777" w:rsidR="00002083" w:rsidRDefault="00F050D8">
      <w:pPr>
        <w:ind w:firstLine="720"/>
      </w:pPr>
      <w:r>
        <w:t xml:space="preserve">La consecuencia práctica es que el desbalance no es un obstáculo que quitar antes de medir: es una propiedad permanente, y las métricas tienen que elegirse sabiendo que estará presente en todas las evaluaciones (He &amp; </w:t>
      </w:r>
      <w:proofErr w:type="spellStart"/>
      <w:r>
        <w:t>Garcia</w:t>
      </w:r>
      <w:proofErr w:type="spellEnd"/>
      <w:r>
        <w:t>, 2009).</w:t>
      </w:r>
    </w:p>
    <w:p w14:paraId="01452D2B" w14:textId="77777777" w:rsidR="00002083" w:rsidRDefault="00F050D8">
      <w:pPr>
        <w:pStyle w:val="Ttulo2"/>
        <w:keepNext/>
      </w:pPr>
      <w:bookmarkStart w:id="25" w:name="_Toc237941083"/>
      <w:r>
        <w:lastRenderedPageBreak/>
        <w:t>2. Por qué la exactitud no sirve: medido, no argumentado</w:t>
      </w:r>
      <w:bookmarkEnd w:id="25"/>
    </w:p>
    <w:p w14:paraId="55E28909" w14:textId="77777777" w:rsidR="00002083" w:rsidRDefault="00F050D8">
      <w:pPr>
        <w:keepNext/>
        <w:spacing w:before="240"/>
      </w:pPr>
      <w:r>
        <w:rPr>
          <w:b/>
          <w:bCs/>
        </w:rPr>
        <w:t>Figura 15</w:t>
      </w:r>
    </w:p>
    <w:p w14:paraId="6EB003DF" w14:textId="77777777" w:rsidR="00002083" w:rsidRDefault="00F050D8">
      <w:pPr>
        <w:keepNext/>
        <w:spacing w:after="120"/>
      </w:pPr>
      <w:r>
        <w:rPr>
          <w:i/>
          <w:iCs/>
        </w:rPr>
        <w:t xml:space="preserve">Matriz de confusión del </w:t>
      </w:r>
      <w:proofErr w:type="spellStart"/>
      <w:r>
        <w:rPr>
          <w:i/>
          <w:iCs/>
        </w:rPr>
        <w:t>baseline</w:t>
      </w:r>
      <w:proofErr w:type="spellEnd"/>
      <w:r>
        <w:rPr>
          <w:i/>
          <w:iCs/>
        </w:rPr>
        <w:t xml:space="preserve"> trivial —el modelo que siempre responde "Zona de Continuidad"— sobre LTC con </w:t>
      </w:r>
      <w:r>
        <w:rPr>
          <w:rFonts w:ascii="Courier New" w:eastAsia="Courier New" w:hAnsi="Courier New" w:cs="Courier New"/>
          <w:i/>
          <w:iCs/>
          <w:sz w:val="22"/>
          <w:szCs w:val="22"/>
        </w:rPr>
        <w:t>w = 5</w:t>
      </w:r>
      <w:r>
        <w:rPr>
          <w:i/>
          <w:iCs/>
        </w:rPr>
        <w:t>, velas diarias</w:t>
      </w:r>
    </w:p>
    <w:p w14:paraId="71917300" w14:textId="77777777" w:rsidR="00002083" w:rsidRDefault="00F050D8">
      <w:pPr>
        <w:spacing w:after="120"/>
        <w:jc w:val="center"/>
      </w:pPr>
      <w:r>
        <w:rPr>
          <w:noProof/>
        </w:rPr>
        <w:drawing>
          <wp:inline distT="0" distB="0" distL="0" distR="0" wp14:anchorId="1564CE0B" wp14:editId="5741377D">
            <wp:extent cx="5715000" cy="4429125"/>
            <wp:effectExtent l="0" t="0" r="0" b="0"/>
            <wp:docPr id="273656260" name="Imagen 27365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429125"/>
                    </a:xfrm>
                    <a:prstGeom prst="rect">
                      <a:avLst/>
                    </a:prstGeom>
                  </pic:spPr>
                </pic:pic>
              </a:graphicData>
            </a:graphic>
          </wp:inline>
        </w:drawing>
      </w:r>
    </w:p>
    <w:p w14:paraId="73F5C3E7" w14:textId="77777777" w:rsidR="00002083" w:rsidRDefault="00F050D8">
      <w:pPr>
        <w:spacing w:after="240"/>
      </w:pPr>
      <w:r>
        <w:rPr>
          <w:i/>
          <w:iCs/>
        </w:rPr>
        <w:t>Nota.</w:t>
      </w:r>
      <w:r>
        <w:t xml:space="preserve"> Fuente: elaboración propia.</w:t>
      </w:r>
    </w:p>
    <w:p w14:paraId="36696D54" w14:textId="77777777" w:rsidR="00002083" w:rsidRDefault="00F050D8">
      <w:pPr>
        <w:ind w:firstLine="720"/>
      </w:pPr>
      <w:r>
        <w:rPr>
          <w:b/>
          <w:bCs/>
        </w:rPr>
        <w:t xml:space="preserve">Medido sobre la serie completa de LTC, </w:t>
      </w:r>
      <w:r>
        <w:rPr>
          <w:rFonts w:ascii="Courier New" w:eastAsia="Courier New" w:hAnsi="Courier New" w:cs="Courier New"/>
          <w:b/>
          <w:bCs/>
          <w:sz w:val="22"/>
          <w:szCs w:val="22"/>
        </w:rPr>
        <w:t>w = 5</w:t>
      </w:r>
      <w:r>
        <w:rPr>
          <w:b/>
          <w:bCs/>
        </w:rPr>
        <w:t>, velas diarias (n = 2 175):</w:t>
      </w:r>
    </w:p>
    <w:p w14:paraId="05940576" w14:textId="77777777" w:rsidR="00002083" w:rsidRDefault="00F050D8">
      <w:pPr>
        <w:keepNext/>
        <w:spacing w:before="240"/>
      </w:pPr>
      <w:r>
        <w:rPr>
          <w:b/>
          <w:bCs/>
        </w:rPr>
        <w:lastRenderedPageBreak/>
        <w:t>Tabla 3</w:t>
      </w:r>
    </w:p>
    <w:p w14:paraId="1AA24075" w14:textId="77777777" w:rsidR="00002083" w:rsidRDefault="00F050D8">
      <w:pPr>
        <w:keepNext/>
        <w:spacing w:after="60"/>
      </w:pPr>
      <w:r>
        <w:rPr>
          <w:i/>
          <w:iCs/>
        </w:rPr>
        <w:t xml:space="preserve">Rendimiento del </w:t>
      </w:r>
      <w:proofErr w:type="spellStart"/>
      <w:r>
        <w:rPr>
          <w:i/>
          <w:iCs/>
        </w:rPr>
        <w:t>baseline</w:t>
      </w:r>
      <w:proofErr w:type="spellEnd"/>
      <w:r>
        <w:rPr>
          <w:i/>
          <w:iCs/>
        </w:rPr>
        <w:t xml:space="preserve"> trivial</w:t>
      </w:r>
    </w:p>
    <w:tbl>
      <w:tblPr>
        <w:tblW w:w="9360" w:type="dxa"/>
        <w:tblCellMar>
          <w:left w:w="10" w:type="dxa"/>
          <w:right w:w="10" w:type="dxa"/>
        </w:tblCellMar>
        <w:tblLook w:val="04A0" w:firstRow="1" w:lastRow="0" w:firstColumn="1" w:lastColumn="0" w:noHBand="0" w:noVBand="1"/>
      </w:tblPr>
      <w:tblGrid>
        <w:gridCol w:w="4680"/>
        <w:gridCol w:w="4680"/>
      </w:tblGrid>
      <w:tr w:rsidR="00002083" w14:paraId="4627CFCE" w14:textId="77777777">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5D8F9202" w14:textId="77777777" w:rsidR="00002083" w:rsidRDefault="00F050D8">
            <w:pPr>
              <w:spacing w:line="240" w:lineRule="auto"/>
            </w:pPr>
            <w:r>
              <w:rPr>
                <w:sz w:val="22"/>
                <w:szCs w:val="22"/>
              </w:rPr>
              <w:t>Métrica</w:t>
            </w:r>
          </w:p>
        </w:tc>
        <w:tc>
          <w:tcPr>
            <w:tcW w:w="4680" w:type="dxa"/>
            <w:tcBorders>
              <w:top w:val="single" w:sz="6" w:space="0" w:color="000000"/>
              <w:bottom w:val="single" w:sz="6" w:space="0" w:color="000000"/>
            </w:tcBorders>
            <w:tcMar>
              <w:top w:w="60" w:type="dxa"/>
              <w:left w:w="100" w:type="dxa"/>
              <w:bottom w:w="60" w:type="dxa"/>
              <w:right w:w="100" w:type="dxa"/>
            </w:tcMar>
          </w:tcPr>
          <w:p w14:paraId="67E137D5" w14:textId="77777777" w:rsidR="00002083" w:rsidRDefault="00F050D8">
            <w:pPr>
              <w:spacing w:line="240" w:lineRule="auto"/>
              <w:jc w:val="center"/>
            </w:pPr>
            <w:proofErr w:type="spellStart"/>
            <w:r>
              <w:rPr>
                <w:sz w:val="22"/>
                <w:szCs w:val="22"/>
              </w:rPr>
              <w:t>Baseline</w:t>
            </w:r>
            <w:proofErr w:type="spellEnd"/>
            <w:r>
              <w:rPr>
                <w:sz w:val="22"/>
                <w:szCs w:val="22"/>
              </w:rPr>
              <w:t xml:space="preserve"> trivial</w:t>
            </w:r>
          </w:p>
        </w:tc>
      </w:tr>
      <w:tr w:rsidR="00002083" w14:paraId="7F48E6DE" w14:textId="77777777">
        <w:tc>
          <w:tcPr>
            <w:tcW w:w="4680" w:type="dxa"/>
            <w:tcMar>
              <w:top w:w="60" w:type="dxa"/>
              <w:left w:w="100" w:type="dxa"/>
              <w:bottom w:w="60" w:type="dxa"/>
              <w:right w:w="100" w:type="dxa"/>
            </w:tcMar>
          </w:tcPr>
          <w:p w14:paraId="005BDB1F" w14:textId="77777777" w:rsidR="00002083" w:rsidRDefault="00F050D8">
            <w:pPr>
              <w:spacing w:line="240" w:lineRule="auto"/>
            </w:pPr>
            <w:r>
              <w:rPr>
                <w:sz w:val="22"/>
                <w:szCs w:val="22"/>
              </w:rPr>
              <w:t>Exactitud</w:t>
            </w:r>
          </w:p>
        </w:tc>
        <w:tc>
          <w:tcPr>
            <w:tcW w:w="4680" w:type="dxa"/>
            <w:tcMar>
              <w:top w:w="60" w:type="dxa"/>
              <w:left w:w="100" w:type="dxa"/>
              <w:bottom w:w="60" w:type="dxa"/>
              <w:right w:w="100" w:type="dxa"/>
            </w:tcMar>
          </w:tcPr>
          <w:p w14:paraId="5EF1DA19" w14:textId="77777777" w:rsidR="00002083" w:rsidRDefault="00F050D8">
            <w:pPr>
              <w:spacing w:line="240" w:lineRule="auto"/>
              <w:jc w:val="center"/>
            </w:pPr>
            <w:r>
              <w:rPr>
                <w:b/>
                <w:bCs/>
                <w:sz w:val="22"/>
                <w:szCs w:val="22"/>
              </w:rPr>
              <w:t>0,869</w:t>
            </w:r>
          </w:p>
        </w:tc>
      </w:tr>
      <w:tr w:rsidR="00002083" w14:paraId="04A8B8B9" w14:textId="77777777">
        <w:tc>
          <w:tcPr>
            <w:tcW w:w="4680" w:type="dxa"/>
            <w:tcMar>
              <w:top w:w="60" w:type="dxa"/>
              <w:left w:w="100" w:type="dxa"/>
              <w:bottom w:w="60" w:type="dxa"/>
              <w:right w:w="100" w:type="dxa"/>
            </w:tcMar>
          </w:tcPr>
          <w:p w14:paraId="2ACDCF8E" w14:textId="77777777" w:rsidR="00002083" w:rsidRDefault="00F050D8">
            <w:pPr>
              <w:spacing w:line="240" w:lineRule="auto"/>
            </w:pPr>
            <w:r>
              <w:rPr>
                <w:sz w:val="22"/>
                <w:szCs w:val="22"/>
              </w:rPr>
              <w:t>F1 macro</w:t>
            </w:r>
          </w:p>
        </w:tc>
        <w:tc>
          <w:tcPr>
            <w:tcW w:w="4680" w:type="dxa"/>
            <w:tcMar>
              <w:top w:w="60" w:type="dxa"/>
              <w:left w:w="100" w:type="dxa"/>
              <w:bottom w:w="60" w:type="dxa"/>
              <w:right w:w="100" w:type="dxa"/>
            </w:tcMar>
          </w:tcPr>
          <w:p w14:paraId="34A04CA2" w14:textId="77777777" w:rsidR="00002083" w:rsidRDefault="00F050D8">
            <w:pPr>
              <w:spacing w:line="240" w:lineRule="auto"/>
              <w:jc w:val="center"/>
            </w:pPr>
            <w:r>
              <w:rPr>
                <w:b/>
                <w:bCs/>
                <w:sz w:val="22"/>
                <w:szCs w:val="22"/>
              </w:rPr>
              <w:t>0,310</w:t>
            </w:r>
          </w:p>
        </w:tc>
      </w:tr>
      <w:tr w:rsidR="00002083" w14:paraId="63F9984F" w14:textId="77777777">
        <w:tc>
          <w:tcPr>
            <w:tcW w:w="4680" w:type="dxa"/>
            <w:tcMar>
              <w:top w:w="60" w:type="dxa"/>
              <w:left w:w="100" w:type="dxa"/>
              <w:bottom w:w="60" w:type="dxa"/>
              <w:right w:w="100" w:type="dxa"/>
            </w:tcMar>
          </w:tcPr>
          <w:p w14:paraId="57C34AD3" w14:textId="77777777" w:rsidR="00002083" w:rsidRDefault="00F050D8">
            <w:pPr>
              <w:spacing w:line="240" w:lineRule="auto"/>
            </w:pPr>
            <w:r>
              <w:rPr>
                <w:sz w:val="22"/>
                <w:szCs w:val="22"/>
              </w:rPr>
              <w:t>Precisión direccional</w:t>
            </w:r>
          </w:p>
        </w:tc>
        <w:tc>
          <w:tcPr>
            <w:tcW w:w="4680" w:type="dxa"/>
            <w:tcMar>
              <w:top w:w="60" w:type="dxa"/>
              <w:left w:w="100" w:type="dxa"/>
              <w:bottom w:w="60" w:type="dxa"/>
              <w:right w:w="100" w:type="dxa"/>
            </w:tcMar>
          </w:tcPr>
          <w:p w14:paraId="7A1A74A3" w14:textId="77777777" w:rsidR="00002083" w:rsidRDefault="00F050D8">
            <w:pPr>
              <w:spacing w:line="240" w:lineRule="auto"/>
              <w:jc w:val="center"/>
            </w:pPr>
            <w:r>
              <w:rPr>
                <w:b/>
                <w:bCs/>
                <w:sz w:val="22"/>
                <w:szCs w:val="22"/>
              </w:rPr>
              <w:t>0,000</w:t>
            </w:r>
          </w:p>
        </w:tc>
      </w:tr>
      <w:tr w:rsidR="00002083" w14:paraId="408CE763" w14:textId="77777777">
        <w:tc>
          <w:tcPr>
            <w:tcW w:w="4680" w:type="dxa"/>
            <w:tcMar>
              <w:top w:w="60" w:type="dxa"/>
              <w:left w:w="100" w:type="dxa"/>
              <w:bottom w:w="60" w:type="dxa"/>
              <w:right w:w="100" w:type="dxa"/>
            </w:tcMar>
          </w:tcPr>
          <w:p w14:paraId="7954FBB7" w14:textId="77777777" w:rsidR="00002083" w:rsidRDefault="00F050D8">
            <w:pPr>
              <w:spacing w:line="240" w:lineRule="auto"/>
            </w:pPr>
            <w:r>
              <w:rPr>
                <w:sz w:val="22"/>
                <w:szCs w:val="22"/>
              </w:rPr>
              <w:t>F1 de la clase Máximo</w:t>
            </w:r>
          </w:p>
        </w:tc>
        <w:tc>
          <w:tcPr>
            <w:tcW w:w="4680" w:type="dxa"/>
            <w:tcMar>
              <w:top w:w="60" w:type="dxa"/>
              <w:left w:w="100" w:type="dxa"/>
              <w:bottom w:w="60" w:type="dxa"/>
              <w:right w:w="100" w:type="dxa"/>
            </w:tcMar>
          </w:tcPr>
          <w:p w14:paraId="4C49A6B2" w14:textId="77777777" w:rsidR="00002083" w:rsidRDefault="00F050D8">
            <w:pPr>
              <w:spacing w:line="240" w:lineRule="auto"/>
              <w:jc w:val="center"/>
            </w:pPr>
            <w:r>
              <w:rPr>
                <w:sz w:val="22"/>
                <w:szCs w:val="22"/>
              </w:rPr>
              <w:t>0,000</w:t>
            </w:r>
          </w:p>
        </w:tc>
      </w:tr>
      <w:tr w:rsidR="00002083" w14:paraId="10641D4C" w14:textId="77777777">
        <w:tc>
          <w:tcPr>
            <w:tcW w:w="4680" w:type="dxa"/>
            <w:tcMar>
              <w:top w:w="60" w:type="dxa"/>
              <w:left w:w="100" w:type="dxa"/>
              <w:bottom w:w="60" w:type="dxa"/>
              <w:right w:w="100" w:type="dxa"/>
            </w:tcMar>
          </w:tcPr>
          <w:p w14:paraId="789589F1" w14:textId="77777777" w:rsidR="00002083" w:rsidRDefault="00F050D8">
            <w:pPr>
              <w:spacing w:line="240" w:lineRule="auto"/>
            </w:pPr>
            <w:r>
              <w:rPr>
                <w:sz w:val="22"/>
                <w:szCs w:val="22"/>
              </w:rPr>
              <w:t>F1 de la clase Mínimo</w:t>
            </w:r>
          </w:p>
        </w:tc>
        <w:tc>
          <w:tcPr>
            <w:tcW w:w="4680" w:type="dxa"/>
            <w:tcMar>
              <w:top w:w="60" w:type="dxa"/>
              <w:left w:w="100" w:type="dxa"/>
              <w:bottom w:w="60" w:type="dxa"/>
              <w:right w:w="100" w:type="dxa"/>
            </w:tcMar>
          </w:tcPr>
          <w:p w14:paraId="1BD9DF9C" w14:textId="77777777" w:rsidR="00002083" w:rsidRDefault="00F050D8">
            <w:pPr>
              <w:spacing w:line="240" w:lineRule="auto"/>
              <w:jc w:val="center"/>
            </w:pPr>
            <w:r>
              <w:rPr>
                <w:sz w:val="22"/>
                <w:szCs w:val="22"/>
              </w:rPr>
              <w:t>0,000</w:t>
            </w:r>
          </w:p>
        </w:tc>
      </w:tr>
      <w:tr w:rsidR="00002083" w14:paraId="44FB100B" w14:textId="77777777">
        <w:tc>
          <w:tcPr>
            <w:tcW w:w="4680" w:type="dxa"/>
            <w:tcBorders>
              <w:bottom w:val="single" w:sz="6" w:space="0" w:color="000000"/>
            </w:tcBorders>
            <w:tcMar>
              <w:top w:w="60" w:type="dxa"/>
              <w:left w:w="100" w:type="dxa"/>
              <w:bottom w:w="60" w:type="dxa"/>
              <w:right w:w="100" w:type="dxa"/>
            </w:tcMar>
          </w:tcPr>
          <w:p w14:paraId="6BC493DF" w14:textId="77777777" w:rsidR="00002083" w:rsidRDefault="00F050D8">
            <w:pPr>
              <w:spacing w:line="240" w:lineRule="auto"/>
            </w:pPr>
            <w:r>
              <w:rPr>
                <w:sz w:val="22"/>
                <w:szCs w:val="22"/>
              </w:rPr>
              <w:t>F1 de la clase Continuidad</w:t>
            </w:r>
          </w:p>
        </w:tc>
        <w:tc>
          <w:tcPr>
            <w:tcW w:w="4680" w:type="dxa"/>
            <w:tcBorders>
              <w:bottom w:val="single" w:sz="6" w:space="0" w:color="000000"/>
            </w:tcBorders>
            <w:tcMar>
              <w:top w:w="60" w:type="dxa"/>
              <w:left w:w="100" w:type="dxa"/>
              <w:bottom w:w="60" w:type="dxa"/>
              <w:right w:w="100" w:type="dxa"/>
            </w:tcMar>
          </w:tcPr>
          <w:p w14:paraId="6F69B2BE" w14:textId="77777777" w:rsidR="00002083" w:rsidRDefault="00F050D8">
            <w:pPr>
              <w:spacing w:line="240" w:lineRule="auto"/>
              <w:jc w:val="center"/>
            </w:pPr>
            <w:r>
              <w:rPr>
                <w:sz w:val="22"/>
                <w:szCs w:val="22"/>
              </w:rPr>
              <w:t>0,930</w:t>
            </w:r>
          </w:p>
        </w:tc>
      </w:tr>
    </w:tbl>
    <w:p w14:paraId="6EA35AEC" w14:textId="77777777" w:rsidR="00002083" w:rsidRDefault="00F050D8">
      <w:pPr>
        <w:spacing w:after="240"/>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w:t>
      </w:r>
    </w:p>
    <w:p w14:paraId="0BE40347" w14:textId="77777777" w:rsidR="00002083" w:rsidRDefault="00F050D8">
      <w:pPr>
        <w:ind w:firstLine="720"/>
      </w:pPr>
      <w:r>
        <w:t xml:space="preserve">Este es el resultado más importante de la sección. Un modelo que </w:t>
      </w:r>
      <w:r>
        <w:rPr>
          <w:b/>
          <w:bCs/>
        </w:rPr>
        <w:t>no detecta ni un solo punto de inflexión</w:t>
      </w:r>
      <w:r>
        <w:t xml:space="preserve"> —que es lo único que este proyecto tiene que hacer— alcanza un </w:t>
      </w:r>
      <w:r>
        <w:rPr>
          <w:b/>
          <w:bCs/>
        </w:rPr>
        <w:t>86,9 % de exactitud</w:t>
      </w:r>
      <w:r>
        <w:t>. Si el informe reportara exactitud, ese modelo parecería razonablemente bueno. Es la trampa completa del desbalance en un solo número.</w:t>
      </w:r>
    </w:p>
    <w:p w14:paraId="455E71DE" w14:textId="77777777" w:rsidR="00002083" w:rsidRDefault="00F050D8">
      <w:pPr>
        <w:ind w:firstLine="720"/>
      </w:pPr>
      <w:r>
        <w:t xml:space="preserve">Las otras dos métricas lo desenmascaran de inmediato. El </w:t>
      </w:r>
      <w:r>
        <w:rPr>
          <w:b/>
          <w:bCs/>
        </w:rPr>
        <w:t>F1 macro de 0,310</w:t>
      </w:r>
      <w:r>
        <w:t xml:space="preserve"> promedia las tres clases con igual peso, de modo que los </w:t>
      </w:r>
      <w:proofErr w:type="spellStart"/>
      <w:r>
        <w:t>ceros</w:t>
      </w:r>
      <w:proofErr w:type="spellEnd"/>
      <w:r>
        <w:t xml:space="preserve"> de Máximo y Mínimo arrastran el resultado: es esencialmente 0,930 / 3. Y la </w:t>
      </w:r>
      <w:r>
        <w:rPr>
          <w:b/>
          <w:bCs/>
        </w:rPr>
        <w:t>precisión direccional de 0,000</w:t>
      </w:r>
      <w:r>
        <w:t xml:space="preserve"> refleja que de los 284 puntos de inflexión reales no acertó ninguno, porque no anunció ninguno.</w:t>
      </w:r>
    </w:p>
    <w:p w14:paraId="53431888" w14:textId="77777777" w:rsidR="00002083" w:rsidRDefault="00F050D8">
      <w:pPr>
        <w:pStyle w:val="Ttulo3"/>
        <w:keepNext/>
      </w:pPr>
      <w:bookmarkStart w:id="26" w:name="_Toc237941084"/>
      <w:r>
        <w:t>2.1 Un contraste que lo deja más claro todavía</w:t>
      </w:r>
      <w:bookmarkEnd w:id="26"/>
    </w:p>
    <w:p w14:paraId="5010ECCD" w14:textId="77777777" w:rsidR="00002083" w:rsidRDefault="00F050D8">
      <w:pPr>
        <w:ind w:firstLine="720"/>
      </w:pPr>
      <w:r>
        <w:t xml:space="preserve">La exactitud no solo infla al modelo inútil: </w:t>
      </w:r>
      <w:r>
        <w:rPr>
          <w:b/>
          <w:bCs/>
        </w:rPr>
        <w:t>puede ordenar los modelos al revés</w:t>
      </w:r>
      <w:r>
        <w:t xml:space="preserve">. Se midieron los tres </w:t>
      </w:r>
      <w:proofErr w:type="spellStart"/>
      <w:r>
        <w:t>baselines</w:t>
      </w:r>
      <w:proofErr w:type="spellEnd"/>
      <w:r>
        <w:t xml:space="preserve"> obligatorios sobre el </w:t>
      </w:r>
      <w:r>
        <w:rPr>
          <w:b/>
          <w:bCs/>
        </w:rPr>
        <w:t>bloque de prueba</w:t>
      </w:r>
      <w:r>
        <w:t xml:space="preserve"> —el último 15 % cronológico, con embargo de </w:t>
      </w:r>
      <w:proofErr w:type="spellStart"/>
      <w:r>
        <w:rPr>
          <w:rFonts w:ascii="Courier New" w:eastAsia="Courier New" w:hAnsi="Courier New" w:cs="Courier New"/>
          <w:sz w:val="22"/>
          <w:szCs w:val="22"/>
        </w:rPr>
        <w:t>w+h</w:t>
      </w:r>
      <w:proofErr w:type="spellEnd"/>
      <w:r>
        <w:t xml:space="preserve"> velas en la frontera—, que es la partición contra la que se evaluarán los modelos reales:</w:t>
      </w:r>
    </w:p>
    <w:p w14:paraId="345954AE" w14:textId="77777777" w:rsidR="00002083" w:rsidRDefault="00F050D8">
      <w:pPr>
        <w:keepNext/>
        <w:spacing w:before="240"/>
      </w:pPr>
      <w:r>
        <w:rPr>
          <w:b/>
          <w:bCs/>
        </w:rPr>
        <w:lastRenderedPageBreak/>
        <w:t>Tabla 4</w:t>
      </w:r>
    </w:p>
    <w:p w14:paraId="621279BD" w14:textId="77777777" w:rsidR="00002083" w:rsidRDefault="00F050D8">
      <w:pPr>
        <w:keepNext/>
        <w:spacing w:after="60"/>
      </w:pPr>
      <w:r>
        <w:rPr>
          <w:i/>
          <w:iCs/>
        </w:rPr>
        <w:t xml:space="preserve">Los tres </w:t>
      </w:r>
      <w:proofErr w:type="spellStart"/>
      <w:r>
        <w:rPr>
          <w:i/>
          <w:iCs/>
        </w:rPr>
        <w:t>baselines</w:t>
      </w:r>
      <w:proofErr w:type="spellEnd"/>
      <w:r>
        <w:rPr>
          <w:i/>
          <w:iCs/>
        </w:rPr>
        <w:t xml:space="preserve"> sobre el bloque de prueba (11/09/2025 – 04/08/2026), </w:t>
      </w:r>
      <w:r>
        <w:rPr>
          <w:rFonts w:ascii="Courier New" w:eastAsia="Courier New" w:hAnsi="Courier New" w:cs="Courier New"/>
          <w:i/>
          <w:iCs/>
          <w:sz w:val="22"/>
          <w:szCs w:val="22"/>
        </w:rPr>
        <w:t>w = 5</w:t>
      </w:r>
      <w:r>
        <w:rPr>
          <w:i/>
          <w:iCs/>
        </w:rPr>
        <w:t xml:space="preserve">, </w:t>
      </w:r>
      <w:r>
        <w:rPr>
          <w:rFonts w:ascii="Courier New" w:eastAsia="Courier New" w:hAnsi="Courier New" w:cs="Courier New"/>
          <w:i/>
          <w:iCs/>
          <w:sz w:val="22"/>
          <w:szCs w:val="22"/>
        </w:rPr>
        <w:t>h = 3</w:t>
      </w:r>
      <w:r>
        <w:rPr>
          <w:i/>
          <w:iCs/>
        </w:rPr>
        <w:t>, velas diarias</w:t>
      </w:r>
    </w:p>
    <w:tbl>
      <w:tblPr>
        <w:tblW w:w="9360" w:type="dxa"/>
        <w:tblCellMar>
          <w:left w:w="10" w:type="dxa"/>
          <w:right w:w="10" w:type="dxa"/>
        </w:tblCellMar>
        <w:tblLook w:val="04A0" w:firstRow="1" w:lastRow="0" w:firstColumn="1" w:lastColumn="0" w:noHBand="0" w:noVBand="1"/>
      </w:tblPr>
      <w:tblGrid>
        <w:gridCol w:w="1363"/>
        <w:gridCol w:w="1048"/>
        <w:gridCol w:w="1146"/>
        <w:gridCol w:w="1090"/>
        <w:gridCol w:w="1178"/>
        <w:gridCol w:w="1127"/>
        <w:gridCol w:w="1120"/>
        <w:gridCol w:w="1288"/>
      </w:tblGrid>
      <w:tr w:rsidR="00002083" w14:paraId="4C87F787" w14:textId="77777777">
        <w:trPr>
          <w:tblHeader/>
        </w:trPr>
        <w:tc>
          <w:tcPr>
            <w:tcW w:w="1170" w:type="dxa"/>
            <w:tcBorders>
              <w:top w:val="single" w:sz="6" w:space="0" w:color="000000"/>
              <w:bottom w:val="single" w:sz="6" w:space="0" w:color="000000"/>
            </w:tcBorders>
            <w:tcMar>
              <w:top w:w="60" w:type="dxa"/>
              <w:left w:w="100" w:type="dxa"/>
              <w:bottom w:w="60" w:type="dxa"/>
              <w:right w:w="100" w:type="dxa"/>
            </w:tcMar>
          </w:tcPr>
          <w:p w14:paraId="79D54264" w14:textId="77777777" w:rsidR="00002083" w:rsidRDefault="00F050D8">
            <w:pPr>
              <w:spacing w:line="240" w:lineRule="auto"/>
            </w:pPr>
            <w:proofErr w:type="spellStart"/>
            <w:r>
              <w:rPr>
                <w:sz w:val="22"/>
                <w:szCs w:val="22"/>
              </w:rPr>
              <w:t>Baseline</w:t>
            </w:r>
            <w:proofErr w:type="spellEnd"/>
          </w:p>
        </w:tc>
        <w:tc>
          <w:tcPr>
            <w:tcW w:w="1170" w:type="dxa"/>
            <w:tcBorders>
              <w:top w:val="single" w:sz="6" w:space="0" w:color="000000"/>
              <w:bottom w:val="single" w:sz="6" w:space="0" w:color="000000"/>
            </w:tcBorders>
            <w:tcMar>
              <w:top w:w="60" w:type="dxa"/>
              <w:left w:w="100" w:type="dxa"/>
              <w:bottom w:w="60" w:type="dxa"/>
              <w:right w:w="100" w:type="dxa"/>
            </w:tcMar>
          </w:tcPr>
          <w:p w14:paraId="0560E467" w14:textId="77777777" w:rsidR="00002083" w:rsidRDefault="00F050D8">
            <w:pPr>
              <w:spacing w:line="240" w:lineRule="auto"/>
              <w:jc w:val="center"/>
            </w:pPr>
            <w:r>
              <w:rPr>
                <w:sz w:val="22"/>
                <w:szCs w:val="22"/>
              </w:rPr>
              <w:t>n</w:t>
            </w:r>
          </w:p>
        </w:tc>
        <w:tc>
          <w:tcPr>
            <w:tcW w:w="1170" w:type="dxa"/>
            <w:tcBorders>
              <w:top w:val="single" w:sz="6" w:space="0" w:color="000000"/>
              <w:bottom w:val="single" w:sz="6" w:space="0" w:color="000000"/>
            </w:tcBorders>
            <w:tcMar>
              <w:top w:w="60" w:type="dxa"/>
              <w:left w:w="100" w:type="dxa"/>
              <w:bottom w:w="60" w:type="dxa"/>
              <w:right w:w="100" w:type="dxa"/>
            </w:tcMar>
          </w:tcPr>
          <w:p w14:paraId="7126F072" w14:textId="77777777" w:rsidR="00002083" w:rsidRDefault="00F050D8">
            <w:pPr>
              <w:spacing w:line="240" w:lineRule="auto"/>
              <w:jc w:val="center"/>
            </w:pPr>
            <w:r>
              <w:rPr>
                <w:sz w:val="22"/>
                <w:szCs w:val="22"/>
              </w:rPr>
              <w:t>Exactitud</w:t>
            </w:r>
          </w:p>
        </w:tc>
        <w:tc>
          <w:tcPr>
            <w:tcW w:w="1170" w:type="dxa"/>
            <w:tcBorders>
              <w:top w:val="single" w:sz="6" w:space="0" w:color="000000"/>
              <w:bottom w:val="single" w:sz="6" w:space="0" w:color="000000"/>
            </w:tcBorders>
            <w:tcMar>
              <w:top w:w="60" w:type="dxa"/>
              <w:left w:w="100" w:type="dxa"/>
              <w:bottom w:w="60" w:type="dxa"/>
              <w:right w:w="100" w:type="dxa"/>
            </w:tcMar>
          </w:tcPr>
          <w:p w14:paraId="7DE34BFB" w14:textId="77777777" w:rsidR="00002083" w:rsidRDefault="00F050D8">
            <w:pPr>
              <w:spacing w:line="240" w:lineRule="auto"/>
              <w:jc w:val="center"/>
            </w:pPr>
            <w:r>
              <w:rPr>
                <w:sz w:val="22"/>
                <w:szCs w:val="22"/>
              </w:rPr>
              <w:t>F1 macro</w:t>
            </w:r>
          </w:p>
        </w:tc>
        <w:tc>
          <w:tcPr>
            <w:tcW w:w="1170" w:type="dxa"/>
            <w:tcBorders>
              <w:top w:val="single" w:sz="6" w:space="0" w:color="000000"/>
              <w:bottom w:val="single" w:sz="6" w:space="0" w:color="000000"/>
            </w:tcBorders>
            <w:tcMar>
              <w:top w:w="60" w:type="dxa"/>
              <w:left w:w="100" w:type="dxa"/>
              <w:bottom w:w="60" w:type="dxa"/>
              <w:right w:w="100" w:type="dxa"/>
            </w:tcMar>
          </w:tcPr>
          <w:p w14:paraId="13E6E515" w14:textId="77777777" w:rsidR="00002083" w:rsidRDefault="00F050D8">
            <w:pPr>
              <w:spacing w:line="240" w:lineRule="auto"/>
              <w:jc w:val="center"/>
            </w:pPr>
            <w:r>
              <w:rPr>
                <w:sz w:val="22"/>
                <w:szCs w:val="22"/>
              </w:rPr>
              <w:t>Precisión direccional</w:t>
            </w:r>
          </w:p>
        </w:tc>
        <w:tc>
          <w:tcPr>
            <w:tcW w:w="1170" w:type="dxa"/>
            <w:tcBorders>
              <w:top w:val="single" w:sz="6" w:space="0" w:color="000000"/>
              <w:bottom w:val="single" w:sz="6" w:space="0" w:color="000000"/>
            </w:tcBorders>
            <w:tcMar>
              <w:top w:w="60" w:type="dxa"/>
              <w:left w:w="100" w:type="dxa"/>
              <w:bottom w:w="60" w:type="dxa"/>
              <w:right w:w="100" w:type="dxa"/>
            </w:tcMar>
          </w:tcPr>
          <w:p w14:paraId="1BEF04B6" w14:textId="77777777" w:rsidR="00002083" w:rsidRDefault="00F050D8">
            <w:pPr>
              <w:spacing w:line="240" w:lineRule="auto"/>
              <w:jc w:val="center"/>
            </w:pPr>
            <w:r>
              <w:rPr>
                <w:sz w:val="22"/>
                <w:szCs w:val="22"/>
              </w:rPr>
              <w:t>F1 Máximo</w:t>
            </w:r>
          </w:p>
        </w:tc>
        <w:tc>
          <w:tcPr>
            <w:tcW w:w="1170" w:type="dxa"/>
            <w:tcBorders>
              <w:top w:val="single" w:sz="6" w:space="0" w:color="000000"/>
              <w:bottom w:val="single" w:sz="6" w:space="0" w:color="000000"/>
            </w:tcBorders>
            <w:tcMar>
              <w:top w:w="60" w:type="dxa"/>
              <w:left w:w="100" w:type="dxa"/>
              <w:bottom w:w="60" w:type="dxa"/>
              <w:right w:w="100" w:type="dxa"/>
            </w:tcMar>
          </w:tcPr>
          <w:p w14:paraId="3B9488CB" w14:textId="77777777" w:rsidR="00002083" w:rsidRDefault="00F050D8">
            <w:pPr>
              <w:spacing w:line="240" w:lineRule="auto"/>
              <w:jc w:val="center"/>
            </w:pPr>
            <w:r>
              <w:rPr>
                <w:sz w:val="22"/>
                <w:szCs w:val="22"/>
              </w:rPr>
              <w:t>F1 Mínimo</w:t>
            </w:r>
          </w:p>
        </w:tc>
        <w:tc>
          <w:tcPr>
            <w:tcW w:w="1170" w:type="dxa"/>
            <w:tcBorders>
              <w:top w:val="single" w:sz="6" w:space="0" w:color="000000"/>
              <w:bottom w:val="single" w:sz="6" w:space="0" w:color="000000"/>
            </w:tcBorders>
            <w:tcMar>
              <w:top w:w="60" w:type="dxa"/>
              <w:left w:w="100" w:type="dxa"/>
              <w:bottom w:w="60" w:type="dxa"/>
              <w:right w:w="100" w:type="dxa"/>
            </w:tcMar>
          </w:tcPr>
          <w:p w14:paraId="4C50A2F2" w14:textId="77777777" w:rsidR="00002083" w:rsidRDefault="00F050D8">
            <w:pPr>
              <w:spacing w:line="240" w:lineRule="auto"/>
              <w:jc w:val="center"/>
            </w:pPr>
            <w:r>
              <w:rPr>
                <w:sz w:val="22"/>
                <w:szCs w:val="22"/>
              </w:rPr>
              <w:t>F1 Continuidad</w:t>
            </w:r>
          </w:p>
        </w:tc>
      </w:tr>
      <w:tr w:rsidR="00002083" w14:paraId="4B14807D" w14:textId="77777777">
        <w:tc>
          <w:tcPr>
            <w:tcW w:w="1170" w:type="dxa"/>
            <w:tcMar>
              <w:top w:w="60" w:type="dxa"/>
              <w:left w:w="100" w:type="dxa"/>
              <w:bottom w:w="60" w:type="dxa"/>
              <w:right w:w="100" w:type="dxa"/>
            </w:tcMar>
          </w:tcPr>
          <w:p w14:paraId="172FD92D" w14:textId="77777777" w:rsidR="00002083" w:rsidRDefault="00F050D8">
            <w:pPr>
              <w:spacing w:line="240" w:lineRule="auto"/>
            </w:pPr>
            <w:r>
              <w:rPr>
                <w:sz w:val="22"/>
                <w:szCs w:val="22"/>
              </w:rPr>
              <w:t>Trivial (siempre Continuidad)</w:t>
            </w:r>
          </w:p>
        </w:tc>
        <w:tc>
          <w:tcPr>
            <w:tcW w:w="1170" w:type="dxa"/>
            <w:tcMar>
              <w:top w:w="60" w:type="dxa"/>
              <w:left w:w="100" w:type="dxa"/>
              <w:bottom w:w="60" w:type="dxa"/>
              <w:right w:w="100" w:type="dxa"/>
            </w:tcMar>
          </w:tcPr>
          <w:p w14:paraId="21AB52BD" w14:textId="77777777" w:rsidR="00002083" w:rsidRDefault="00F050D8">
            <w:pPr>
              <w:spacing w:line="240" w:lineRule="auto"/>
              <w:jc w:val="center"/>
            </w:pPr>
            <w:r>
              <w:rPr>
                <w:sz w:val="22"/>
                <w:szCs w:val="22"/>
              </w:rPr>
              <w:t>320</w:t>
            </w:r>
          </w:p>
        </w:tc>
        <w:tc>
          <w:tcPr>
            <w:tcW w:w="1170" w:type="dxa"/>
            <w:tcMar>
              <w:top w:w="60" w:type="dxa"/>
              <w:left w:w="100" w:type="dxa"/>
              <w:bottom w:w="60" w:type="dxa"/>
              <w:right w:w="100" w:type="dxa"/>
            </w:tcMar>
          </w:tcPr>
          <w:p w14:paraId="4491E9C3" w14:textId="77777777" w:rsidR="00002083" w:rsidRDefault="00F050D8">
            <w:pPr>
              <w:spacing w:line="240" w:lineRule="auto"/>
              <w:jc w:val="center"/>
            </w:pPr>
            <w:r>
              <w:rPr>
                <w:b/>
                <w:bCs/>
                <w:sz w:val="22"/>
                <w:szCs w:val="22"/>
              </w:rPr>
              <w:t>0,856</w:t>
            </w:r>
          </w:p>
        </w:tc>
        <w:tc>
          <w:tcPr>
            <w:tcW w:w="1170" w:type="dxa"/>
            <w:tcMar>
              <w:top w:w="60" w:type="dxa"/>
              <w:left w:w="100" w:type="dxa"/>
              <w:bottom w:w="60" w:type="dxa"/>
              <w:right w:w="100" w:type="dxa"/>
            </w:tcMar>
          </w:tcPr>
          <w:p w14:paraId="2CC1B429" w14:textId="77777777" w:rsidR="00002083" w:rsidRDefault="00F050D8">
            <w:pPr>
              <w:spacing w:line="240" w:lineRule="auto"/>
              <w:jc w:val="center"/>
            </w:pPr>
            <w:r>
              <w:rPr>
                <w:sz w:val="22"/>
                <w:szCs w:val="22"/>
              </w:rPr>
              <w:t>0,308</w:t>
            </w:r>
          </w:p>
        </w:tc>
        <w:tc>
          <w:tcPr>
            <w:tcW w:w="1170" w:type="dxa"/>
            <w:tcMar>
              <w:top w:w="60" w:type="dxa"/>
              <w:left w:w="100" w:type="dxa"/>
              <w:bottom w:w="60" w:type="dxa"/>
              <w:right w:w="100" w:type="dxa"/>
            </w:tcMar>
          </w:tcPr>
          <w:p w14:paraId="1E2945F7" w14:textId="77777777" w:rsidR="00002083" w:rsidRDefault="00F050D8">
            <w:pPr>
              <w:spacing w:line="240" w:lineRule="auto"/>
              <w:jc w:val="center"/>
            </w:pPr>
            <w:r>
              <w:rPr>
                <w:sz w:val="22"/>
                <w:szCs w:val="22"/>
              </w:rPr>
              <w:t>0,000</w:t>
            </w:r>
          </w:p>
        </w:tc>
        <w:tc>
          <w:tcPr>
            <w:tcW w:w="1170" w:type="dxa"/>
            <w:tcMar>
              <w:top w:w="60" w:type="dxa"/>
              <w:left w:w="100" w:type="dxa"/>
              <w:bottom w:w="60" w:type="dxa"/>
              <w:right w:w="100" w:type="dxa"/>
            </w:tcMar>
          </w:tcPr>
          <w:p w14:paraId="306DC9A2" w14:textId="77777777" w:rsidR="00002083" w:rsidRDefault="00F050D8">
            <w:pPr>
              <w:spacing w:line="240" w:lineRule="auto"/>
              <w:jc w:val="center"/>
            </w:pPr>
            <w:r>
              <w:rPr>
                <w:sz w:val="22"/>
                <w:szCs w:val="22"/>
              </w:rPr>
              <w:t>0,000</w:t>
            </w:r>
          </w:p>
        </w:tc>
        <w:tc>
          <w:tcPr>
            <w:tcW w:w="1170" w:type="dxa"/>
            <w:tcMar>
              <w:top w:w="60" w:type="dxa"/>
              <w:left w:w="100" w:type="dxa"/>
              <w:bottom w:w="60" w:type="dxa"/>
              <w:right w:w="100" w:type="dxa"/>
            </w:tcMar>
          </w:tcPr>
          <w:p w14:paraId="7EDD0877" w14:textId="77777777" w:rsidR="00002083" w:rsidRDefault="00F050D8">
            <w:pPr>
              <w:spacing w:line="240" w:lineRule="auto"/>
              <w:jc w:val="center"/>
            </w:pPr>
            <w:r>
              <w:rPr>
                <w:sz w:val="22"/>
                <w:szCs w:val="22"/>
              </w:rPr>
              <w:t>0,000</w:t>
            </w:r>
          </w:p>
        </w:tc>
        <w:tc>
          <w:tcPr>
            <w:tcW w:w="1170" w:type="dxa"/>
            <w:tcMar>
              <w:top w:w="60" w:type="dxa"/>
              <w:left w:w="100" w:type="dxa"/>
              <w:bottom w:w="60" w:type="dxa"/>
              <w:right w:w="100" w:type="dxa"/>
            </w:tcMar>
          </w:tcPr>
          <w:p w14:paraId="009ABB6A" w14:textId="77777777" w:rsidR="00002083" w:rsidRDefault="00F050D8">
            <w:pPr>
              <w:spacing w:line="240" w:lineRule="auto"/>
              <w:jc w:val="center"/>
            </w:pPr>
            <w:r>
              <w:rPr>
                <w:sz w:val="22"/>
                <w:szCs w:val="22"/>
              </w:rPr>
              <w:t>0,923</w:t>
            </w:r>
          </w:p>
        </w:tc>
      </w:tr>
      <w:tr w:rsidR="00002083" w14:paraId="0E327F7C" w14:textId="77777777">
        <w:tc>
          <w:tcPr>
            <w:tcW w:w="1170" w:type="dxa"/>
            <w:tcMar>
              <w:top w:w="60" w:type="dxa"/>
              <w:left w:w="100" w:type="dxa"/>
              <w:bottom w:w="60" w:type="dxa"/>
              <w:right w:w="100" w:type="dxa"/>
            </w:tcMar>
          </w:tcPr>
          <w:p w14:paraId="6C9210FA" w14:textId="77777777" w:rsidR="00002083" w:rsidRDefault="00F050D8">
            <w:pPr>
              <w:spacing w:line="240" w:lineRule="auto"/>
            </w:pPr>
            <w:r>
              <w:rPr>
                <w:sz w:val="22"/>
                <w:szCs w:val="22"/>
              </w:rPr>
              <w:t>Mayoritario</w:t>
            </w:r>
          </w:p>
        </w:tc>
        <w:tc>
          <w:tcPr>
            <w:tcW w:w="1170" w:type="dxa"/>
            <w:tcMar>
              <w:top w:w="60" w:type="dxa"/>
              <w:left w:w="100" w:type="dxa"/>
              <w:bottom w:w="60" w:type="dxa"/>
              <w:right w:w="100" w:type="dxa"/>
            </w:tcMar>
          </w:tcPr>
          <w:p w14:paraId="3AA23CC2" w14:textId="77777777" w:rsidR="00002083" w:rsidRDefault="00F050D8">
            <w:pPr>
              <w:spacing w:line="240" w:lineRule="auto"/>
              <w:jc w:val="center"/>
            </w:pPr>
            <w:r>
              <w:rPr>
                <w:sz w:val="22"/>
                <w:szCs w:val="22"/>
              </w:rPr>
              <w:t>320</w:t>
            </w:r>
          </w:p>
        </w:tc>
        <w:tc>
          <w:tcPr>
            <w:tcW w:w="1170" w:type="dxa"/>
            <w:tcMar>
              <w:top w:w="60" w:type="dxa"/>
              <w:left w:w="100" w:type="dxa"/>
              <w:bottom w:w="60" w:type="dxa"/>
              <w:right w:w="100" w:type="dxa"/>
            </w:tcMar>
          </w:tcPr>
          <w:p w14:paraId="7D01B4B7" w14:textId="77777777" w:rsidR="00002083" w:rsidRDefault="00F050D8">
            <w:pPr>
              <w:spacing w:line="240" w:lineRule="auto"/>
              <w:jc w:val="center"/>
            </w:pPr>
            <w:r>
              <w:rPr>
                <w:b/>
                <w:bCs/>
                <w:sz w:val="22"/>
                <w:szCs w:val="22"/>
              </w:rPr>
              <w:t>0,856</w:t>
            </w:r>
          </w:p>
        </w:tc>
        <w:tc>
          <w:tcPr>
            <w:tcW w:w="1170" w:type="dxa"/>
            <w:tcMar>
              <w:top w:w="60" w:type="dxa"/>
              <w:left w:w="100" w:type="dxa"/>
              <w:bottom w:w="60" w:type="dxa"/>
              <w:right w:w="100" w:type="dxa"/>
            </w:tcMar>
          </w:tcPr>
          <w:p w14:paraId="457ED34E" w14:textId="77777777" w:rsidR="00002083" w:rsidRDefault="00F050D8">
            <w:pPr>
              <w:spacing w:line="240" w:lineRule="auto"/>
              <w:jc w:val="center"/>
            </w:pPr>
            <w:r>
              <w:rPr>
                <w:sz w:val="22"/>
                <w:szCs w:val="22"/>
              </w:rPr>
              <w:t>0,308</w:t>
            </w:r>
          </w:p>
        </w:tc>
        <w:tc>
          <w:tcPr>
            <w:tcW w:w="1170" w:type="dxa"/>
            <w:tcMar>
              <w:top w:w="60" w:type="dxa"/>
              <w:left w:w="100" w:type="dxa"/>
              <w:bottom w:w="60" w:type="dxa"/>
              <w:right w:w="100" w:type="dxa"/>
            </w:tcMar>
          </w:tcPr>
          <w:p w14:paraId="2D7D36DF" w14:textId="77777777" w:rsidR="00002083" w:rsidRDefault="00F050D8">
            <w:pPr>
              <w:spacing w:line="240" w:lineRule="auto"/>
              <w:jc w:val="center"/>
            </w:pPr>
            <w:r>
              <w:rPr>
                <w:sz w:val="22"/>
                <w:szCs w:val="22"/>
              </w:rPr>
              <w:t>0,000</w:t>
            </w:r>
          </w:p>
        </w:tc>
        <w:tc>
          <w:tcPr>
            <w:tcW w:w="1170" w:type="dxa"/>
            <w:tcMar>
              <w:top w:w="60" w:type="dxa"/>
              <w:left w:w="100" w:type="dxa"/>
              <w:bottom w:w="60" w:type="dxa"/>
              <w:right w:w="100" w:type="dxa"/>
            </w:tcMar>
          </w:tcPr>
          <w:p w14:paraId="37AED331" w14:textId="77777777" w:rsidR="00002083" w:rsidRDefault="00F050D8">
            <w:pPr>
              <w:spacing w:line="240" w:lineRule="auto"/>
              <w:jc w:val="center"/>
            </w:pPr>
            <w:r>
              <w:rPr>
                <w:sz w:val="22"/>
                <w:szCs w:val="22"/>
              </w:rPr>
              <w:t>0,000</w:t>
            </w:r>
          </w:p>
        </w:tc>
        <w:tc>
          <w:tcPr>
            <w:tcW w:w="1170" w:type="dxa"/>
            <w:tcMar>
              <w:top w:w="60" w:type="dxa"/>
              <w:left w:w="100" w:type="dxa"/>
              <w:bottom w:w="60" w:type="dxa"/>
              <w:right w:w="100" w:type="dxa"/>
            </w:tcMar>
          </w:tcPr>
          <w:p w14:paraId="48E8D1E5" w14:textId="77777777" w:rsidR="00002083" w:rsidRDefault="00F050D8">
            <w:pPr>
              <w:spacing w:line="240" w:lineRule="auto"/>
              <w:jc w:val="center"/>
            </w:pPr>
            <w:r>
              <w:rPr>
                <w:sz w:val="22"/>
                <w:szCs w:val="22"/>
              </w:rPr>
              <w:t>0,000</w:t>
            </w:r>
          </w:p>
        </w:tc>
        <w:tc>
          <w:tcPr>
            <w:tcW w:w="1170" w:type="dxa"/>
            <w:tcMar>
              <w:top w:w="60" w:type="dxa"/>
              <w:left w:w="100" w:type="dxa"/>
              <w:bottom w:w="60" w:type="dxa"/>
              <w:right w:w="100" w:type="dxa"/>
            </w:tcMar>
          </w:tcPr>
          <w:p w14:paraId="26C928E4" w14:textId="77777777" w:rsidR="00002083" w:rsidRDefault="00F050D8">
            <w:pPr>
              <w:spacing w:line="240" w:lineRule="auto"/>
              <w:jc w:val="center"/>
            </w:pPr>
            <w:r>
              <w:rPr>
                <w:sz w:val="22"/>
                <w:szCs w:val="22"/>
              </w:rPr>
              <w:t>0,923</w:t>
            </w:r>
          </w:p>
        </w:tc>
      </w:tr>
      <w:tr w:rsidR="00002083" w14:paraId="1E6798E8" w14:textId="77777777">
        <w:tc>
          <w:tcPr>
            <w:tcW w:w="1170" w:type="dxa"/>
            <w:tcBorders>
              <w:bottom w:val="single" w:sz="6" w:space="0" w:color="000000"/>
            </w:tcBorders>
            <w:tcMar>
              <w:top w:w="60" w:type="dxa"/>
              <w:left w:w="100" w:type="dxa"/>
              <w:bottom w:w="60" w:type="dxa"/>
              <w:right w:w="100" w:type="dxa"/>
            </w:tcMar>
          </w:tcPr>
          <w:p w14:paraId="4251648E" w14:textId="77777777" w:rsidR="00002083" w:rsidRDefault="00F050D8">
            <w:pPr>
              <w:spacing w:line="240" w:lineRule="auto"/>
            </w:pPr>
            <w:r>
              <w:rPr>
                <w:sz w:val="22"/>
                <w:szCs w:val="22"/>
              </w:rPr>
              <w:t>Aleatorio (semilla 0)</w:t>
            </w:r>
          </w:p>
        </w:tc>
        <w:tc>
          <w:tcPr>
            <w:tcW w:w="1170" w:type="dxa"/>
            <w:tcBorders>
              <w:bottom w:val="single" w:sz="6" w:space="0" w:color="000000"/>
            </w:tcBorders>
            <w:tcMar>
              <w:top w:w="60" w:type="dxa"/>
              <w:left w:w="100" w:type="dxa"/>
              <w:bottom w:w="60" w:type="dxa"/>
              <w:right w:w="100" w:type="dxa"/>
            </w:tcMar>
          </w:tcPr>
          <w:p w14:paraId="478B7161" w14:textId="77777777" w:rsidR="00002083" w:rsidRDefault="00F050D8">
            <w:pPr>
              <w:spacing w:line="240" w:lineRule="auto"/>
              <w:jc w:val="center"/>
            </w:pPr>
            <w:r>
              <w:rPr>
                <w:sz w:val="22"/>
                <w:szCs w:val="22"/>
              </w:rPr>
              <w:t>320</w:t>
            </w:r>
          </w:p>
        </w:tc>
        <w:tc>
          <w:tcPr>
            <w:tcW w:w="1170" w:type="dxa"/>
            <w:tcBorders>
              <w:bottom w:val="single" w:sz="6" w:space="0" w:color="000000"/>
            </w:tcBorders>
            <w:tcMar>
              <w:top w:w="60" w:type="dxa"/>
              <w:left w:w="100" w:type="dxa"/>
              <w:bottom w:w="60" w:type="dxa"/>
              <w:right w:w="100" w:type="dxa"/>
            </w:tcMar>
          </w:tcPr>
          <w:p w14:paraId="4B896F41" w14:textId="77777777" w:rsidR="00002083" w:rsidRDefault="00F050D8">
            <w:pPr>
              <w:spacing w:line="240" w:lineRule="auto"/>
              <w:jc w:val="center"/>
            </w:pPr>
            <w:r>
              <w:rPr>
                <w:sz w:val="22"/>
                <w:szCs w:val="22"/>
              </w:rPr>
              <w:t>0,716</w:t>
            </w:r>
          </w:p>
        </w:tc>
        <w:tc>
          <w:tcPr>
            <w:tcW w:w="1170" w:type="dxa"/>
            <w:tcBorders>
              <w:bottom w:val="single" w:sz="6" w:space="0" w:color="000000"/>
            </w:tcBorders>
            <w:tcMar>
              <w:top w:w="60" w:type="dxa"/>
              <w:left w:w="100" w:type="dxa"/>
              <w:bottom w:w="60" w:type="dxa"/>
              <w:right w:w="100" w:type="dxa"/>
            </w:tcMar>
          </w:tcPr>
          <w:p w14:paraId="727DE25B" w14:textId="77777777" w:rsidR="00002083" w:rsidRDefault="00F050D8">
            <w:pPr>
              <w:spacing w:line="240" w:lineRule="auto"/>
              <w:jc w:val="center"/>
            </w:pPr>
            <w:r>
              <w:rPr>
                <w:b/>
                <w:bCs/>
                <w:sz w:val="22"/>
                <w:szCs w:val="22"/>
              </w:rPr>
              <w:t>0,320</w:t>
            </w:r>
          </w:p>
        </w:tc>
        <w:tc>
          <w:tcPr>
            <w:tcW w:w="1170" w:type="dxa"/>
            <w:tcBorders>
              <w:bottom w:val="single" w:sz="6" w:space="0" w:color="000000"/>
            </w:tcBorders>
            <w:tcMar>
              <w:top w:w="60" w:type="dxa"/>
              <w:left w:w="100" w:type="dxa"/>
              <w:bottom w:w="60" w:type="dxa"/>
              <w:right w:w="100" w:type="dxa"/>
            </w:tcMar>
          </w:tcPr>
          <w:p w14:paraId="6261C3C7" w14:textId="77777777" w:rsidR="00002083" w:rsidRDefault="00F050D8">
            <w:pPr>
              <w:spacing w:line="240" w:lineRule="auto"/>
              <w:jc w:val="center"/>
            </w:pPr>
            <w:r>
              <w:rPr>
                <w:b/>
                <w:bCs/>
                <w:sz w:val="22"/>
                <w:szCs w:val="22"/>
              </w:rPr>
              <w:t>0,065</w:t>
            </w:r>
          </w:p>
        </w:tc>
        <w:tc>
          <w:tcPr>
            <w:tcW w:w="1170" w:type="dxa"/>
            <w:tcBorders>
              <w:bottom w:val="single" w:sz="6" w:space="0" w:color="000000"/>
            </w:tcBorders>
            <w:tcMar>
              <w:top w:w="60" w:type="dxa"/>
              <w:left w:w="100" w:type="dxa"/>
              <w:bottom w:w="60" w:type="dxa"/>
              <w:right w:w="100" w:type="dxa"/>
            </w:tcMar>
          </w:tcPr>
          <w:p w14:paraId="5BA099E9" w14:textId="77777777" w:rsidR="00002083" w:rsidRDefault="00F050D8">
            <w:pPr>
              <w:spacing w:line="240" w:lineRule="auto"/>
              <w:jc w:val="center"/>
            </w:pPr>
            <w:r>
              <w:rPr>
                <w:sz w:val="22"/>
                <w:szCs w:val="22"/>
              </w:rPr>
              <w:t>0,000</w:t>
            </w:r>
          </w:p>
        </w:tc>
        <w:tc>
          <w:tcPr>
            <w:tcW w:w="1170" w:type="dxa"/>
            <w:tcBorders>
              <w:bottom w:val="single" w:sz="6" w:space="0" w:color="000000"/>
            </w:tcBorders>
            <w:tcMar>
              <w:top w:w="60" w:type="dxa"/>
              <w:left w:w="100" w:type="dxa"/>
              <w:bottom w:w="60" w:type="dxa"/>
              <w:right w:w="100" w:type="dxa"/>
            </w:tcMar>
          </w:tcPr>
          <w:p w14:paraId="3B3D59B5" w14:textId="77777777" w:rsidR="00002083" w:rsidRDefault="00F050D8">
            <w:pPr>
              <w:spacing w:line="240" w:lineRule="auto"/>
              <w:jc w:val="center"/>
            </w:pPr>
            <w:r>
              <w:rPr>
                <w:sz w:val="22"/>
                <w:szCs w:val="22"/>
              </w:rPr>
              <w:t>0,125</w:t>
            </w:r>
          </w:p>
        </w:tc>
        <w:tc>
          <w:tcPr>
            <w:tcW w:w="1170" w:type="dxa"/>
            <w:tcBorders>
              <w:bottom w:val="single" w:sz="6" w:space="0" w:color="000000"/>
            </w:tcBorders>
            <w:tcMar>
              <w:top w:w="60" w:type="dxa"/>
              <w:left w:w="100" w:type="dxa"/>
              <w:bottom w:w="60" w:type="dxa"/>
              <w:right w:w="100" w:type="dxa"/>
            </w:tcMar>
          </w:tcPr>
          <w:p w14:paraId="3BA75B55" w14:textId="77777777" w:rsidR="00002083" w:rsidRDefault="00F050D8">
            <w:pPr>
              <w:spacing w:line="240" w:lineRule="auto"/>
              <w:jc w:val="center"/>
            </w:pPr>
            <w:r>
              <w:rPr>
                <w:sz w:val="22"/>
                <w:szCs w:val="22"/>
              </w:rPr>
              <w:t>0,835</w:t>
            </w:r>
          </w:p>
        </w:tc>
      </w:tr>
    </w:tbl>
    <w:p w14:paraId="0761CBA2" w14:textId="77777777" w:rsidR="00002083" w:rsidRDefault="00F050D8">
      <w:pPr>
        <w:spacing w:after="240"/>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/evidencias/m2-baselines.json</w:t>
      </w:r>
      <w:r>
        <w:t>.</w:t>
      </w:r>
    </w:p>
    <w:p w14:paraId="4DCDC70A" w14:textId="77777777" w:rsidR="00002083" w:rsidRDefault="00F050D8">
      <w:pPr>
        <w:ind w:firstLine="720"/>
      </w:pPr>
      <w:r>
        <w:t xml:space="preserve">Léase por columnas y el punto salta a la vista. </w:t>
      </w:r>
      <w:r>
        <w:rPr>
          <w:b/>
          <w:bCs/>
        </w:rPr>
        <w:t>Por exactitud, el trivial le gana al aleatorio por 14 puntos porcentuales; por F1 macro, el aleatorio le gana al trivial.</w:t>
      </w:r>
      <w:r>
        <w:t xml:space="preserve"> Las dos métricas ordenan los mismos dos modelos en sentidos opuestos.</w:t>
      </w:r>
    </w:p>
    <w:p w14:paraId="6A59A585" w14:textId="77777777" w:rsidR="00002083" w:rsidRDefault="00F050D8">
      <w:pPr>
        <w:ind w:firstLine="720"/>
      </w:pPr>
      <w:r>
        <w:t xml:space="preserve">La razón es que el aleatorio, por puro azar, anuncia algunos giros y acierta unos pocos —3 de los 46 extremos reales del bloque—, mientras que el trivial nunca anuncia ninguno. En términos del problema que nos pusieron, adivinar al azar es preferible a no intentarlo, y la exactitud dice lo contrario. </w:t>
      </w:r>
      <w:r>
        <w:rPr>
          <w:b/>
          <w:bCs/>
        </w:rPr>
        <w:t>Si la métrica de decisión fuera la exactitud, el proyecto premiaría al modelo que no hace nada.</w:t>
      </w:r>
    </w:p>
    <w:p w14:paraId="0C2FC5D2" w14:textId="77777777" w:rsidR="00002083" w:rsidRDefault="00F050D8">
      <w:pPr>
        <w:ind w:firstLine="720"/>
      </w:pPr>
      <w:r>
        <w:t xml:space="preserve">Dos observaciones más, por honestidad. El </w:t>
      </w:r>
      <w:proofErr w:type="spellStart"/>
      <w:r>
        <w:t>baseline</w:t>
      </w:r>
      <w:proofErr w:type="spellEnd"/>
      <w:r>
        <w:t xml:space="preserve"> </w:t>
      </w:r>
      <w:r>
        <w:rPr>
          <w:b/>
          <w:bCs/>
        </w:rPr>
        <w:t>mayoritario da exactamente lo mismo que el trivial</w:t>
      </w:r>
      <w:r>
        <w:t xml:space="preserve">, y no es casualidad: con </w:t>
      </w:r>
      <w:r>
        <w:rPr>
          <w:rFonts w:ascii="Courier New" w:eastAsia="Courier New" w:hAnsi="Courier New" w:cs="Courier New"/>
          <w:sz w:val="22"/>
          <w:szCs w:val="22"/>
        </w:rPr>
        <w:t>w = 5</w:t>
      </w:r>
      <w:r>
        <w:t xml:space="preserve"> la clase más frecuente en entrenamiento es Continuidad. Se mantienen separados porque si alguna combinación de </w:t>
      </w:r>
      <w:r>
        <w:rPr>
          <w:rFonts w:ascii="Courier New" w:eastAsia="Courier New" w:hAnsi="Courier New" w:cs="Courier New"/>
          <w:sz w:val="22"/>
          <w:szCs w:val="22"/>
        </w:rPr>
        <w:t>(w, h)</w:t>
      </w:r>
      <w:r>
        <w:t xml:space="preserve"> cambiara la clase dominante, el mayoritario lo reflejaría y el trivial no. Y el aleatorio tiene </w:t>
      </w:r>
      <w:r>
        <w:rPr>
          <w:b/>
          <w:bCs/>
        </w:rPr>
        <w:t>F1 de Máximo igual a 0,000</w:t>
      </w:r>
      <w:r>
        <w:t xml:space="preserve">: acertó algún mínimo por </w:t>
      </w:r>
      <w:proofErr w:type="gramStart"/>
      <w:r>
        <w:t>azar</w:t>
      </w:r>
      <w:proofErr w:type="gramEnd"/>
      <w:r>
        <w:t xml:space="preserve"> pero ningún máximo, lo cual con 24 máximos reales en 320 velas es esperable y recuerda que un número de una sola semilla tiene varianza.</w:t>
      </w:r>
    </w:p>
    <w:p w14:paraId="1FC4CF59" w14:textId="77777777" w:rsidR="00002083" w:rsidRDefault="00F050D8">
      <w:pPr>
        <w:pStyle w:val="Ttulo2"/>
        <w:keepNext/>
      </w:pPr>
      <w:bookmarkStart w:id="27" w:name="_Toc237941085"/>
      <w:r>
        <w:lastRenderedPageBreak/>
        <w:t>3. Las métricas que sí usamos</w:t>
      </w:r>
      <w:bookmarkEnd w:id="27"/>
    </w:p>
    <w:p w14:paraId="5C535CCD" w14:textId="77777777" w:rsidR="00002083" w:rsidRDefault="00F050D8">
      <w:pPr>
        <w:ind w:firstLine="720"/>
      </w:pPr>
      <w:r>
        <w:t>Todas provienen de una única función compartida. Que haya una sola implementación no es burocracia: si dos personas calcularan el F1 con criterios distintos, la comparación entre el modelo fundacional y el avanzado —que es la conclusión central del proyecto— dejaría de ser una comparación.</w:t>
      </w:r>
    </w:p>
    <w:p w14:paraId="051C0BA7" w14:textId="77777777" w:rsidR="00002083" w:rsidRDefault="00F050D8">
      <w:pPr>
        <w:pStyle w:val="Ttulo3"/>
        <w:keepNext/>
      </w:pPr>
      <w:bookmarkStart w:id="28" w:name="_Toc237941086"/>
      <w:r>
        <w:t>3.1 F1-Score por clase</w:t>
      </w:r>
      <w:bookmarkEnd w:id="28"/>
    </w:p>
    <w:p w14:paraId="1FF7BDB7" w14:textId="77777777" w:rsidR="00002083" w:rsidRDefault="00F050D8">
      <w:pPr>
        <w:ind w:firstLine="720"/>
      </w:pPr>
      <w:r>
        <w:t xml:space="preserve">El F1 combina dos preguntas sobre una misma clase. La </w:t>
      </w:r>
      <w:r>
        <w:rPr>
          <w:b/>
          <w:bCs/>
        </w:rPr>
        <w:t>precisión</w:t>
      </w:r>
      <w:r>
        <w:t xml:space="preserve">: de todos los giros que el modelo anunció, cuántos eran de verdad giros, o sea cuánto cuesta creerle cuando habla. Y la </w:t>
      </w:r>
      <w:r>
        <w:rPr>
          <w:b/>
          <w:bCs/>
        </w:rPr>
        <w:t>exhaustividad</w:t>
      </w:r>
      <w:r>
        <w:t xml:space="preserve"> (</w:t>
      </w:r>
      <w:proofErr w:type="spellStart"/>
      <w:r>
        <w:rPr>
          <w:i/>
          <w:iCs/>
        </w:rPr>
        <w:t>recall</w:t>
      </w:r>
      <w:proofErr w:type="spellEnd"/>
      <w:r>
        <w:t>): de todos los giros que ocurrieron, cuántos anunció, o sea cuánto se pierde.</w:t>
      </w:r>
    </w:p>
    <w:p w14:paraId="7E35EA39" w14:textId="77777777" w:rsidR="00002083" w:rsidRDefault="00F050D8">
      <w:pPr>
        <w:ind w:firstLine="720"/>
      </w:pPr>
      <w:r>
        <w:t xml:space="preserve">El F1 es su </w:t>
      </w:r>
      <w:r>
        <w:rPr>
          <w:b/>
          <w:bCs/>
        </w:rPr>
        <w:t>media armónica</w:t>
      </w:r>
      <w:r>
        <w:t xml:space="preserve">: </w:t>
      </w:r>
      <w:r>
        <w:rPr>
          <w:rFonts w:ascii="Courier New" w:eastAsia="Courier New" w:hAnsi="Courier New" w:cs="Courier New"/>
          <w:sz w:val="22"/>
          <w:szCs w:val="22"/>
        </w:rPr>
        <w:t>F1 = 2·P·R / (P+R)</w:t>
      </w:r>
      <w:r>
        <w:t xml:space="preserve">. Se usa la armónica y no la aritmética porque está dominada por el término más pequeño y por tanto </w:t>
      </w:r>
      <w:r>
        <w:rPr>
          <w:b/>
          <w:bCs/>
        </w:rPr>
        <w:t>castiga el desequilibrio entre las dos</w:t>
      </w:r>
      <w:r>
        <w:t>. Un modelo con precisión 1,00 y exhaustividad 0,02 —anuncia un solo giro en toda la serie y acierta— tiene media aritmética 0,51, que suena aceptable, y F1 de 0,039, que es lo que corresponde. En un problema donde es trivial obtener precisión perfecta a costa de no anunciar casi nada, esa propiedad es la que hace falta.</w:t>
      </w:r>
    </w:p>
    <w:p w14:paraId="75677741" w14:textId="77777777" w:rsidR="00002083" w:rsidRDefault="00F050D8">
      <w:pPr>
        <w:ind w:firstLine="720"/>
      </w:pPr>
      <w:r>
        <w:t xml:space="preserve">Reportarlo </w:t>
      </w:r>
      <w:r>
        <w:rPr>
          <w:b/>
          <w:bCs/>
        </w:rPr>
        <w:t>por clase</w:t>
      </w:r>
      <w:r>
        <w:t xml:space="preserve"> y no solo agregado es indispensable, porque las tres clases tienen dificultades muy distintas: Continuidad es fácil por abundancia, y Máximo y Mínimo son el objetivo real. En la Tabla 3 se ve que el número agregado esconde dos ceros.</w:t>
      </w:r>
    </w:p>
    <w:p w14:paraId="1D56DDD8" w14:textId="77777777" w:rsidR="00002083" w:rsidRDefault="00F050D8">
      <w:pPr>
        <w:ind w:firstLine="720"/>
      </w:pPr>
      <w:r>
        <w:t xml:space="preserve">Que el par precisión-exhaustividad sea el adecuado no es una preferencia: Saito y </w:t>
      </w:r>
      <w:proofErr w:type="spellStart"/>
      <w:r>
        <w:t>Rehmsmeier</w:t>
      </w:r>
      <w:proofErr w:type="spellEnd"/>
      <w:r>
        <w:t xml:space="preserve"> (2015) muestran que, con clases fuertemente desbalanceadas, las medidas construidas sobre precisión y exhaustividad reflejan el rendimiento sobre la clase rara mucho </w:t>
      </w:r>
      <w:r>
        <w:lastRenderedPageBreak/>
        <w:t>mejor que las basadas en la tasa de falsos positivos, porque esta se diluye contra una clase mayoritaria muy grande.</w:t>
      </w:r>
    </w:p>
    <w:p w14:paraId="28896A3B" w14:textId="77777777" w:rsidR="00002083" w:rsidRDefault="00F050D8">
      <w:pPr>
        <w:ind w:firstLine="720"/>
      </w:pPr>
      <w:r>
        <w:rPr>
          <w:b/>
          <w:bCs/>
        </w:rPr>
        <w:t>Una limitación del F1 que conviene declarar nosotros.</w:t>
      </w:r>
      <w:r>
        <w:t xml:space="preserve"> Ignora los verdaderos negativos y no es simétrico entre clases, y por eso hay literatura que propone el coeficiente de correlación de Matthews como alternativa más informativa (Chicco &amp; Jurman, 2020). No lo adoptamos como métrica principal porque el enunciado pide F1-Score explícitamente y cambiar la métrica de decisión por cuenta propia rompería la comparabilidad con lo solicitado. Queda anotado como limitación conocida y no como algo que se nos haya pasado.</w:t>
      </w:r>
    </w:p>
    <w:p w14:paraId="3ABD2D34" w14:textId="77777777" w:rsidR="00002083" w:rsidRDefault="00F050D8">
      <w:pPr>
        <w:pStyle w:val="Ttulo3"/>
        <w:keepNext/>
      </w:pPr>
      <w:bookmarkStart w:id="29" w:name="_Toc237941087"/>
      <w:r>
        <w:t>3.2 F1 macro, y por qué no ponderado</w:t>
      </w:r>
      <w:bookmarkEnd w:id="29"/>
    </w:p>
    <w:p w14:paraId="067C0095" w14:textId="77777777" w:rsidR="00002083" w:rsidRDefault="00F050D8">
      <w:pPr>
        <w:ind w:firstLine="720"/>
      </w:pPr>
      <w:r>
        <w:t xml:space="preserve">El </w:t>
      </w:r>
      <w:r>
        <w:rPr>
          <w:b/>
          <w:bCs/>
        </w:rPr>
        <w:t>F1 macro</w:t>
      </w:r>
      <w:r>
        <w:t xml:space="preserve"> es el promedio simple de los tres F1 por clase; el </w:t>
      </w:r>
      <w:r>
        <w:rPr>
          <w:b/>
          <w:bCs/>
        </w:rPr>
        <w:t>ponderado</w:t>
      </w:r>
      <w:r>
        <w:t xml:space="preserve"> pesa cada clase por su frecuencia.</w:t>
      </w:r>
    </w:p>
    <w:p w14:paraId="5E2EFBB1" w14:textId="77777777" w:rsidR="00002083" w:rsidRDefault="00F050D8">
      <w:pPr>
        <w:ind w:firstLine="720"/>
      </w:pPr>
      <w:r>
        <w:t xml:space="preserve">La elección es macro y es deliberada. Con la distribución de la Tabla 2, el ponderado le daría a Continuidad un peso del 87 %, de modo que </w:t>
      </w:r>
      <w:r>
        <w:rPr>
          <w:b/>
          <w:bCs/>
        </w:rPr>
        <w:t>premiaría acertar precisamente la clase que un modelo inútil acierta bien</w:t>
      </w:r>
      <w:r>
        <w:t xml:space="preserve">: el </w:t>
      </w:r>
      <w:proofErr w:type="spellStart"/>
      <w:r>
        <w:t>baseline</w:t>
      </w:r>
      <w:proofErr w:type="spellEnd"/>
      <w:r>
        <w:t xml:space="preserve"> trivial tendría un F1 ponderado de aproximadamente 0,81 frente a su macro de 0,310. La misma predicción, dos números que cuentan historias opuestas.</w:t>
      </w:r>
    </w:p>
    <w:p w14:paraId="4B7A8B8B" w14:textId="77777777" w:rsidR="00002083" w:rsidRDefault="00F050D8">
      <w:pPr>
        <w:ind w:firstLine="720"/>
      </w:pPr>
      <w:r>
        <w:t xml:space="preserve">El macro da igual peso a las tres clases, así que un modelo solo obtiene un buen valor si aprende algo sobre las raras. Es la recomendación estándar cuando las clases minoritarias son las de interés (Sokolova &amp; Lapalme, 2009; He &amp; </w:t>
      </w:r>
      <w:proofErr w:type="spellStart"/>
      <w:r>
        <w:t>Garcia</w:t>
      </w:r>
      <w:proofErr w:type="spellEnd"/>
      <w:r>
        <w:t>, 2009).</w:t>
      </w:r>
    </w:p>
    <w:p w14:paraId="37482FF5" w14:textId="77777777" w:rsidR="00002083" w:rsidRDefault="00F050D8">
      <w:pPr>
        <w:ind w:firstLine="720"/>
      </w:pPr>
      <w:r>
        <w:t xml:space="preserve">Hay además un argumento formal contra los promedios ponderados por prevalencia. Farhadpour et al. (2024) muestran que, en clasificación multiclase de etiqueta única, el F1 </w:t>
      </w:r>
      <w:proofErr w:type="spellStart"/>
      <w:r>
        <w:t>micro-promediado</w:t>
      </w:r>
      <w:proofErr w:type="spellEnd"/>
      <w:r>
        <w:t xml:space="preserve"> es </w:t>
      </w:r>
      <w:r>
        <w:rPr>
          <w:b/>
          <w:bCs/>
        </w:rPr>
        <w:t>matemáticamente idéntico a la exactitud global</w:t>
      </w:r>
      <w:r>
        <w:t xml:space="preserve"> —reportarlo no agrega información— y advierten que los promedios ponderados por frecuencia quedan dominados por </w:t>
      </w:r>
      <w:r>
        <w:lastRenderedPageBreak/>
        <w:t>las clases mayoritarias. El macro es la única de las tres variantes que puede ordenar los modelos por lo que nos importa.</w:t>
      </w:r>
    </w:p>
    <w:p w14:paraId="6764A963" w14:textId="77777777" w:rsidR="00002083" w:rsidRDefault="00F050D8">
      <w:pPr>
        <w:ind w:firstLine="720"/>
      </w:pPr>
      <w:r>
        <w:rPr>
          <w:b/>
          <w:bCs/>
        </w:rPr>
        <w:t xml:space="preserve">Lo que hay que </w:t>
      </w:r>
      <w:proofErr w:type="gramStart"/>
      <w:r>
        <w:rPr>
          <w:b/>
          <w:bCs/>
        </w:rPr>
        <w:t>declarar como</w:t>
      </w:r>
      <w:proofErr w:type="gramEnd"/>
      <w:r>
        <w:rPr>
          <w:b/>
          <w:bCs/>
        </w:rPr>
        <w:t xml:space="preserve"> costo:</w:t>
      </w:r>
      <w:r>
        <w:t xml:space="preserve"> el macro tiene mayor varianza. Con 24 máximos en el bloque de prueba, unos pocos aciertos mueven el F1 de esa clase de forma apreciable, y como el macro la pesa a un tercio, el ruido se propaga al número final. Por eso la comparación entre modelos exige un margen mínimo (</w:t>
      </w:r>
      <w:r>
        <w:rPr>
          <w:rFonts w:ascii="Courier New" w:eastAsia="Courier New" w:hAnsi="Courier New" w:cs="Courier New"/>
          <w:sz w:val="22"/>
          <w:szCs w:val="22"/>
        </w:rPr>
        <w:t>DELTA_F1_DECISIVO = 0,02</w:t>
      </w:r>
      <w:r>
        <w:t>) fijado antes de medir, en lugar de declarar ganador a cualquier diferencia positiva.</w:t>
      </w:r>
    </w:p>
    <w:p w14:paraId="1BC31D93" w14:textId="77777777" w:rsidR="00002083" w:rsidRDefault="00F050D8">
      <w:pPr>
        <w:pStyle w:val="Ttulo3"/>
        <w:keepNext/>
      </w:pPr>
      <w:bookmarkStart w:id="30" w:name="_Toc237941088"/>
      <w:r>
        <w:t>3.3 Precisión direccional</w:t>
      </w:r>
      <w:bookmarkEnd w:id="30"/>
    </w:p>
    <w:p w14:paraId="27524561" w14:textId="77777777" w:rsidR="00002083" w:rsidRDefault="00F050D8">
      <w:pPr>
        <w:ind w:firstLine="720"/>
      </w:pPr>
      <w:r>
        <w:rPr>
          <w:b/>
          <w:bCs/>
        </w:rPr>
        <w:t>Definición adoptada:</w:t>
      </w:r>
      <w:r>
        <w:t xml:space="preserve"> de todas las velas que de verdad fueron Máximo o Mínimo, qué fracción se anunció con el tipo correcto. Las velas de Continuidad se ignoran, porque acertar "aquí no pasa nada" no es acertar una dirección.</w:t>
      </w:r>
    </w:p>
    <w:p w14:paraId="1A3C5DD4" w14:textId="77777777" w:rsidR="00002083" w:rsidRDefault="00F050D8">
      <w:pPr>
        <w:ind w:firstLine="720"/>
      </w:pPr>
      <w:r>
        <w:rPr>
          <w:b/>
          <w:bCs/>
        </w:rPr>
        <w:t>Esta definición es nuestra y hay que decirlo.</w:t>
      </w:r>
      <w:r>
        <w:t xml:space="preserve"> El enunciado pide Precisión Direccional sin precisar qué significa en un problema de tres clases; el término proviene de la literatura de pronóstico, donde se aplica a modelos de regresión y mide la fracción de períodos en que se acierta el signo del cambio (</w:t>
      </w:r>
      <w:proofErr w:type="spellStart"/>
      <w:r>
        <w:t>Blaskowitz</w:t>
      </w:r>
      <w:proofErr w:type="spellEnd"/>
      <w:r>
        <w:t xml:space="preserve"> &amp; </w:t>
      </w:r>
      <w:proofErr w:type="spellStart"/>
      <w:r>
        <w:t>Herwartz</w:t>
      </w:r>
      <w:proofErr w:type="spellEnd"/>
      <w:r>
        <w:t>, 2011). Trasladarlo a un problema multiclase admite más de una lectura, así que adoptamos una, la documentamos en un solo lugar y la consultamos con el profesor.</w:t>
      </w:r>
    </w:p>
    <w:p w14:paraId="18E83B5A" w14:textId="77777777" w:rsidR="00002083" w:rsidRDefault="00F050D8">
      <w:pPr>
        <w:ind w:firstLine="720"/>
      </w:pPr>
      <w:r>
        <w:t xml:space="preserve">Dos propiedades de la implementación. </w:t>
      </w:r>
      <w:r>
        <w:rPr>
          <w:b/>
          <w:bCs/>
        </w:rPr>
        <w:t xml:space="preserve">Devuelve </w:t>
      </w:r>
      <w:r>
        <w:rPr>
          <w:rFonts w:ascii="Courier New" w:eastAsia="Courier New" w:hAnsi="Courier New" w:cs="Courier New"/>
          <w:b/>
          <w:bCs/>
          <w:sz w:val="22"/>
          <w:szCs w:val="22"/>
        </w:rPr>
        <w:t>NaN</w:t>
      </w:r>
      <w:r>
        <w:rPr>
          <w:b/>
          <w:bCs/>
        </w:rPr>
        <w:t xml:space="preserve"> y no 0,0 cuando en el período evaluado no hubo ningún extremo real</w:t>
      </w:r>
      <w:r>
        <w:t xml:space="preserve">, porque no hubo nada que acertar y un cero se leería como fracaso del modelo en lugar de como ausencia de evidencia. Y </w:t>
      </w:r>
      <w:r>
        <w:rPr>
          <w:b/>
          <w:bCs/>
        </w:rPr>
        <w:t>es ciega a los falsos positivos</w:t>
      </w:r>
      <w:r>
        <w:t xml:space="preserve">: un modelo que anunciara "Máximo" en todas las velas obtendría cerca de 0,50 —sobre el bloque de prueba, 24 de 46, esto es 0,52— pese a ser inservible. Por eso </w:t>
      </w:r>
      <w:r>
        <w:rPr>
          <w:b/>
          <w:bCs/>
        </w:rPr>
        <w:t>nunca se reporta sola</w:t>
      </w:r>
      <w:r>
        <w:t>: acompaña al F1 macro, que sí penaliza los falsos positivos.</w:t>
      </w:r>
    </w:p>
    <w:p w14:paraId="20399B0D" w14:textId="77777777" w:rsidR="00002083" w:rsidRDefault="00F050D8">
      <w:pPr>
        <w:pStyle w:val="Ttulo3"/>
        <w:keepNext/>
      </w:pPr>
      <w:bookmarkStart w:id="31" w:name="_Toc237941089"/>
      <w:r>
        <w:lastRenderedPageBreak/>
        <w:t>3.4 Matriz de confusión</w:t>
      </w:r>
      <w:bookmarkEnd w:id="31"/>
    </w:p>
    <w:p w14:paraId="5CFE13C5" w14:textId="77777777" w:rsidR="00002083" w:rsidRDefault="00F050D8">
      <w:pPr>
        <w:ind w:firstLine="720"/>
      </w:pPr>
      <w:r>
        <w:t xml:space="preserve">Es la única de las cuatro que muestra </w:t>
      </w:r>
      <w:r>
        <w:rPr>
          <w:b/>
          <w:bCs/>
        </w:rPr>
        <w:t>qué tipo</w:t>
      </w:r>
      <w:r>
        <w:t xml:space="preserve"> de error comete el modelo, y aquí los tipos no son equivalentes. Confundir un extremo con Continuidad es un error de </w:t>
      </w:r>
      <w:r>
        <w:rPr>
          <w:i/>
          <w:iCs/>
        </w:rPr>
        <w:t>detección</w:t>
      </w:r>
      <w:r>
        <w:t xml:space="preserve">: el sistema se quedó callado cuando había algo que anunciar, y cuesta una oportunidad. Confundir un Máximo con un Mínimo es un error de </w:t>
      </w:r>
      <w:r>
        <w:rPr>
          <w:i/>
          <w:iCs/>
        </w:rPr>
        <w:t>dirección</w:t>
      </w:r>
      <w:r>
        <w:t>: el sistema anunció lo contrario de lo que pasaba, que en una aplicación real es la diferencia entre no operar y operar en el sentido equivocado.</w:t>
      </w:r>
    </w:p>
    <w:p w14:paraId="1A494270" w14:textId="77777777" w:rsidR="00002083" w:rsidRDefault="00F050D8">
      <w:pPr>
        <w:ind w:firstLine="720"/>
      </w:pPr>
      <w:r>
        <w:t xml:space="preserve">Ningún número agregado distingue esos dos casos; la matriz sí. En la Figura 15, el </w:t>
      </w:r>
      <w:proofErr w:type="spellStart"/>
      <w:r>
        <w:t>baseline</w:t>
      </w:r>
      <w:proofErr w:type="spellEnd"/>
      <w:r>
        <w:t xml:space="preserve"> trivial concentra todos sus errores en la columna de Continuidad: 24 máximos y 22 mínimos clasificados como "no pasa nada". No comete ni un solo error de dirección, porque nunca anuncia dirección alguna.</w:t>
      </w:r>
    </w:p>
    <w:p w14:paraId="07867C50" w14:textId="77777777" w:rsidR="00002083" w:rsidRDefault="00F050D8">
      <w:pPr>
        <w:pStyle w:val="Ttulo3"/>
        <w:keepNext/>
      </w:pPr>
      <w:bookmarkStart w:id="32" w:name="_Toc237941090"/>
      <w:r>
        <w:t>3.5 Exactitud</w:t>
      </w:r>
      <w:bookmarkEnd w:id="32"/>
    </w:p>
    <w:p w14:paraId="4D5BB053" w14:textId="77777777" w:rsidR="00002083" w:rsidRDefault="00F050D8">
      <w:pPr>
        <w:ind w:firstLine="720"/>
      </w:pPr>
      <w:r>
        <w:t xml:space="preserve">Se reporta, pero </w:t>
      </w:r>
      <w:r>
        <w:rPr>
          <w:b/>
          <w:bCs/>
        </w:rPr>
        <w:t>solo para mostrar por qué no sirve</w:t>
      </w:r>
      <w:r>
        <w:t>. Las Tablas 3 y 3 son el argumento completo, y tenerlo medido es más convincente que argumentarlo.</w:t>
      </w:r>
    </w:p>
    <w:p w14:paraId="518840E2" w14:textId="77777777" w:rsidR="00002083" w:rsidRDefault="00F050D8">
      <w:pPr>
        <w:pStyle w:val="Ttulo2"/>
        <w:keepNext/>
      </w:pPr>
      <w:bookmarkStart w:id="33" w:name="_Toc237941091"/>
      <w:r>
        <w:t>4. Una advertencia sobre cómo leer la matriz de confusión de este problema</w:t>
      </w:r>
      <w:bookmarkEnd w:id="33"/>
    </w:p>
    <w:p w14:paraId="732E0B0B" w14:textId="77777777" w:rsidR="00002083" w:rsidRDefault="00F050D8">
      <w:pPr>
        <w:ind w:firstLine="720"/>
      </w:pPr>
      <w:r>
        <w:t xml:space="preserve">La medición de sensibilidad al ruido de la sección 8.4 de </w:t>
      </w:r>
      <w:r>
        <w:rPr>
          <w:rFonts w:ascii="Courier New" w:eastAsia="Courier New" w:hAnsi="Courier New" w:cs="Courier New"/>
          <w:sz w:val="22"/>
          <w:szCs w:val="22"/>
        </w:rPr>
        <w:t>m2-criptoactivos.md</w:t>
      </w:r>
      <w:r>
        <w:t xml:space="preserve"> condiciona la lectura de todas las métricas anteriores: </w:t>
      </w:r>
      <w:r>
        <w:rPr>
          <w:b/>
          <w:bCs/>
        </w:rPr>
        <w:t>el modo de fallo dominante del etiquetado bajo ruido no es perder giros, es correrlos una vela de lugar</w:t>
      </w:r>
      <w:r>
        <w:t xml:space="preserve">. Con un ruido equivalente al 72 % del movimiento típico por vela, el detector encuentra el 96,0 % de los giros </w:t>
      </w:r>
      <w:proofErr w:type="gramStart"/>
      <w:r>
        <w:t>verdaderos</w:t>
      </w:r>
      <w:proofErr w:type="gramEnd"/>
      <w:r>
        <w:t xml:space="preserve"> pero solo el 72,9 % cae en la vela exacta.</w:t>
      </w:r>
    </w:p>
    <w:p w14:paraId="486AA93F" w14:textId="77777777" w:rsidR="00002083" w:rsidRDefault="00F050D8">
      <w:pPr>
        <w:ind w:firstLine="720"/>
      </w:pPr>
      <w:r>
        <w:t xml:space="preserve">Las cuatro métricas de esta sección evalúan vela a vela, sin tolerancia temporal. Un modelo que anuncie un máximo una vela antes o después del real será penalizado igual que uno que no lo anuncie nunca: la matriz lo registrará como un falso positivo más un falso negativo en </w:t>
      </w:r>
      <w:r>
        <w:lastRenderedPageBreak/>
        <w:t xml:space="preserve">Máximo. </w:t>
      </w:r>
      <w:r>
        <w:rPr>
          <w:b/>
          <w:bCs/>
        </w:rPr>
        <w:t>Conviene tenerlo presente al interpretar los resultados</w:t>
      </w:r>
      <w:r>
        <w:t>, porque la diferencia entre "el modelo no detecta los giros" y "los detecta con un desfase de una vela" es enorme en términos prácticos y nula en términos de F1.</w:t>
      </w:r>
    </w:p>
    <w:p w14:paraId="3EEBA04A" w14:textId="77777777" w:rsidR="00002083" w:rsidRDefault="00F050D8">
      <w:pPr>
        <w:ind w:firstLine="720"/>
      </w:pPr>
      <w:r>
        <w:t xml:space="preserve">No proponemos cambiar las métricas: el enunciado pide estas y la comparación entre modelos tiene que hacerse sobre una definición fija. Lo que proponemos es </w:t>
      </w:r>
      <w:r>
        <w:rPr>
          <w:b/>
          <w:bCs/>
        </w:rPr>
        <w:t>reportar además la distribución del desfase temporal de las detecciones</w:t>
      </w:r>
      <w:r>
        <w:t>, que es información que las cuatro métricas oficiales no pueden expresar.</w:t>
      </w:r>
    </w:p>
    <w:p w14:paraId="70711EE1" w14:textId="77777777" w:rsidR="00002083" w:rsidRDefault="00F050D8">
      <w:pPr>
        <w:pStyle w:val="Ttulo2"/>
        <w:keepNext/>
      </w:pPr>
      <w:bookmarkStart w:id="34" w:name="_Toc237941092"/>
      <w:r>
        <w:t xml:space="preserve">5. El </w:t>
      </w:r>
      <w:proofErr w:type="spellStart"/>
      <w:r>
        <w:t>baseline</w:t>
      </w:r>
      <w:proofErr w:type="spellEnd"/>
      <w:r>
        <w:t xml:space="preserve"> como piso obligatorio</w:t>
      </w:r>
      <w:bookmarkEnd w:id="34"/>
    </w:p>
    <w:p w14:paraId="3EBAA270" w14:textId="77777777" w:rsidR="00002083" w:rsidRDefault="00F050D8">
      <w:pPr>
        <w:ind w:firstLine="720"/>
      </w:pPr>
      <w:r>
        <w:t>El criterio de decisión del proyecto, fijado antes de ver ningún resultado:</w:t>
      </w:r>
    </w:p>
    <w:p w14:paraId="18F6708A" w14:textId="77777777" w:rsidR="00002083" w:rsidRDefault="00F050D8">
      <w:pPr>
        <w:ind w:left="720"/>
      </w:pPr>
      <w:r>
        <w:rPr>
          <w:b/>
          <w:bCs/>
        </w:rPr>
        <w:t xml:space="preserve">Todo modelo se compara contra los tres </w:t>
      </w:r>
      <w:proofErr w:type="spellStart"/>
      <w:r>
        <w:rPr>
          <w:b/>
          <w:bCs/>
        </w:rPr>
        <w:t>baselines</w:t>
      </w:r>
      <w:proofErr w:type="spellEnd"/>
      <w:r>
        <w:rPr>
          <w:b/>
          <w:bCs/>
        </w:rPr>
        <w:t xml:space="preserve">, y si no supera al mejor de ellos en F1 macro por al menos </w:t>
      </w:r>
      <w:r>
        <w:rPr>
          <w:rFonts w:ascii="Courier New" w:eastAsia="Courier New" w:hAnsi="Courier New" w:cs="Courier New"/>
          <w:b/>
          <w:bCs/>
          <w:sz w:val="22"/>
          <w:szCs w:val="22"/>
        </w:rPr>
        <w:t>DELTA_F1_DECISIVO = 0,02</w:t>
      </w:r>
      <w:r>
        <w:rPr>
          <w:b/>
          <w:bCs/>
        </w:rPr>
        <w:t>, no aporta nada</w:t>
      </w:r>
      <w:r>
        <w:t xml:space="preserve"> —por mucho que su exactitud impresione en una lámina.</w:t>
      </w:r>
    </w:p>
    <w:p w14:paraId="41482D68" w14:textId="77777777" w:rsidR="00002083" w:rsidRDefault="00F050D8">
      <w:pPr>
        <w:ind w:firstLine="720"/>
      </w:pPr>
      <w:r>
        <w:t xml:space="preserve">Los tres existen porque cada uno descarta una explicación alternativa distinta. El </w:t>
      </w:r>
      <w:r>
        <w:rPr>
          <w:b/>
          <w:bCs/>
        </w:rPr>
        <w:t>trivial</w:t>
      </w:r>
      <w:r>
        <w:t xml:space="preserve"> descarta que el modelo esté simplemente explotando el desbalance. El </w:t>
      </w:r>
      <w:r>
        <w:rPr>
          <w:b/>
          <w:bCs/>
        </w:rPr>
        <w:t>mayoritario</w:t>
      </w:r>
      <w:r>
        <w:t xml:space="preserve"> descarta lo mismo sin asumir de antemano cuál es la clase dominante, de modo que sigue siendo válido si se cambia </w:t>
      </w:r>
      <w:r>
        <w:rPr>
          <w:rFonts w:ascii="Courier New" w:eastAsia="Courier New" w:hAnsi="Courier New" w:cs="Courier New"/>
          <w:sz w:val="22"/>
          <w:szCs w:val="22"/>
        </w:rPr>
        <w:t>(w, h)</w:t>
      </w:r>
      <w:r>
        <w:t xml:space="preserve">. Y el </w:t>
      </w:r>
      <w:r>
        <w:rPr>
          <w:b/>
          <w:bCs/>
        </w:rPr>
        <w:t>aleatorio</w:t>
      </w:r>
      <w:r>
        <w:t>, que respeta las frecuencias de clase, descarta que los aciertos sobre las clases raras se expliquen por la frecuencia con que se anuncian; es el más exigente en F1 macro, y por eso es el que hay que superar.</w:t>
      </w:r>
    </w:p>
    <w:p w14:paraId="0902CF5E" w14:textId="77777777" w:rsidR="00002083" w:rsidRDefault="00F050D8">
      <w:pPr>
        <w:ind w:firstLine="720"/>
      </w:pPr>
      <w:r>
        <w:t xml:space="preserve">Que el aleatorio resulte el piso más alto (0,320 contra 0,308 del trivial) es en sí mismo un resultado útil: </w:t>
      </w:r>
      <w:r>
        <w:rPr>
          <w:b/>
          <w:bCs/>
        </w:rPr>
        <w:t>fija la vara en el número correcto</w:t>
      </w:r>
      <w:r>
        <w:t xml:space="preserve">. Un modelo que reportara un F1 macro de 0,31 habría superado al </w:t>
      </w:r>
      <w:proofErr w:type="spellStart"/>
      <w:r>
        <w:t>baseline</w:t>
      </w:r>
      <w:proofErr w:type="spellEnd"/>
      <w:r>
        <w:t xml:space="preserve"> trivial sin demostrar nada.</w:t>
      </w:r>
    </w:p>
    <w:p w14:paraId="4BDA01CB" w14:textId="77777777" w:rsidR="00002083" w:rsidRDefault="00F050D8">
      <w:pPr>
        <w:pStyle w:val="Ttulo1"/>
        <w:keepNext/>
      </w:pPr>
      <w:bookmarkStart w:id="35" w:name="_Toc237941093"/>
      <w:r>
        <w:t>Conclusiones</w:t>
      </w:r>
      <w:bookmarkEnd w:id="35"/>
    </w:p>
    <w:p w14:paraId="0583AEE1" w14:textId="77777777" w:rsidR="00002083" w:rsidRDefault="00F050D8">
      <w:pPr>
        <w:ind w:firstLine="720"/>
      </w:pPr>
      <w:r>
        <w:rPr>
          <w:b/>
          <w:bCs/>
        </w:rPr>
        <w:t>Autor:</w:t>
      </w:r>
      <w:r>
        <w:t xml:space="preserve"> </w:t>
      </w:r>
      <w:proofErr w:type="spellStart"/>
      <w:r>
        <w:t>Fabrizio</w:t>
      </w:r>
      <w:proofErr w:type="spellEnd"/>
      <w:r>
        <w:t xml:space="preserve"> Espinoza Arce · Ensamblaje</w:t>
      </w:r>
    </w:p>
    <w:p w14:paraId="27D890F5" w14:textId="77777777" w:rsidR="00002083" w:rsidRDefault="00F050D8">
      <w:pPr>
        <w:ind w:firstLine="720"/>
      </w:pPr>
      <w:r>
        <w:lastRenderedPageBreak/>
        <w:t>El marco teórico desarrollado permite extraer cuatro conclusiones que condicionan de manera directa el diseño del modelo, y que se enuncian aquí porque no son consecuencia de la literatura consultada sino de las mediciones realizadas sobre los datos del proyecto.</w:t>
      </w:r>
    </w:p>
    <w:p w14:paraId="3A3DC8B7" w14:textId="77777777" w:rsidR="00002083" w:rsidRDefault="00F050D8">
      <w:pPr>
        <w:ind w:firstLine="720"/>
      </w:pPr>
      <w:r>
        <w:rPr>
          <w:b/>
          <w:bCs/>
        </w:rPr>
        <w:t>Primera. La transformación a retornos no es una convención, sino una consecuencia medida.</w:t>
      </w:r>
      <w:r>
        <w:t xml:space="preserve"> Ninguna de las seis series rechaza la hipótesis de raíz unitaria sobre precios en nivel, mientras que las seis la rechazan sobre retornos, y la autocorrelación en el primer rezago confirma el mismo hecho desde un ángulo distinto. En consecuencia, las características del modelo se construyen sobre retornos y sobre estadísticos normalizados por ventana, y no sobre magnitudes absolutas de precio.</w:t>
      </w:r>
    </w:p>
    <w:p w14:paraId="6F49F9C8" w14:textId="77777777" w:rsidR="00002083" w:rsidRDefault="00F050D8">
      <w:pPr>
        <w:ind w:firstLine="720"/>
      </w:pPr>
      <w:r>
        <w:rPr>
          <w:b/>
          <w:bCs/>
        </w:rPr>
        <w:t>Segunda. La ausencia de autocorrelación lineal en los retornos justifica el enfoque del proyecto.</w:t>
      </w:r>
      <w:r>
        <w:t xml:space="preserve"> De los cuarenta rezagos examinados, únicamente tres exceden la banda de confianza del 95 %. Un modelo lineal construido sobre precios rezagados dispondría, por tanto, de muy poca estructura que explotar. Lejos de constituir un resultado negativo, esta observación es el argumento medido que sustenta el recurso a modelos no lineales y multivariantes, que es precisamente el planteamiento del caso.</w:t>
      </w:r>
    </w:p>
    <w:p w14:paraId="04005DAE" w14:textId="77777777" w:rsidR="00002083" w:rsidRDefault="00F050D8">
      <w:pPr>
        <w:ind w:firstLine="720"/>
      </w:pPr>
      <w:r>
        <w:rPr>
          <w:b/>
          <w:bCs/>
        </w:rPr>
        <w:t xml:space="preserve">Tercera. La dependencia entre </w:t>
      </w:r>
      <w:proofErr w:type="spellStart"/>
      <w:r>
        <w:rPr>
          <w:b/>
          <w:bCs/>
        </w:rPr>
        <w:t>criptoactivos</w:t>
      </w:r>
      <w:proofErr w:type="spellEnd"/>
      <w:r>
        <w:rPr>
          <w:b/>
          <w:bCs/>
        </w:rPr>
        <w:t xml:space="preserve"> existe, pero debe medirse sobre retornos.</w:t>
      </w:r>
      <w:r>
        <w:t xml:space="preserve"> Calculada sobre precios en nivel, la correlación entre pares produce un ordenamiento económicamente implausible, al atribuir a </w:t>
      </w:r>
      <w:proofErr w:type="spellStart"/>
      <w:r>
        <w:t>Litecoin</w:t>
      </w:r>
      <w:proofErr w:type="spellEnd"/>
      <w:r>
        <w:t xml:space="preserve"> una relación casi nula con Bitcoin. Calculada sobre retornos, el rango se estrecha a la mitad y el ordenamiento resulta coherente con la estructura del mercado. La magnitud de esas correlaciones es lo que justifica que el problema se plantee como multivariante: si </w:t>
      </w:r>
      <w:proofErr w:type="spellStart"/>
      <w:r>
        <w:t>Litecoin</w:t>
      </w:r>
      <w:proofErr w:type="spellEnd"/>
      <w:r>
        <w:t xml:space="preserve"> se moviera de forma independiente, las cinco variables de apoyo serían redundantes.</w:t>
      </w:r>
    </w:p>
    <w:p w14:paraId="1D167E9B" w14:textId="77777777" w:rsidR="00002083" w:rsidRDefault="00F050D8">
      <w:pPr>
        <w:ind w:firstLine="720"/>
      </w:pPr>
      <w:r>
        <w:rPr>
          <w:b/>
          <w:bCs/>
        </w:rPr>
        <w:lastRenderedPageBreak/>
        <w:t>Cuarta. El desbalance de clases es estructural y determina la elección de las métricas.</w:t>
      </w:r>
      <w:r>
        <w:t xml:space="preserve"> Puesto que dos máximos no pueden situarse a menos de </w:t>
      </w:r>
      <w:r>
        <w:rPr>
          <w:rFonts w:ascii="Courier New" w:eastAsia="Courier New" w:hAnsi="Courier New" w:cs="Courier New"/>
          <w:sz w:val="22"/>
          <w:szCs w:val="22"/>
        </w:rPr>
        <w:t>w+1</w:t>
      </w:r>
      <w:r>
        <w:t xml:space="preserve"> observaciones de distancia, a lo sumo una de cada </w:t>
      </w:r>
      <w:r>
        <w:rPr>
          <w:rFonts w:ascii="Courier New" w:eastAsia="Courier New" w:hAnsi="Courier New" w:cs="Courier New"/>
          <w:sz w:val="22"/>
          <w:szCs w:val="22"/>
        </w:rPr>
        <w:t>w+</w:t>
      </w:r>
      <w:proofErr w:type="gramStart"/>
      <w:r>
        <w:rPr>
          <w:rFonts w:ascii="Courier New" w:eastAsia="Courier New" w:hAnsi="Courier New" w:cs="Courier New"/>
          <w:sz w:val="22"/>
          <w:szCs w:val="22"/>
        </w:rPr>
        <w:t>1</w:t>
      </w:r>
      <w:r>
        <w:t xml:space="preserve"> velas puede</w:t>
      </w:r>
      <w:proofErr w:type="gramEnd"/>
      <w:r>
        <w:t xml:space="preserve"> clasificarse como máximo. El desbalance no es, por tanto, un defecto de la muestra que pueda corregirse recogiendo mejor los datos, sino una propiedad permanente del problema. Su consecuencia es directa: un modelo que no detecte ningún punto de inflexión alcanza una exactitud del 86,9 %, de modo que la exactitud queda descartada como métrica de decisión en favor del F1 macro y la Precisión Direccional.</w:t>
      </w:r>
    </w:p>
    <w:p w14:paraId="0303C21A" w14:textId="77777777" w:rsidR="00002083" w:rsidRDefault="00F050D8">
      <w:pPr>
        <w:pStyle w:val="Ttulo2"/>
        <w:keepNext/>
      </w:pPr>
      <w:bookmarkStart w:id="36" w:name="_Toc237941094"/>
      <w:r>
        <w:t>Limitaciones</w:t>
      </w:r>
      <w:bookmarkEnd w:id="36"/>
    </w:p>
    <w:p w14:paraId="4239FEFE" w14:textId="77777777" w:rsidR="00002083" w:rsidRDefault="00F050D8">
      <w:pPr>
        <w:ind w:firstLine="720"/>
      </w:pPr>
      <w:r>
        <w:t>Tres advertencias que conviene explicitar, y que se retomarán en las entregas siguientes.</w:t>
      </w:r>
    </w:p>
    <w:p w14:paraId="45F81BCF" w14:textId="77777777" w:rsidR="00002083" w:rsidRDefault="00F050D8">
      <w:pPr>
        <w:ind w:firstLine="720"/>
      </w:pPr>
      <w:r>
        <w:t xml:space="preserve">Los precios proceden de un único mercado y no de un promedio ponderado de la industria, de manera que los puntos de inflexión identificados lo son respecto de la formación de precios de esa plaza. La ventana temporal, acotada por el listado de Solana, sacrifica aproximadamente un tercio del historial disponible de </w:t>
      </w:r>
      <w:proofErr w:type="spellStart"/>
      <w:r>
        <w:t>Litecoin</w:t>
      </w:r>
      <w:proofErr w:type="spellEnd"/>
      <w:r>
        <w:t xml:space="preserve"> a cambio de poder plantear el problema como multivariante. Y la definición operativa del punto de inflexión depende de una ventana cuyo valor se fija por criterio del equipo, de modo que la escala del fenómeno estudiado es una elección metodológica y no una propiedad del mercado.</w:t>
      </w:r>
    </w:p>
    <w:p w14:paraId="5A4FB442" w14:textId="77777777" w:rsidR="00002083" w:rsidRDefault="00F050D8">
      <w:pPr>
        <w:pStyle w:val="Ttulo2"/>
        <w:keepNext/>
      </w:pPr>
      <w:bookmarkStart w:id="37" w:name="_Toc237941095"/>
      <w:r>
        <w:t>Trabajo siguiente</w:t>
      </w:r>
      <w:bookmarkEnd w:id="37"/>
    </w:p>
    <w:p w14:paraId="3EC31C92" w14:textId="77777777" w:rsidR="00002083" w:rsidRDefault="00F050D8">
      <w:pPr>
        <w:ind w:firstLine="720"/>
      </w:pPr>
      <w:r>
        <w:t xml:space="preserve">La segunda entrega aborda el marco teórico de los modelos estadísticos y de aprendizaje automático aplicables a series temporales, así como la definición del procedimiento completo de desarrollo: extracción y limpieza de datos, análisis exploratorio, ingeniería de características, selección del modelo, entrenamiento, optimización de </w:t>
      </w:r>
      <w:proofErr w:type="spellStart"/>
      <w:r>
        <w:t>hiperparámetros</w:t>
      </w:r>
      <w:proofErr w:type="spellEnd"/>
      <w:r>
        <w:t xml:space="preserve"> y evaluación. Las decisiones sobre granularidad de las observaciones y sobre los parámetros que definen el punto </w:t>
      </w:r>
      <w:r>
        <w:lastRenderedPageBreak/>
        <w:t>de inflexión se documentan en esa entrega, por corresponder a la etapa de extracción de datos del procedimiento.</w:t>
      </w:r>
    </w:p>
    <w:p w14:paraId="5E2BE9A6" w14:textId="77777777" w:rsidR="00002083" w:rsidRDefault="00F050D8">
      <w:r>
        <w:br w:type="page"/>
      </w:r>
    </w:p>
    <w:p w14:paraId="55AF72A0" w14:textId="77777777" w:rsidR="00002083" w:rsidRDefault="00F050D8">
      <w:pPr>
        <w:pStyle w:val="Ttulo1"/>
        <w:keepNext/>
      </w:pPr>
      <w:bookmarkStart w:id="38" w:name="_Toc237941096"/>
      <w:r>
        <w:lastRenderedPageBreak/>
        <w:t>Referencias</w:t>
      </w:r>
      <w:bookmarkEnd w:id="38"/>
    </w:p>
    <w:p w14:paraId="46CD3E7D" w14:textId="77777777" w:rsidR="00002083" w:rsidRPr="00A548FA" w:rsidRDefault="00F050D8">
      <w:pPr>
        <w:ind w:left="720" w:hanging="720"/>
        <w:rPr>
          <w:lang w:val="en-US"/>
        </w:rPr>
      </w:pPr>
      <w:r>
        <w:t xml:space="preserve">Auer, R., &amp; Claessens, S. (2018). </w:t>
      </w:r>
      <w:r w:rsidRPr="00A548FA">
        <w:rPr>
          <w:lang w:val="en-US"/>
        </w:rPr>
        <w:t xml:space="preserve">Regulating cryptocurrencies: Assessing market reactions. </w:t>
      </w:r>
      <w:r w:rsidRPr="00A548FA">
        <w:rPr>
          <w:i/>
          <w:iCs/>
          <w:lang w:val="en-US"/>
        </w:rPr>
        <w:t>BIS Quarterly Review</w:t>
      </w:r>
      <w:r w:rsidRPr="00A548FA">
        <w:rPr>
          <w:lang w:val="en-US"/>
        </w:rPr>
        <w:t>, September, 51–65.</w:t>
      </w:r>
    </w:p>
    <w:p w14:paraId="4AE31D7F" w14:textId="77777777" w:rsidR="00002083" w:rsidRPr="00A548FA" w:rsidRDefault="00F050D8">
      <w:pPr>
        <w:ind w:left="720" w:hanging="720"/>
        <w:rPr>
          <w:lang w:val="en-US"/>
        </w:rPr>
      </w:pPr>
      <w:r w:rsidRPr="00A548FA">
        <w:rPr>
          <w:lang w:val="en-US"/>
        </w:rPr>
        <w:t xml:space="preserve">Baur, D. G., Hong, K., &amp; Lee, A. D. (2018). Bitcoin: Medium of exchange or speculative assets? </w:t>
      </w:r>
      <w:r w:rsidRPr="00A548FA">
        <w:rPr>
          <w:i/>
          <w:iCs/>
          <w:lang w:val="en-US"/>
        </w:rPr>
        <w:t>Journal of International Financial Markets, Institutions and Money, 54</w:t>
      </w:r>
      <w:r w:rsidRPr="00A548FA">
        <w:rPr>
          <w:lang w:val="en-US"/>
        </w:rPr>
        <w:t>, 177–189. https://doi.org/10.1016/j.intfin.2017.12.004</w:t>
      </w:r>
    </w:p>
    <w:p w14:paraId="05EF740C" w14:textId="77777777" w:rsidR="00002083" w:rsidRPr="00A548FA" w:rsidRDefault="00F050D8">
      <w:pPr>
        <w:ind w:left="720" w:hanging="720"/>
        <w:rPr>
          <w:lang w:val="en-US"/>
        </w:rPr>
      </w:pPr>
      <w:proofErr w:type="spellStart"/>
      <w:r w:rsidRPr="00A548FA">
        <w:rPr>
          <w:lang w:val="en-US"/>
        </w:rPr>
        <w:t>Bergmeir</w:t>
      </w:r>
      <w:proofErr w:type="spellEnd"/>
      <w:r w:rsidRPr="00A548FA">
        <w:rPr>
          <w:lang w:val="en-US"/>
        </w:rPr>
        <w:t xml:space="preserve">, C., &amp; Benítez, J. M. (2012). On the use of cross-validation for time series predictor evaluation. </w:t>
      </w:r>
      <w:r w:rsidRPr="00A548FA">
        <w:rPr>
          <w:i/>
          <w:iCs/>
          <w:lang w:val="en-US"/>
        </w:rPr>
        <w:t>Information Sciences, 191</w:t>
      </w:r>
      <w:r w:rsidRPr="00A548FA">
        <w:rPr>
          <w:lang w:val="en-US"/>
        </w:rPr>
        <w:t>, 192–213. https://doi.org/10.1016/j.ins.2011.12.028</w:t>
      </w:r>
    </w:p>
    <w:p w14:paraId="4E439AD8" w14:textId="77777777" w:rsidR="00002083" w:rsidRPr="00A548FA" w:rsidRDefault="00F050D8">
      <w:pPr>
        <w:ind w:left="720" w:hanging="720"/>
        <w:rPr>
          <w:lang w:val="en-US"/>
        </w:rPr>
      </w:pPr>
      <w:proofErr w:type="spellStart"/>
      <w:r w:rsidRPr="00A548FA">
        <w:rPr>
          <w:lang w:val="en-US"/>
        </w:rPr>
        <w:t>Blaskowitz</w:t>
      </w:r>
      <w:proofErr w:type="spellEnd"/>
      <w:r w:rsidRPr="00A548FA">
        <w:rPr>
          <w:lang w:val="en-US"/>
        </w:rPr>
        <w:t xml:space="preserve">, O., &amp; </w:t>
      </w:r>
      <w:proofErr w:type="spellStart"/>
      <w:r w:rsidRPr="00A548FA">
        <w:rPr>
          <w:lang w:val="en-US"/>
        </w:rPr>
        <w:t>Herwartz</w:t>
      </w:r>
      <w:proofErr w:type="spellEnd"/>
      <w:r w:rsidRPr="00A548FA">
        <w:rPr>
          <w:lang w:val="en-US"/>
        </w:rPr>
        <w:t xml:space="preserve">, H. (2011). On economic evaluation of directional forecasts. </w:t>
      </w:r>
      <w:r w:rsidRPr="00A548FA">
        <w:rPr>
          <w:i/>
          <w:iCs/>
          <w:lang w:val="en-US"/>
        </w:rPr>
        <w:t>International Journal of Forecasting, 27</w:t>
      </w:r>
      <w:r w:rsidRPr="00A548FA">
        <w:rPr>
          <w:lang w:val="en-US"/>
        </w:rPr>
        <w:t>(4), 1058–1065. https://doi.org/10.1016/j.ijforecast.2010.07.002</w:t>
      </w:r>
    </w:p>
    <w:p w14:paraId="129829F0" w14:textId="77777777" w:rsidR="00002083" w:rsidRPr="00A548FA" w:rsidRDefault="00F050D8">
      <w:pPr>
        <w:ind w:left="720" w:hanging="720"/>
        <w:rPr>
          <w:lang w:val="en-US"/>
        </w:rPr>
      </w:pPr>
      <w:r w:rsidRPr="00A548FA">
        <w:rPr>
          <w:lang w:val="en-US"/>
        </w:rPr>
        <w:t xml:space="preserve">Böhme, R., Christin, N., Edelman, B., &amp; Moore, T. (2015). Bitcoin: Economics, technology, and governance. </w:t>
      </w:r>
      <w:r w:rsidRPr="00A548FA">
        <w:rPr>
          <w:i/>
          <w:iCs/>
          <w:lang w:val="en-US"/>
        </w:rPr>
        <w:t>Journal of Economic Perspectives, 29</w:t>
      </w:r>
      <w:r w:rsidRPr="00A548FA">
        <w:rPr>
          <w:lang w:val="en-US"/>
        </w:rPr>
        <w:t>(2), 213–238. https://doi.org/10.1257/jep.29.2.213</w:t>
      </w:r>
    </w:p>
    <w:p w14:paraId="728D8B04" w14:textId="77777777" w:rsidR="00002083" w:rsidRPr="00A548FA" w:rsidRDefault="00F050D8">
      <w:pPr>
        <w:ind w:left="720" w:hanging="720"/>
        <w:rPr>
          <w:lang w:val="en-US"/>
        </w:rPr>
      </w:pPr>
      <w:r w:rsidRPr="00A548FA">
        <w:rPr>
          <w:lang w:val="en-US"/>
        </w:rPr>
        <w:t xml:space="preserve">Box, G. E. P., &amp; Pierce, D. A. (1970). Distribution of residual autocorrelations in autoregressive-integrated moving average time series models. </w:t>
      </w:r>
      <w:r w:rsidRPr="00A548FA">
        <w:rPr>
          <w:i/>
          <w:iCs/>
          <w:lang w:val="en-US"/>
        </w:rPr>
        <w:t>Journal of the American Statistical Association, 65</w:t>
      </w:r>
      <w:r w:rsidRPr="00A548FA">
        <w:rPr>
          <w:lang w:val="en-US"/>
        </w:rPr>
        <w:t>(332), 1509–1526. https://doi.org/10.1080/01621459.1970.10481180</w:t>
      </w:r>
    </w:p>
    <w:p w14:paraId="3B1B0673" w14:textId="77777777" w:rsidR="00002083" w:rsidRPr="00A548FA" w:rsidRDefault="00F050D8">
      <w:pPr>
        <w:ind w:left="720" w:hanging="720"/>
        <w:rPr>
          <w:lang w:val="en-US"/>
        </w:rPr>
      </w:pPr>
      <w:r w:rsidRPr="00A548FA">
        <w:rPr>
          <w:lang w:val="en-US"/>
        </w:rPr>
        <w:t xml:space="preserve">Box, G. E. P., Jenkins, G. M., Reinsel, G. C., &amp; Ljung, G. M. (2015). </w:t>
      </w:r>
      <w:r w:rsidRPr="00A548FA">
        <w:rPr>
          <w:i/>
          <w:iCs/>
          <w:lang w:val="en-US"/>
        </w:rPr>
        <w:t>Time series analysis: Forecasting and control</w:t>
      </w:r>
      <w:r w:rsidRPr="00A548FA">
        <w:rPr>
          <w:lang w:val="en-US"/>
        </w:rPr>
        <w:t xml:space="preserve"> (5th ed.). John Wiley &amp; Sons.</w:t>
      </w:r>
    </w:p>
    <w:p w14:paraId="16D33622" w14:textId="77777777" w:rsidR="00002083" w:rsidRPr="00A548FA" w:rsidRDefault="00F050D8">
      <w:pPr>
        <w:ind w:left="720" w:hanging="720"/>
        <w:rPr>
          <w:lang w:val="en-US"/>
        </w:rPr>
      </w:pPr>
      <w:r w:rsidRPr="00A548FA">
        <w:rPr>
          <w:lang w:val="en-US"/>
        </w:rPr>
        <w:t xml:space="preserve">Caporale, G. M., &amp; </w:t>
      </w:r>
      <w:proofErr w:type="spellStart"/>
      <w:r w:rsidRPr="00A548FA">
        <w:rPr>
          <w:lang w:val="en-US"/>
        </w:rPr>
        <w:t>Zekokh</w:t>
      </w:r>
      <w:proofErr w:type="spellEnd"/>
      <w:r w:rsidRPr="00A548FA">
        <w:rPr>
          <w:lang w:val="en-US"/>
        </w:rPr>
        <w:t xml:space="preserve">, T. (2019). Modelling volatility of cryptocurrencies using Markov-Switching GARCH models. </w:t>
      </w:r>
      <w:r w:rsidRPr="00A548FA">
        <w:rPr>
          <w:i/>
          <w:iCs/>
          <w:lang w:val="en-US"/>
        </w:rPr>
        <w:t>Research in International Business and Finance, 48</w:t>
      </w:r>
      <w:r w:rsidRPr="00A548FA">
        <w:rPr>
          <w:lang w:val="en-US"/>
        </w:rPr>
        <w:t>, 143–155. https://doi.org/10.1016/j.ribaf.2018.12.009</w:t>
      </w:r>
    </w:p>
    <w:p w14:paraId="3FD06D59" w14:textId="77777777" w:rsidR="00002083" w:rsidRDefault="00F050D8">
      <w:pPr>
        <w:ind w:left="720" w:hanging="720"/>
      </w:pPr>
      <w:r w:rsidRPr="00A548FA">
        <w:rPr>
          <w:lang w:val="en-US"/>
        </w:rPr>
        <w:lastRenderedPageBreak/>
        <w:t xml:space="preserve">Chicco, D., &amp; Jurman, G. (2020). The advantages of the Matthews correlation coefficient (MCC) over F1 score and accuracy in binary classification evaluation. </w:t>
      </w:r>
      <w:r>
        <w:rPr>
          <w:i/>
          <w:iCs/>
        </w:rPr>
        <w:t xml:space="preserve">BMC </w:t>
      </w:r>
      <w:proofErr w:type="spellStart"/>
      <w:r>
        <w:rPr>
          <w:i/>
          <w:iCs/>
        </w:rPr>
        <w:t>Genomics</w:t>
      </w:r>
      <w:proofErr w:type="spellEnd"/>
      <w:r>
        <w:rPr>
          <w:i/>
          <w:iCs/>
        </w:rPr>
        <w:t>, 21</w:t>
      </w:r>
      <w:r>
        <w:t>(1), Artículo 6. https://doi.org/10.1186/s12864-019-6413-7</w:t>
      </w:r>
    </w:p>
    <w:p w14:paraId="39FFD59C" w14:textId="77777777" w:rsidR="00002083" w:rsidRPr="00A548FA" w:rsidRDefault="00F050D8">
      <w:pPr>
        <w:ind w:left="720" w:hanging="720"/>
        <w:rPr>
          <w:lang w:val="en-US"/>
        </w:rPr>
      </w:pPr>
      <w:r>
        <w:t xml:space="preserve">Dickey, D. A., &amp; Fuller, W. A. (1979). </w:t>
      </w:r>
      <w:r w:rsidRPr="00A548FA">
        <w:rPr>
          <w:lang w:val="en-US"/>
        </w:rPr>
        <w:t xml:space="preserve">Distribution of the estimators for autoregressive time series with a unit root. </w:t>
      </w:r>
      <w:r w:rsidRPr="00A548FA">
        <w:rPr>
          <w:i/>
          <w:iCs/>
          <w:lang w:val="en-US"/>
        </w:rPr>
        <w:t>Journal of the American Statistical Association, 74</w:t>
      </w:r>
      <w:r w:rsidRPr="00A548FA">
        <w:rPr>
          <w:lang w:val="en-US"/>
        </w:rPr>
        <w:t>(366a), 427–431. https://doi.org/10.1080/01621459.1979.10482531</w:t>
      </w:r>
    </w:p>
    <w:p w14:paraId="26B29931" w14:textId="77777777" w:rsidR="00002083" w:rsidRPr="00A548FA" w:rsidRDefault="00F050D8">
      <w:pPr>
        <w:ind w:left="720" w:hanging="720"/>
        <w:rPr>
          <w:lang w:val="en-US"/>
        </w:rPr>
      </w:pPr>
      <w:r w:rsidRPr="00A548FA">
        <w:rPr>
          <w:lang w:val="en-US"/>
        </w:rPr>
        <w:t xml:space="preserve">Engle, R. F. (1982). Autoregressive conditional heteroscedasticity with estimates of the variance of United Kingdom inflation. </w:t>
      </w:r>
      <w:proofErr w:type="spellStart"/>
      <w:r w:rsidRPr="00A548FA">
        <w:rPr>
          <w:i/>
          <w:iCs/>
          <w:lang w:val="en-US"/>
        </w:rPr>
        <w:t>Econometrica</w:t>
      </w:r>
      <w:proofErr w:type="spellEnd"/>
      <w:r w:rsidRPr="00A548FA">
        <w:rPr>
          <w:i/>
          <w:iCs/>
          <w:lang w:val="en-US"/>
        </w:rPr>
        <w:t>, 50</w:t>
      </w:r>
      <w:r w:rsidRPr="00A548FA">
        <w:rPr>
          <w:lang w:val="en-US"/>
        </w:rPr>
        <w:t>(4), 987–1007. https://doi.org/10.2307/1912773</w:t>
      </w:r>
    </w:p>
    <w:p w14:paraId="2CABA646" w14:textId="77777777" w:rsidR="00002083" w:rsidRPr="00A548FA" w:rsidRDefault="00F050D8">
      <w:pPr>
        <w:ind w:left="720" w:hanging="720"/>
        <w:rPr>
          <w:lang w:val="en-US"/>
        </w:rPr>
      </w:pPr>
      <w:r w:rsidRPr="00A548FA">
        <w:rPr>
          <w:lang w:val="en-US"/>
        </w:rPr>
        <w:t xml:space="preserve">Fama, E. F. (1970). Efficient capital markets: A review of theory and empirical work. </w:t>
      </w:r>
      <w:r w:rsidRPr="00A548FA">
        <w:rPr>
          <w:i/>
          <w:iCs/>
          <w:lang w:val="en-US"/>
        </w:rPr>
        <w:t>The Journal of Finance, 25</w:t>
      </w:r>
      <w:r w:rsidRPr="00A548FA">
        <w:rPr>
          <w:lang w:val="en-US"/>
        </w:rPr>
        <w:t>(2), 383–417. https://doi.org/10.2307/2325486</w:t>
      </w:r>
    </w:p>
    <w:p w14:paraId="50168B1E" w14:textId="77777777" w:rsidR="00002083" w:rsidRPr="00A548FA" w:rsidRDefault="00F050D8">
      <w:pPr>
        <w:ind w:left="720" w:hanging="720"/>
        <w:rPr>
          <w:lang w:val="en-US"/>
        </w:rPr>
      </w:pPr>
      <w:r w:rsidRPr="00A548FA">
        <w:rPr>
          <w:lang w:val="en-US"/>
        </w:rPr>
        <w:t xml:space="preserve">Farhadpour, S., Warner, T. A., &amp; Maxwell, A. E. (2024). Selecting and interpreting multiclass loss and accuracy assessment metrics for classifications with class imbalance: Guidance and best practices. </w:t>
      </w:r>
      <w:r w:rsidRPr="00A548FA">
        <w:rPr>
          <w:i/>
          <w:iCs/>
          <w:lang w:val="en-US"/>
        </w:rPr>
        <w:t>Remote Sensing, 16</w:t>
      </w:r>
      <w:r w:rsidRPr="00A548FA">
        <w:rPr>
          <w:lang w:val="en-US"/>
        </w:rPr>
        <w:t xml:space="preserve">(3), </w:t>
      </w:r>
      <w:proofErr w:type="spellStart"/>
      <w:r w:rsidRPr="00A548FA">
        <w:rPr>
          <w:lang w:val="en-US"/>
        </w:rPr>
        <w:t>Artículo</w:t>
      </w:r>
      <w:proofErr w:type="spellEnd"/>
      <w:r w:rsidRPr="00A548FA">
        <w:rPr>
          <w:lang w:val="en-US"/>
        </w:rPr>
        <w:t xml:space="preserve"> 533. https://doi.org/10.3390/rs16030533</w:t>
      </w:r>
    </w:p>
    <w:p w14:paraId="0BE3E6E0" w14:textId="77777777" w:rsidR="00002083" w:rsidRPr="00A548FA" w:rsidRDefault="00F050D8">
      <w:pPr>
        <w:ind w:left="720" w:hanging="720"/>
        <w:rPr>
          <w:lang w:val="en-US"/>
        </w:rPr>
      </w:pPr>
      <w:r w:rsidRPr="00A548FA">
        <w:rPr>
          <w:lang w:val="en-US"/>
        </w:rPr>
        <w:t xml:space="preserve">Financial Action Task Force. (2021). </w:t>
      </w:r>
      <w:r w:rsidRPr="00A548FA">
        <w:rPr>
          <w:i/>
          <w:iCs/>
          <w:lang w:val="en-US"/>
        </w:rPr>
        <w:t>Updated guidance for a risk-based approach to virtual assets and virtual asset service providers</w:t>
      </w:r>
      <w:r w:rsidRPr="00A548FA">
        <w:rPr>
          <w:lang w:val="en-US"/>
        </w:rPr>
        <w:t>. FATF.</w:t>
      </w:r>
    </w:p>
    <w:p w14:paraId="411CE535" w14:textId="77777777" w:rsidR="00002083" w:rsidRPr="00A548FA" w:rsidRDefault="00F050D8">
      <w:pPr>
        <w:ind w:left="720" w:hanging="720"/>
        <w:rPr>
          <w:lang w:val="en-US"/>
        </w:rPr>
      </w:pPr>
      <w:r w:rsidRPr="00A548FA">
        <w:rPr>
          <w:lang w:val="en-US"/>
        </w:rPr>
        <w:t xml:space="preserve">French, K. R. (1980). Stock returns and the weekend effect. </w:t>
      </w:r>
      <w:r w:rsidRPr="00A548FA">
        <w:rPr>
          <w:i/>
          <w:iCs/>
          <w:lang w:val="en-US"/>
        </w:rPr>
        <w:t>Journal of Financial Economics, 8</w:t>
      </w:r>
      <w:r w:rsidRPr="00A548FA">
        <w:rPr>
          <w:lang w:val="en-US"/>
        </w:rPr>
        <w:t>(1), 55–69. https://doi.org/10.1016/0304-405X(80)90021-5</w:t>
      </w:r>
    </w:p>
    <w:p w14:paraId="0C920730" w14:textId="77777777" w:rsidR="00002083" w:rsidRPr="00A548FA" w:rsidRDefault="00F050D8">
      <w:pPr>
        <w:ind w:left="720" w:hanging="720"/>
        <w:rPr>
          <w:lang w:val="en-US"/>
        </w:rPr>
      </w:pPr>
      <w:r w:rsidRPr="00A548FA">
        <w:rPr>
          <w:lang w:val="en-US"/>
        </w:rPr>
        <w:t xml:space="preserve">Granger, C. W. J., &amp; Newbold, P. (1974). Spurious regressions in econometrics. </w:t>
      </w:r>
      <w:r w:rsidRPr="00A548FA">
        <w:rPr>
          <w:i/>
          <w:iCs/>
          <w:lang w:val="en-US"/>
        </w:rPr>
        <w:t>Journal of Econometrics, 2</w:t>
      </w:r>
      <w:r w:rsidRPr="00A548FA">
        <w:rPr>
          <w:lang w:val="en-US"/>
        </w:rPr>
        <w:t>(2), 111–120. https://doi.org/10.1016/0304-4076(74)90034-7</w:t>
      </w:r>
    </w:p>
    <w:p w14:paraId="592A6340" w14:textId="77777777" w:rsidR="00002083" w:rsidRPr="00A548FA" w:rsidRDefault="00F050D8">
      <w:pPr>
        <w:ind w:left="720" w:hanging="720"/>
        <w:rPr>
          <w:lang w:val="en-US"/>
        </w:rPr>
      </w:pPr>
      <w:r>
        <w:lastRenderedPageBreak/>
        <w:t xml:space="preserve">He, H., &amp; </w:t>
      </w:r>
      <w:proofErr w:type="spellStart"/>
      <w:r>
        <w:t>Garcia</w:t>
      </w:r>
      <w:proofErr w:type="spellEnd"/>
      <w:r>
        <w:t xml:space="preserve">, E. A. (2009). </w:t>
      </w:r>
      <w:r w:rsidRPr="00A548FA">
        <w:rPr>
          <w:lang w:val="en-US"/>
        </w:rPr>
        <w:t xml:space="preserve">Learning from imbalanced data. </w:t>
      </w:r>
      <w:r w:rsidRPr="00A548FA">
        <w:rPr>
          <w:i/>
          <w:iCs/>
          <w:lang w:val="en-US"/>
        </w:rPr>
        <w:t>IEEE Transactions on Knowledge and Data Engineering, 21</w:t>
      </w:r>
      <w:r w:rsidRPr="00A548FA">
        <w:rPr>
          <w:lang w:val="en-US"/>
        </w:rPr>
        <w:t>(9), 1263–1284. https://doi.org/10.1109/TKDE.2008.239</w:t>
      </w:r>
    </w:p>
    <w:p w14:paraId="4A2E6B89" w14:textId="77777777" w:rsidR="00002083" w:rsidRPr="00A548FA" w:rsidRDefault="00F050D8">
      <w:pPr>
        <w:ind w:left="720" w:hanging="720"/>
        <w:rPr>
          <w:lang w:val="en-US"/>
        </w:rPr>
      </w:pPr>
      <w:r w:rsidRPr="00A548FA">
        <w:rPr>
          <w:lang w:val="en-US"/>
        </w:rPr>
        <w:t xml:space="preserve">Ji, </w:t>
      </w:r>
      <w:proofErr w:type="gramStart"/>
      <w:r w:rsidRPr="00A548FA">
        <w:rPr>
          <w:lang w:val="en-US"/>
        </w:rPr>
        <w:t>Q.,</w:t>
      </w:r>
      <w:proofErr w:type="gramEnd"/>
      <w:r w:rsidRPr="00A548FA">
        <w:rPr>
          <w:lang w:val="en-US"/>
        </w:rPr>
        <w:t xml:space="preserve"> Bouri, E., Lau, C. K. M., &amp; </w:t>
      </w:r>
      <w:proofErr w:type="spellStart"/>
      <w:r w:rsidRPr="00A548FA">
        <w:rPr>
          <w:lang w:val="en-US"/>
        </w:rPr>
        <w:t>Roubaud</w:t>
      </w:r>
      <w:proofErr w:type="spellEnd"/>
      <w:r w:rsidRPr="00A548FA">
        <w:rPr>
          <w:lang w:val="en-US"/>
        </w:rPr>
        <w:t xml:space="preserve">, D. (2019). Dynamic connectedness and integration in cryptocurrency markets. </w:t>
      </w:r>
      <w:r w:rsidRPr="00A548FA">
        <w:rPr>
          <w:i/>
          <w:iCs/>
          <w:lang w:val="en-US"/>
        </w:rPr>
        <w:t>International Review of Financial Analysis, 63</w:t>
      </w:r>
      <w:r w:rsidRPr="00A548FA">
        <w:rPr>
          <w:lang w:val="en-US"/>
        </w:rPr>
        <w:t>, 257–272. https://doi.org/10.1016/j.irfa.2018.12.002</w:t>
      </w:r>
    </w:p>
    <w:p w14:paraId="71E04613" w14:textId="77777777" w:rsidR="00002083" w:rsidRPr="00A548FA" w:rsidRDefault="00F050D8">
      <w:pPr>
        <w:ind w:left="720" w:hanging="720"/>
        <w:rPr>
          <w:lang w:val="en-US"/>
        </w:rPr>
      </w:pPr>
      <w:proofErr w:type="spellStart"/>
      <w:r w:rsidRPr="00A548FA">
        <w:rPr>
          <w:lang w:val="en-US"/>
        </w:rPr>
        <w:t>Katsiampa</w:t>
      </w:r>
      <w:proofErr w:type="spellEnd"/>
      <w:r w:rsidRPr="00A548FA">
        <w:rPr>
          <w:lang w:val="en-US"/>
        </w:rPr>
        <w:t xml:space="preserve">, P. (2017). Volatility estimation for Bitcoin: A comparison of GARCH models. </w:t>
      </w:r>
      <w:r w:rsidRPr="00A548FA">
        <w:rPr>
          <w:i/>
          <w:iCs/>
          <w:lang w:val="en-US"/>
        </w:rPr>
        <w:t>Economics Letters, 158</w:t>
      </w:r>
      <w:r w:rsidRPr="00A548FA">
        <w:rPr>
          <w:lang w:val="en-US"/>
        </w:rPr>
        <w:t>, 3–6. https://doi.org/10.1016/j.econlet.2017.06.023</w:t>
      </w:r>
    </w:p>
    <w:p w14:paraId="43ED48E7" w14:textId="77777777" w:rsidR="00002083" w:rsidRPr="00A548FA" w:rsidRDefault="00F050D8">
      <w:pPr>
        <w:ind w:left="720" w:hanging="720"/>
        <w:rPr>
          <w:lang w:val="en-US"/>
        </w:rPr>
      </w:pPr>
      <w:r w:rsidRPr="00A548FA">
        <w:rPr>
          <w:lang w:val="en-US"/>
        </w:rPr>
        <w:t xml:space="preserve">Liu, Y., &amp; </w:t>
      </w:r>
      <w:proofErr w:type="spellStart"/>
      <w:r w:rsidRPr="00A548FA">
        <w:rPr>
          <w:lang w:val="en-US"/>
        </w:rPr>
        <w:t>Tsyvinski</w:t>
      </w:r>
      <w:proofErr w:type="spellEnd"/>
      <w:r w:rsidRPr="00A548FA">
        <w:rPr>
          <w:lang w:val="en-US"/>
        </w:rPr>
        <w:t xml:space="preserve">, A. (2021). Risks and returns of cryptocurrency. </w:t>
      </w:r>
      <w:r w:rsidRPr="00A548FA">
        <w:rPr>
          <w:i/>
          <w:iCs/>
          <w:lang w:val="en-US"/>
        </w:rPr>
        <w:t>The Review of Financial Studies, 34</w:t>
      </w:r>
      <w:r w:rsidRPr="00A548FA">
        <w:rPr>
          <w:lang w:val="en-US"/>
        </w:rPr>
        <w:t>(6), 2689–2727. https://doi.org/10.1093/rfs/hhaa113</w:t>
      </w:r>
    </w:p>
    <w:p w14:paraId="0112A575" w14:textId="77777777" w:rsidR="00002083" w:rsidRPr="00A548FA" w:rsidRDefault="00F050D8">
      <w:pPr>
        <w:ind w:left="720" w:hanging="720"/>
        <w:rPr>
          <w:lang w:val="en-US"/>
        </w:rPr>
      </w:pPr>
      <w:r w:rsidRPr="00A548FA">
        <w:rPr>
          <w:lang w:val="en-US"/>
        </w:rPr>
        <w:t xml:space="preserve">López de Prado, M. (2018). </w:t>
      </w:r>
      <w:r w:rsidRPr="00A548FA">
        <w:rPr>
          <w:i/>
          <w:iCs/>
          <w:lang w:val="en-US"/>
        </w:rPr>
        <w:t>Advances in financial machine learning</w:t>
      </w:r>
      <w:r w:rsidRPr="00A548FA">
        <w:rPr>
          <w:lang w:val="en-US"/>
        </w:rPr>
        <w:t>. John Wiley &amp; Sons.</w:t>
      </w:r>
    </w:p>
    <w:p w14:paraId="43621D52" w14:textId="77777777" w:rsidR="00002083" w:rsidRPr="00A548FA" w:rsidRDefault="00F050D8">
      <w:pPr>
        <w:ind w:left="720" w:hanging="720"/>
        <w:rPr>
          <w:lang w:val="en-US"/>
        </w:rPr>
      </w:pPr>
      <w:r w:rsidRPr="00A548FA">
        <w:rPr>
          <w:lang w:val="en-US"/>
        </w:rPr>
        <w:t xml:space="preserve">Murphy, J. J. (1999). </w:t>
      </w:r>
      <w:r w:rsidRPr="00A548FA">
        <w:rPr>
          <w:i/>
          <w:iCs/>
          <w:lang w:val="en-US"/>
        </w:rPr>
        <w:t>Technical analysis of the financial markets: A comprehensive guide to trading methods and applications</w:t>
      </w:r>
      <w:r w:rsidRPr="00A548FA">
        <w:rPr>
          <w:lang w:val="en-US"/>
        </w:rPr>
        <w:t>. New York Institute of Finance.</w:t>
      </w:r>
    </w:p>
    <w:p w14:paraId="260BA5E3" w14:textId="77777777" w:rsidR="00002083" w:rsidRPr="00A548FA" w:rsidRDefault="00F050D8">
      <w:pPr>
        <w:ind w:left="720" w:hanging="720"/>
        <w:rPr>
          <w:lang w:val="en-US"/>
        </w:rPr>
      </w:pPr>
      <w:r w:rsidRPr="00A548FA">
        <w:rPr>
          <w:lang w:val="en-US"/>
        </w:rPr>
        <w:t xml:space="preserve">Nakamoto, S. (2008). </w:t>
      </w:r>
      <w:r w:rsidRPr="00A548FA">
        <w:rPr>
          <w:i/>
          <w:iCs/>
          <w:lang w:val="en-US"/>
        </w:rPr>
        <w:t>Bitcoin: A peer-to-peer electronic cash system</w:t>
      </w:r>
      <w:r w:rsidRPr="00A548FA">
        <w:rPr>
          <w:lang w:val="en-US"/>
        </w:rPr>
        <w:t>.</w:t>
      </w:r>
    </w:p>
    <w:p w14:paraId="27E7C544" w14:textId="77777777" w:rsidR="00002083" w:rsidRPr="00A548FA" w:rsidRDefault="00F050D8">
      <w:pPr>
        <w:ind w:left="720" w:hanging="720"/>
        <w:rPr>
          <w:lang w:val="en-US"/>
        </w:rPr>
      </w:pPr>
      <w:r w:rsidRPr="00A548FA">
        <w:rPr>
          <w:lang w:val="en-US"/>
        </w:rPr>
        <w:t xml:space="preserve">Narayanan, A., Bonneau, J., Felten, E., Miller, A., &amp; Goldfeder, S. (2016). </w:t>
      </w:r>
      <w:r w:rsidRPr="00A548FA">
        <w:rPr>
          <w:i/>
          <w:iCs/>
          <w:lang w:val="en-US"/>
        </w:rPr>
        <w:t>Bitcoin and cryptocurrency technologies: A comprehensive introduction</w:t>
      </w:r>
      <w:r w:rsidRPr="00A548FA">
        <w:rPr>
          <w:lang w:val="en-US"/>
        </w:rPr>
        <w:t>. Princeton University Press.</w:t>
      </w:r>
    </w:p>
    <w:p w14:paraId="01878657" w14:textId="77777777" w:rsidR="00002083" w:rsidRPr="00A548FA" w:rsidRDefault="00F050D8">
      <w:pPr>
        <w:ind w:left="720" w:hanging="720"/>
        <w:rPr>
          <w:lang w:val="en-US"/>
        </w:rPr>
      </w:pPr>
      <w:r w:rsidRPr="00A548FA">
        <w:rPr>
          <w:lang w:val="en-US"/>
        </w:rPr>
        <w:t xml:space="preserve">Nelson, C. R., &amp; </w:t>
      </w:r>
      <w:proofErr w:type="spellStart"/>
      <w:r w:rsidRPr="00A548FA">
        <w:rPr>
          <w:lang w:val="en-US"/>
        </w:rPr>
        <w:t>Plosser</w:t>
      </w:r>
      <w:proofErr w:type="spellEnd"/>
      <w:r w:rsidRPr="00A548FA">
        <w:rPr>
          <w:lang w:val="en-US"/>
        </w:rPr>
        <w:t xml:space="preserve">, C. I. (1982). Trends and random walks in macroeconomic time series: Some evidence and implications. </w:t>
      </w:r>
      <w:r w:rsidRPr="00A548FA">
        <w:rPr>
          <w:i/>
          <w:iCs/>
          <w:lang w:val="en-US"/>
        </w:rPr>
        <w:t>Journal of Monetary Economics, 10</w:t>
      </w:r>
      <w:r w:rsidRPr="00A548FA">
        <w:rPr>
          <w:lang w:val="en-US"/>
        </w:rPr>
        <w:t>(2), 139–162. https://doi.org/10.1016/0304-3932(82)90012-5</w:t>
      </w:r>
    </w:p>
    <w:p w14:paraId="473979C4" w14:textId="77777777" w:rsidR="00002083" w:rsidRPr="00A548FA" w:rsidRDefault="00F050D8">
      <w:pPr>
        <w:ind w:left="720" w:hanging="720"/>
        <w:rPr>
          <w:lang w:val="en-US"/>
        </w:rPr>
      </w:pPr>
      <w:r w:rsidRPr="00A548FA">
        <w:rPr>
          <w:lang w:val="en-US"/>
        </w:rPr>
        <w:t xml:space="preserve">Said, S. E., &amp; Dickey, D. A. (1984). Testing for unit roots in autoregressive-moving average models of unknown order. </w:t>
      </w:r>
      <w:proofErr w:type="spellStart"/>
      <w:r w:rsidRPr="00A548FA">
        <w:rPr>
          <w:i/>
          <w:iCs/>
          <w:lang w:val="en-US"/>
        </w:rPr>
        <w:t>Biometrika</w:t>
      </w:r>
      <w:proofErr w:type="spellEnd"/>
      <w:r w:rsidRPr="00A548FA">
        <w:rPr>
          <w:i/>
          <w:iCs/>
          <w:lang w:val="en-US"/>
        </w:rPr>
        <w:t>, 71</w:t>
      </w:r>
      <w:r w:rsidRPr="00A548FA">
        <w:rPr>
          <w:lang w:val="en-US"/>
        </w:rPr>
        <w:t>(3), 599–607. https://doi.org/10.1093/biomet/71.3.599</w:t>
      </w:r>
    </w:p>
    <w:p w14:paraId="03013CF5" w14:textId="77777777" w:rsidR="00002083" w:rsidRDefault="00F050D8">
      <w:pPr>
        <w:ind w:left="720" w:hanging="720"/>
      </w:pPr>
      <w:r w:rsidRPr="00A548FA">
        <w:rPr>
          <w:lang w:val="en-US"/>
        </w:rPr>
        <w:lastRenderedPageBreak/>
        <w:t xml:space="preserve">Saito, T., &amp; </w:t>
      </w:r>
      <w:proofErr w:type="spellStart"/>
      <w:r w:rsidRPr="00A548FA">
        <w:rPr>
          <w:lang w:val="en-US"/>
        </w:rPr>
        <w:t>Rehmsmeier</w:t>
      </w:r>
      <w:proofErr w:type="spellEnd"/>
      <w:r w:rsidRPr="00A548FA">
        <w:rPr>
          <w:lang w:val="en-US"/>
        </w:rPr>
        <w:t xml:space="preserve">, M. (2015). The precision-recall plot is more informative than the ROC plot when evaluating binary classifiers on imbalanced datasets. </w:t>
      </w:r>
      <w:r>
        <w:rPr>
          <w:i/>
          <w:iCs/>
        </w:rPr>
        <w:t>PLOS ONE, 10</w:t>
      </w:r>
      <w:r>
        <w:t>(3), e0118432. https://doi.org/10.1371/journal.pone.0118432</w:t>
      </w:r>
    </w:p>
    <w:p w14:paraId="618C3F65" w14:textId="77777777" w:rsidR="00002083" w:rsidRPr="00A548FA" w:rsidRDefault="00F050D8">
      <w:pPr>
        <w:ind w:left="720" w:hanging="720"/>
        <w:rPr>
          <w:lang w:val="en-US"/>
        </w:rPr>
      </w:pPr>
      <w:r>
        <w:t xml:space="preserve">Sokolova, M., &amp; Lapalme, G. (2009). </w:t>
      </w:r>
      <w:r w:rsidRPr="00A548FA">
        <w:rPr>
          <w:lang w:val="en-US"/>
        </w:rPr>
        <w:t xml:space="preserve">A systematic analysis of performance measures for classification tasks. </w:t>
      </w:r>
      <w:r w:rsidRPr="00A548FA">
        <w:rPr>
          <w:i/>
          <w:iCs/>
          <w:lang w:val="en-US"/>
        </w:rPr>
        <w:t>Information Processing &amp; Management, 45</w:t>
      </w:r>
      <w:r w:rsidRPr="00A548FA">
        <w:rPr>
          <w:lang w:val="en-US"/>
        </w:rPr>
        <w:t>(4), 427–437. https://doi.org/10.1016/j.ipm.2009.03.002</w:t>
      </w:r>
    </w:p>
    <w:p w14:paraId="5C68EEF7" w14:textId="77777777" w:rsidR="00002083" w:rsidRPr="00A548FA" w:rsidRDefault="00F050D8">
      <w:pPr>
        <w:ind w:left="720" w:hanging="720"/>
        <w:rPr>
          <w:lang w:val="en-US"/>
        </w:rPr>
      </w:pPr>
      <w:r w:rsidRPr="00A548FA">
        <w:rPr>
          <w:lang w:val="en-US"/>
        </w:rPr>
        <w:t xml:space="preserve">Urquhart, A. (2016). The inefficiency of Bitcoin. </w:t>
      </w:r>
      <w:r w:rsidRPr="00A548FA">
        <w:rPr>
          <w:i/>
          <w:iCs/>
          <w:lang w:val="en-US"/>
        </w:rPr>
        <w:t>Economics Letters, 148</w:t>
      </w:r>
      <w:r w:rsidRPr="00A548FA">
        <w:rPr>
          <w:lang w:val="en-US"/>
        </w:rPr>
        <w:t>, 80–82. https://doi.org/10.1016/j.econlet.2016.09.019</w:t>
      </w:r>
    </w:p>
    <w:p w14:paraId="40A47271" w14:textId="77777777" w:rsidR="00002083" w:rsidRPr="00A548FA" w:rsidRDefault="00F050D8">
      <w:pPr>
        <w:ind w:left="720" w:hanging="720"/>
        <w:rPr>
          <w:lang w:val="en-US"/>
        </w:rPr>
      </w:pPr>
      <w:r w:rsidRPr="00A548FA">
        <w:rPr>
          <w:lang w:val="en-US"/>
        </w:rPr>
        <w:t xml:space="preserve">Yi, S., Xu, Z., &amp; Wang, G.-J. (2018). Volatility connectedness in the cryptocurrency market: Is Bitcoin a dominant cryptocurrency? </w:t>
      </w:r>
      <w:r w:rsidRPr="00A548FA">
        <w:rPr>
          <w:i/>
          <w:iCs/>
          <w:lang w:val="en-US"/>
        </w:rPr>
        <w:t>International Review of Financial Analysis, 60</w:t>
      </w:r>
      <w:r w:rsidRPr="00A548FA">
        <w:rPr>
          <w:lang w:val="en-US"/>
        </w:rPr>
        <w:t>, 98–114. https://doi.org/10.1016/j.irfa.2018.08.012</w:t>
      </w:r>
    </w:p>
    <w:sectPr w:rsidR="00002083" w:rsidRPr="00A548FA">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F0B6D" w14:textId="77777777" w:rsidR="002C7DC1" w:rsidRDefault="002C7DC1">
      <w:pPr>
        <w:spacing w:line="240" w:lineRule="auto"/>
      </w:pPr>
      <w:r>
        <w:separator/>
      </w:r>
    </w:p>
  </w:endnote>
  <w:endnote w:type="continuationSeparator" w:id="0">
    <w:p w14:paraId="14AFD3FC" w14:textId="77777777" w:rsidR="002C7DC1" w:rsidRDefault="002C7D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27DFF" w14:textId="77777777" w:rsidR="002C7DC1" w:rsidRDefault="002C7DC1">
      <w:pPr>
        <w:spacing w:line="240" w:lineRule="auto"/>
      </w:pPr>
      <w:r>
        <w:separator/>
      </w:r>
    </w:p>
  </w:footnote>
  <w:footnote w:type="continuationSeparator" w:id="0">
    <w:p w14:paraId="2264FA4D" w14:textId="77777777" w:rsidR="002C7DC1" w:rsidRDefault="002C7D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DD220" w14:textId="77777777" w:rsidR="00002083" w:rsidRDefault="00F050D8">
    <w:pPr>
      <w:jc w:val="right"/>
    </w:pPr>
    <w:r>
      <w:fldChar w:fldCharType="begin"/>
    </w:r>
    <w:r>
      <w:instrText>PAGE</w:instrText>
    </w:r>
    <w:r>
      <w:fldChar w:fldCharType="separate"/>
    </w:r>
    <w:r w:rsidR="0072443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7648A"/>
    <w:multiLevelType w:val="hybridMultilevel"/>
    <w:tmpl w:val="6630C302"/>
    <w:lvl w:ilvl="0" w:tplc="C19CF1CE">
      <w:start w:val="1"/>
      <w:numFmt w:val="bullet"/>
      <w:lvlText w:val="●"/>
      <w:lvlJc w:val="left"/>
      <w:pPr>
        <w:ind w:left="720" w:hanging="360"/>
      </w:pPr>
    </w:lvl>
    <w:lvl w:ilvl="1" w:tplc="FF9221FC">
      <w:start w:val="1"/>
      <w:numFmt w:val="bullet"/>
      <w:lvlText w:val="○"/>
      <w:lvlJc w:val="left"/>
      <w:pPr>
        <w:ind w:left="1440" w:hanging="360"/>
      </w:pPr>
    </w:lvl>
    <w:lvl w:ilvl="2" w:tplc="4AE0E5F8">
      <w:start w:val="1"/>
      <w:numFmt w:val="bullet"/>
      <w:lvlText w:val="■"/>
      <w:lvlJc w:val="left"/>
      <w:pPr>
        <w:ind w:left="2160" w:hanging="360"/>
      </w:pPr>
    </w:lvl>
    <w:lvl w:ilvl="3" w:tplc="1B04B22C">
      <w:start w:val="1"/>
      <w:numFmt w:val="bullet"/>
      <w:lvlText w:val="●"/>
      <w:lvlJc w:val="left"/>
      <w:pPr>
        <w:ind w:left="2880" w:hanging="360"/>
      </w:pPr>
    </w:lvl>
    <w:lvl w:ilvl="4" w:tplc="CF6AB8DA">
      <w:start w:val="1"/>
      <w:numFmt w:val="bullet"/>
      <w:lvlText w:val="○"/>
      <w:lvlJc w:val="left"/>
      <w:pPr>
        <w:ind w:left="3600" w:hanging="360"/>
      </w:pPr>
    </w:lvl>
    <w:lvl w:ilvl="5" w:tplc="213AF228">
      <w:start w:val="1"/>
      <w:numFmt w:val="bullet"/>
      <w:lvlText w:val="■"/>
      <w:lvlJc w:val="left"/>
      <w:pPr>
        <w:ind w:left="4320" w:hanging="360"/>
      </w:pPr>
    </w:lvl>
    <w:lvl w:ilvl="6" w:tplc="9248423C">
      <w:start w:val="1"/>
      <w:numFmt w:val="bullet"/>
      <w:lvlText w:val="●"/>
      <w:lvlJc w:val="left"/>
      <w:pPr>
        <w:ind w:left="5040" w:hanging="360"/>
      </w:pPr>
    </w:lvl>
    <w:lvl w:ilvl="7" w:tplc="4672D0D8">
      <w:start w:val="1"/>
      <w:numFmt w:val="bullet"/>
      <w:lvlText w:val="●"/>
      <w:lvlJc w:val="left"/>
      <w:pPr>
        <w:ind w:left="5760" w:hanging="360"/>
      </w:pPr>
    </w:lvl>
    <w:lvl w:ilvl="8" w:tplc="A20E6044">
      <w:start w:val="1"/>
      <w:numFmt w:val="bullet"/>
      <w:lvlText w:val="●"/>
      <w:lvlJc w:val="left"/>
      <w:pPr>
        <w:ind w:left="6480" w:hanging="360"/>
      </w:pPr>
    </w:lvl>
  </w:abstractNum>
  <w:num w:numId="1" w16cid:durableId="1371610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83"/>
    <w:rsid w:val="00002083"/>
    <w:rsid w:val="002C7DC1"/>
    <w:rsid w:val="00724430"/>
    <w:rsid w:val="00A548FA"/>
    <w:rsid w:val="00CB7362"/>
    <w:rsid w:val="00F050D8"/>
    <w:rsid w:val="00F14C0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2E0DB"/>
  <w15:docId w15:val="{9A078E92-E30A-4FA8-90FB-65B8B9E9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24430"/>
    <w:pPr>
      <w:spacing w:after="100"/>
    </w:pPr>
  </w:style>
  <w:style w:type="paragraph" w:styleId="TDC2">
    <w:name w:val="toc 2"/>
    <w:basedOn w:val="Normal"/>
    <w:next w:val="Normal"/>
    <w:autoRedefine/>
    <w:uiPriority w:val="39"/>
    <w:unhideWhenUsed/>
    <w:rsid w:val="00724430"/>
    <w:pPr>
      <w:spacing w:after="100"/>
      <w:ind w:left="240"/>
    </w:pPr>
  </w:style>
  <w:style w:type="paragraph" w:styleId="TDC3">
    <w:name w:val="toc 3"/>
    <w:basedOn w:val="Normal"/>
    <w:next w:val="Normal"/>
    <w:autoRedefine/>
    <w:uiPriority w:val="39"/>
    <w:unhideWhenUsed/>
    <w:rsid w:val="007244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10744</Words>
  <Characters>59094</Characters>
  <Application>Microsoft Office Word</Application>
  <DocSecurity>0</DocSecurity>
  <Lines>492</Lines>
  <Paragraphs>139</Paragraphs>
  <ScaleCrop>false</ScaleCrop>
  <Company/>
  <LinksUpToDate>false</LinksUpToDate>
  <CharactersWithSpaces>69699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Andrew XXLL</cp:lastModifiedBy>
  <cp:revision>3</cp:revision>
  <dcterms:created xsi:type="dcterms:W3CDTF">2026-08-18T16:23:00Z</dcterms:created>
  <dcterms:modified xsi:type="dcterms:W3CDTF">2026-08-18T17:36:00Z</dcterms:modified>
</cp:coreProperties>
</file>