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Este documento constituye la segunda entrega del Caso N.º 1 y continúa el marco teórico presentado el 18 de agosto. Su objeto es doble: revisar los modelos estadísticos y de aprendizaje automático aplicables a series temporales, y definir el procedimiento completo de desarrollo del modelo de puntos de inflexión.</w:t>
      </w:r>
    </w:p>
    <w:p>
      <w:pPr>
        <w:spacing w:after="0" w:line="480" w:lineRule="auto"/>
        <w:ind w:firstLine="720"/>
      </w:pPr>
      <w:r>
        <w:rPr>
          <w:rFonts w:ascii="Times New Roman" w:cs="Times New Roman" w:eastAsia="Times New Roman" w:hAnsi="Times New Roman"/>
          <w:color w:val="000000"/>
          <w:sz w:val="24"/>
          <w:szCs w:val="24"/>
        </w:rPr>
        <w:t xml:space="preserve">La primera entrega estableció qué se quiere predecir y con qué se va a medir el éxito. Esta establece </w:t>
      </w:r>
      <w:r>
        <w:rPr>
          <w:rFonts w:ascii="Times New Roman" w:cs="Times New Roman" w:eastAsia="Times New Roman" w:hAnsi="Times New Roman"/>
          <w:b/>
          <w:bCs/>
          <w:color w:val="000000"/>
          <w:sz w:val="24"/>
          <w:szCs w:val="24"/>
        </w:rPr>
        <w:t xml:space="preserve">con qué se va a predecir y en qué orden</w:t>
      </w:r>
      <w:r>
        <w:rPr>
          <w:rFonts w:ascii="Times New Roman" w:cs="Times New Roman" w:eastAsia="Times New Roman" w:hAnsi="Times New Roman"/>
          <w:color w:val="000000"/>
          <w:sz w:val="24"/>
          <w:szCs w:val="24"/>
        </w:rPr>
        <w:t xml:space="preserve">, que son las dos preguntas que quedaban abiertas.</w:t>
      </w:r>
    </w:p>
    <w:p>
      <w:pPr>
        <w:spacing w:after="0" w:line="480" w:lineRule="auto"/>
        <w:ind w:firstLine="720"/>
      </w:pPr>
      <w:r>
        <w:rPr>
          <w:rFonts w:ascii="Times New Roman" w:cs="Times New Roman" w:eastAsia="Times New Roman" w:hAnsi="Times New Roman"/>
          <w:color w:val="000000"/>
          <w:sz w:val="24"/>
          <w:szCs w:val="24"/>
        </w:rPr>
        <w:t xml:space="preserve">Entre una entrega y otra el proyecto tomó una decisión que conviene declarar desde el inicio porque afecta a todo lo que sigue. Los tres parámetros que definen el problema —la granularidad de las observaciones, la ventana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que determina qué es un giro y el horizonte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 pronóstico— </w:t>
      </w:r>
      <w:r>
        <w:rPr>
          <w:rFonts w:ascii="Times New Roman" w:cs="Times New Roman" w:eastAsia="Times New Roman" w:hAnsi="Times New Roman"/>
          <w:b/>
          <w:bCs/>
          <w:color w:val="000000"/>
          <w:sz w:val="24"/>
          <w:szCs w:val="24"/>
        </w:rPr>
        <w:t xml:space="preserve">dejaron de ser provisionales el 18 de agosto</w:t>
      </w:r>
      <w:r>
        <w:rPr>
          <w:rFonts w:ascii="Times New Roman" w:cs="Times New Roman" w:eastAsia="Times New Roman" w:hAnsi="Times New Roman"/>
          <w:color w:val="000000"/>
          <w:sz w:val="24"/>
          <w:szCs w:val="24"/>
        </w:rPr>
        <w:t xml:space="preserve"> y quedaron fijados en velas de 4 horas,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Los tres salen de medición y cada uno de un criterio distinto, fijado antes de mirar el resultado; el estudio completo está en el repositorio del proyecto.</w:t>
      </w:r>
    </w:p>
    <w:p>
      <w:pPr>
        <w:spacing w:after="0" w:line="480" w:lineRule="auto"/>
        <w:ind w:firstLine="720"/>
      </w:pPr>
      <w:r>
        <w:rPr>
          <w:rFonts w:ascii="Times New Roman" w:cs="Times New Roman" w:eastAsia="Times New Roman" w:hAnsi="Times New Roman"/>
          <w:color w:val="000000"/>
          <w:sz w:val="24"/>
          <w:szCs w:val="24"/>
        </w:rPr>
        <w:t xml:space="preserve">Los números de la entrega anterior se midieron con velas diarias y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que era la configuración vigente entonces, y no se regeneraron. Ninguno de aquellos resultados depende de la etiqueta: la estacionariedad, la autocorrelación, la volatilidad y la correlación cruzada se calculan sobre precios y retornos. Cuando este documento compara con un valor de la entrega anterior, indica con qué configuración se midió cada uno.</w:t>
      </w:r>
    </w:p>
    <w:p>
      <w:pPr>
        <w:spacing w:after="0" w:line="480" w:lineRule="auto"/>
        <w:ind w:firstLine="720"/>
      </w:pPr>
      <w:r>
        <w:rPr>
          <w:rFonts w:ascii="Times New Roman" w:cs="Times New Roman" w:eastAsia="Times New Roman" w:hAnsi="Times New Roman"/>
          <w:color w:val="000000"/>
          <w:sz w:val="24"/>
          <w:szCs w:val="24"/>
        </w:rPr>
        <w:t xml:space="preserve">Se mantienen los dos criterios metodológicos declarados en la primera entrega. </w:t>
      </w:r>
      <w:r>
        <w:rPr>
          <w:rFonts w:ascii="Times New Roman" w:cs="Times New Roman" w:eastAsia="Times New Roman" w:hAnsi="Times New Roman"/>
          <w:b/>
          <w:bCs/>
          <w:color w:val="000000"/>
          <w:sz w:val="24"/>
          <w:szCs w:val="24"/>
        </w:rPr>
        <w:t xml:space="preserve">Ningún concepto se expone únicamente como definición</w:t>
      </w:r>
      <w:r>
        <w:rPr>
          <w:rFonts w:ascii="Times New Roman" w:cs="Times New Roman" w:eastAsia="Times New Roman" w:hAnsi="Times New Roman"/>
          <w:color w:val="000000"/>
          <w:sz w:val="24"/>
          <w:szCs w:val="24"/>
        </w:rPr>
        <w:t xml:space="preserve">: cada afirmación que admite comprobación se acompaña de su verificación sobre los datos del proyecto, y lo que no se ha medido se declara como no medido. Y </w:t>
      </w:r>
      <w:r>
        <w:rPr>
          <w:rFonts w:ascii="Times New Roman" w:cs="Times New Roman" w:eastAsia="Times New Roman" w:hAnsi="Times New Roman"/>
          <w:b/>
          <w:bCs/>
          <w:color w:val="000000"/>
          <w:sz w:val="24"/>
          <w:szCs w:val="24"/>
        </w:rPr>
        <w:t xml:space="preserve">los procedimientos se validan primero sobre casos donde la respuesta correcta la fijamos nosotros</w:t>
      </w:r>
      <w:r>
        <w:rPr>
          <w:rFonts w:ascii="Times New Roman" w:cs="Times New Roman" w:eastAsia="Times New Roman" w:hAnsi="Times New Roman"/>
          <w:color w:val="000000"/>
          <w:sz w:val="24"/>
          <w:szCs w:val="24"/>
        </w:rPr>
        <w:t xml:space="preserve">, antes de aplicarlos sobre datos reales.</w:t>
      </w:r>
    </w:p>
    <w:p>
      <w:pPr>
        <w:spacing w:after="0" w:line="480" w:lineRule="auto"/>
        <w:ind w:firstLine="720"/>
      </w:pPr>
      <w:r>
        <w:rPr>
          <w:rFonts w:ascii="Times New Roman" w:cs="Times New Roman" w:eastAsia="Times New Roman" w:hAnsi="Times New Roman"/>
          <w:color w:val="000000"/>
          <w:sz w:val="24"/>
          <w:szCs w:val="24"/>
        </w:rPr>
        <w:t xml:space="preserve">La exposición se organiza en dos bloques. El primero revisa los modelos: los fundacionales de series de tiempo, VTA, FinLSPM, CryptoMamba y el Transformer, y cierra justificando cuál se elige y por qué. El segundo recorre las ocho etapas del procedimiento de desarrollo —extracción, limpieza, análisis exploratorio, ingeniería de características, partición, selección del modelo, entrenamiento y evaluación—, declarando en cada una qué está construido y medido y qué queda pendiente.</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Modelos Estadísticos y de Aprendizaje Automático para Series Temporales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Isaac Felipe Morún Moreira · </w:t>
      </w:r>
      <w:r>
        <w:rPr>
          <w:rFonts w:ascii="Times New Roman" w:cs="Times New Roman" w:eastAsia="Times New Roman" w:hAnsi="Times New Roman"/>
          <w:b/>
          <w:bCs/>
          <w:color w:val="000000"/>
          <w:sz w:val="24"/>
          <w:szCs w:val="24"/>
        </w:rPr>
        <w:t xml:space="preserve">Issues:</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S2-M3-02</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color w:val="000000"/>
          <w:sz w:val="24"/>
          <w:szCs w:val="24"/>
        </w:rPr>
        <w:t xml:space="preserve">S2-M3-03</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Modelos fundacionales de series de tiempo (TSFMs)</w:t>
      </w:r>
    </w:p>
    <w:p>
      <w:pPr>
        <w:spacing w:after="0" w:line="480" w:lineRule="auto"/>
        <w:ind w:firstLine="720"/>
      </w:pPr>
      <w:r>
        <w:rPr>
          <w:rFonts w:ascii="Times New Roman" w:cs="Times New Roman" w:eastAsia="Times New Roman" w:hAnsi="Times New Roman"/>
          <w:b/>
          <w:bCs/>
          <w:color w:val="000000"/>
          <w:sz w:val="24"/>
          <w:szCs w:val="24"/>
        </w:rPr>
        <w:t xml:space="preserve">Medido sobre las máquinas del equipo, en CPU, con contexto de 512 velas reales:</w:t>
      </w:r>
    </w:p>
    <w:p>
      <w:pPr>
        <w:keepNext/>
        <w:spacing w:after="0" w:before="240" w:line="480" w:lineRule="auto"/>
      </w:pPr>
      <w:r>
        <w:rPr>
          <w:rFonts w:ascii="Times New Roman" w:cs="Times New Roman" w:eastAsia="Times New Roman" w:hAnsi="Times New Roman"/>
          <w:b/>
          <w:bCs/>
          <w:color w:val="000000"/>
          <w:sz w:val="24"/>
          <w:szCs w:val="24"/>
        </w:rPr>
        <w:t xml:space="preserve">Tabla 1</w:t>
      </w:r>
    </w:p>
    <w:p>
      <w:pPr>
        <w:keepNext/>
        <w:spacing w:after="60" w:line="480" w:lineRule="auto"/>
      </w:pPr>
      <w:r>
        <w:rPr>
          <w:rFonts w:ascii="Times New Roman" w:cs="Times New Roman" w:eastAsia="Times New Roman" w:hAnsi="Times New Roman"/>
          <w:i/>
          <w:iCs/>
          <w:color w:val="000000"/>
          <w:sz w:val="24"/>
          <w:szCs w:val="24"/>
        </w:rPr>
        <w:t xml:space="preserve">Inventario de modelos fundacionales que corren en CPU. Medido con </w:t>
      </w:r>
      <w:r>
        <w:rPr>
          <w:rFonts w:ascii="Courier New" w:cs="Courier New" w:eastAsia="Courier New" w:hAnsi="Courier New"/>
          <w:i/>
          <w:iCs/>
          <w:color w:val="000000"/>
          <w:sz w:val="22"/>
          <w:szCs w:val="22"/>
        </w:rPr>
        <w:t xml:space="preserve">src/modelos/inventario_tsfm.py</w:t>
      </w:r>
    </w:p>
    <w:tbl>
      <w:tblPr>
        <w:tblW w:type="dxa" w:w="9360"/>
        <w:tblBorders>
          <w:top w:val="none"/>
          <w:left w:val="none"/>
          <w:bottom w:val="none"/>
          <w:right w:val="none"/>
          <w:insideH w:val="none"/>
          <w:insideV w:val="none"/>
        </w:tblBorders>
      </w:tblPr>
      <w:tblGrid>
        <w:gridCol w:w="1560"/>
        <w:gridCol w:w="1560"/>
        <w:gridCol w:w="1560"/>
        <w:gridCol w:w="1560"/>
        <w:gridCol w:w="1560"/>
        <w:gridCol w:w="1560"/>
      </w:tblGrid>
      <w:tr>
        <w:trPr>
          <w:tblHeader/>
        </w:trPr>
        <w:tc>
          <w:tcPr>
            <w:tcW w:type="dxa" w:w="156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Candidato</w:t>
            </w:r>
          </w:p>
        </w:tc>
        <w:tc>
          <w:tcPr>
            <w:tcW w:type="dxa" w:w="156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Familia</w:t>
            </w:r>
          </w:p>
        </w:tc>
        <w:tc>
          <w:tcPr>
            <w:tcW w:type="dxa" w:w="156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Disco (MB)</w:t>
            </w:r>
          </w:p>
        </w:tc>
        <w:tc>
          <w:tcPr>
            <w:tcW w:type="dxa" w:w="156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RAM pico (MB)</w:t>
            </w:r>
          </w:p>
        </w:tc>
        <w:tc>
          <w:tcPr>
            <w:tcW w:type="dxa" w:w="156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s/ventana en lote</w:t>
            </w:r>
          </w:p>
        </w:tc>
        <w:tc>
          <w:tcPr>
            <w:tcW w:type="dxa" w:w="156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Bloque de validación (min)</w:t>
            </w:r>
          </w:p>
        </w:tc>
      </w:tr>
      <w:tr>
        <w:tc>
          <w:tcPr>
            <w:tcW w:type="dxa" w:w="156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chronos-bolt-small</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Chronos-Bolt (Amazon)</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182,05</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695,0</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0,0061</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0,2</w:t>
            </w:r>
          </w:p>
        </w:tc>
      </w:tr>
      <w:tr>
        <w:tc>
          <w:tcPr>
            <w:tcW w:type="dxa" w:w="156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chronos-t5-small</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Chronos-T5 (Amazon)</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176,08</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4 805,6</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2,9546</w:t>
            </w:r>
          </w:p>
        </w:tc>
        <w:tc>
          <w:tcPr>
            <w:tcW w:type="dxa" w:w="156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96,3</w:t>
            </w:r>
          </w:p>
        </w:tc>
      </w:tr>
      <w:tr>
        <w:tc>
          <w:tcPr>
            <w:tcW w:type="dxa" w:w="156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timesfm-2.5-200m</w:t>
            </w:r>
          </w:p>
        </w:tc>
        <w:tc>
          <w:tcPr>
            <w:tcW w:type="dxa" w:w="156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TimesFM (Google)</w:t>
            </w:r>
          </w:p>
        </w:tc>
        <w:tc>
          <w:tcPr>
            <w:tcW w:type="dxa" w:w="156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882,32</w:t>
            </w:r>
          </w:p>
        </w:tc>
        <w:tc>
          <w:tcPr>
            <w:tcW w:type="dxa" w:w="156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1 264,6</w:t>
            </w:r>
          </w:p>
        </w:tc>
        <w:tc>
          <w:tcPr>
            <w:tcW w:type="dxa" w:w="156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0,1836</w:t>
            </w:r>
          </w:p>
        </w:tc>
        <w:tc>
          <w:tcPr>
            <w:tcW w:type="dxa" w:w="156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6,0</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m3-inventario-tsfm.json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Descartado antes de instalarse:</w:t>
      </w:r>
      <w:r>
        <w:rPr>
          <w:rFonts w:ascii="Times New Roman" w:cs="Times New Roman" w:eastAsia="Times New Roman" w:hAnsi="Times New Roman"/>
          <w:color w:val="000000"/>
          <w:sz w:val="24"/>
          <w:szCs w:val="24"/>
        </w:rPr>
        <w:t xml:space="preserve"> IBM </w:t>
      </w:r>
      <w:r>
        <w:rPr>
          <w:rFonts w:ascii="Courier New" w:cs="Courier New" w:eastAsia="Courier New" w:hAnsi="Courier New"/>
          <w:color w:val="000000"/>
          <w:sz w:val="22"/>
          <w:szCs w:val="22"/>
        </w:rPr>
        <w:t xml:space="preserve">granite-tsfm</w:t>
      </w:r>
      <w:r>
        <w:rPr>
          <w:rFonts w:ascii="Times New Roman" w:cs="Times New Roman" w:eastAsia="Times New Roman" w:hAnsi="Times New Roman"/>
          <w:color w:val="000000"/>
          <w:sz w:val="24"/>
          <w:szCs w:val="24"/>
        </w:rPr>
        <w:t xml:space="preserve"> (TinyTimeMixer), porque su resolución degrada </w:t>
      </w:r>
      <w:r>
        <w:rPr>
          <w:rFonts w:ascii="Courier New" w:cs="Courier New" w:eastAsia="Courier New" w:hAnsi="Courier New"/>
          <w:color w:val="000000"/>
          <w:sz w:val="22"/>
          <w:szCs w:val="22"/>
        </w:rPr>
        <w:t xml:space="preserve">torch</w:t>
      </w:r>
      <w:r>
        <w:rPr>
          <w:rFonts w:ascii="Times New Roman" w:cs="Times New Roman" w:eastAsia="Times New Roman" w:hAnsi="Times New Roman"/>
          <w:color w:val="000000"/>
          <w:sz w:val="24"/>
          <w:szCs w:val="24"/>
        </w:rPr>
        <w:t xml:space="preserve"> de 2.13.0 a 2.10.0 y un entorno distinto al del resto del equipo rompe el requisito no funcional de reproducibilidad. Comprobado con </w:t>
      </w:r>
      <w:r>
        <w:rPr>
          <w:rFonts w:ascii="Courier New" w:cs="Courier New" w:eastAsia="Courier New" w:hAnsi="Courier New"/>
          <w:color w:val="000000"/>
          <w:sz w:val="22"/>
          <w:szCs w:val="22"/>
        </w:rPr>
        <w:t xml:space="preserve">uv pip install --dry-run</w:t>
      </w:r>
      <w:r>
        <w:rPr>
          <w:rFonts w:ascii="Times New Roman" w:cs="Times New Roman" w:eastAsia="Times New Roman" w:hAnsi="Times New Roman"/>
          <w:color w:val="000000"/>
          <w:sz w:val="24"/>
          <w:szCs w:val="24"/>
        </w:rPr>
        <w:t xml:space="preserve">, sin llegar a instalarlo.</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Qué es un modelo fundacional de series de tiempo: un modelo preentrenado sobre muchas series de dominios distintos que puede pronosticar una serie nueva sin haber sido entrenado en ella —*zero-shot*—. Ex]</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VTA (Verbal Technical Analysis)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Qué propone: traducir el estado de la serie a descripciones en lenguaje natural para que un modelo de lenguaje razone sobre ellas, en lugar de alimentarlo con números crudos.  Lo que hay que responder pa]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FinLSPM (Large Stock Predict Model)</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Qué es y para qué se diseñó. El punto de análisis: está pensado para **acciones**, y la sección de criptoactivos de la Semana 1 midió que las criptomonedas carecen del anclaje de valoración fundamental q]</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CryptoMamba</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no se puede instalar sin CUDA en las máquinas del equipo.</w:t>
      </w:r>
    </w:p>
    <w:p>
      <w:pPr>
        <w:spacing w:after="0" w:line="480" w:lineRule="auto"/>
        <w:ind w:firstLine="720"/>
      </w:pPr>
      <w:r>
        <w:rPr>
          <w:rFonts w:ascii="Courier New" w:cs="Courier New" w:eastAsia="Courier New" w:hAnsi="Courier New"/>
          <w:color w:val="000000"/>
          <w:sz w:val="22"/>
          <w:szCs w:val="22"/>
        </w:rPr>
        <w:t xml:space="preserve">mamba-ssm</w:t>
      </w:r>
      <w:r>
        <w:rPr>
          <w:rFonts w:ascii="Times New Roman" w:cs="Times New Roman" w:eastAsia="Times New Roman" w:hAnsi="Times New Roman"/>
          <w:color w:val="000000"/>
          <w:sz w:val="24"/>
          <w:szCs w:val="24"/>
        </w:rPr>
        <w:t xml:space="preserve"> publica en PyPI una única distribución de código fuente y </w:t>
      </w:r>
      <w:r>
        <w:rPr>
          <w:rFonts w:ascii="Times New Roman" w:cs="Times New Roman" w:eastAsia="Times New Roman" w:hAnsi="Times New Roman"/>
          <w:b/>
          <w:bCs/>
          <w:color w:val="000000"/>
          <w:sz w:val="24"/>
          <w:szCs w:val="24"/>
        </w:rPr>
        <w:t xml:space="preserve">ninguna rueda precompilada</w:t>
      </w:r>
      <w:r>
        <w:rPr>
          <w:rFonts w:ascii="Times New Roman" w:cs="Times New Roman" w:eastAsia="Times New Roman" w:hAnsi="Times New Roman"/>
          <w:color w:val="000000"/>
          <w:sz w:val="24"/>
          <w:szCs w:val="24"/>
        </w:rPr>
        <w:t xml:space="preserve">, de modo que todo se compila desde fuente. Sin </w:t>
      </w:r>
      <w:r>
        <w:rPr>
          <w:rFonts w:ascii="Courier New" w:cs="Courier New" w:eastAsia="Courier New" w:hAnsi="Courier New"/>
          <w:color w:val="000000"/>
          <w:sz w:val="22"/>
          <w:szCs w:val="22"/>
        </w:rPr>
        <w:t xml:space="preserve">nvcc</w:t>
      </w:r>
      <w:r>
        <w:rPr>
          <w:rFonts w:ascii="Times New Roman" w:cs="Times New Roman" w:eastAsia="Times New Roman" w:hAnsi="Times New Roman"/>
          <w:color w:val="000000"/>
          <w:sz w:val="24"/>
          <w:szCs w:val="24"/>
        </w:rPr>
        <w:t xml:space="preserve">, el </w:t>
      </w:r>
      <w:r>
        <w:rPr>
          <w:rFonts w:ascii="Courier New" w:cs="Courier New" w:eastAsia="Courier New" w:hAnsi="Courier New"/>
          <w:color w:val="000000"/>
          <w:sz w:val="22"/>
          <w:szCs w:val="22"/>
        </w:rPr>
        <w:t xml:space="preserve">setup.py</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causal-conv1d</w:t>
      </w:r>
      <w:r>
        <w:rPr>
          <w:rFonts w:ascii="Times New Roman" w:cs="Times New Roman" w:eastAsia="Times New Roman" w:hAnsi="Times New Roman"/>
          <w:color w:val="000000"/>
          <w:sz w:val="24"/>
          <w:szCs w:val="24"/>
        </w:rPr>
        <w:t xml:space="preserve"> avisa y después falla contra su propia variable indefinida: </w:t>
      </w:r>
      <w:r>
        <w:rPr>
          <w:rFonts w:ascii="Courier New" w:cs="Courier New" w:eastAsia="Courier New" w:hAnsi="Courier New"/>
          <w:color w:val="000000"/>
          <w:sz w:val="22"/>
          <w:szCs w:val="22"/>
        </w:rPr>
        <w:t xml:space="preserve">NameError: name 'bare_metal_version' is not defined</w:t>
      </w:r>
      <w:r>
        <w:rPr>
          <w:rFonts w:ascii="Times New Roman" w:cs="Times New Roman" w:eastAsia="Times New Roman" w:hAnsi="Times New Roman"/>
          <w:color w:val="000000"/>
          <w:sz w:val="24"/>
          <w:szCs w:val="24"/>
        </w:rPr>
        <w:t xml:space="preserve">. Probado en un entorno desechable, nunca en el del proyecto. Fuente: </w:t>
      </w:r>
      <w:r>
        <w:rPr>
          <w:rFonts w:ascii="Courier New" w:cs="Courier New" w:eastAsia="Courier New" w:hAnsi="Courier New"/>
          <w:color w:val="000000"/>
          <w:sz w:val="22"/>
          <w:szCs w:val="22"/>
        </w:rPr>
        <w:t xml:space="preserve">m3-spike-cryptomamba.json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Explicá qué es un modelo de espacio de estados y en qué se diferencia de un Transformer: coste lineal con la longitud de la secuencia frente a cuadrático, y estado recurrente frente a atención sobre toda]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Transformer</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El punto que la asignación añadió y que no estaba en la tabla original del enunciado, así que hay que cubrirlo bien.  Qué es el mecanismo de atención y por qué se propuso para series temporales. Después ]</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Justificación de la elección de modelo</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Es el punto que más pesa, porque es donde se ve si las cinco secciones anteriores sirvieron para decidir o solo para describir.  La estructura que funciona: **criterios primero, candidatos después.** Dec]</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Procedimiento para Desarrollar el Modelo de Puntos de Inflexión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S2-M0-02</w:t>
      </w:r>
    </w:p>
    <w:p>
      <w:pPr>
        <w:spacing w:after="0" w:line="480" w:lineRule="auto"/>
        <w:ind w:left="720"/>
      </w:pPr>
      <w:r>
        <w:rPr>
          <w:rFonts w:ascii="Times New Roman" w:cs="Times New Roman" w:eastAsia="Times New Roman" w:hAnsi="Times New Roman"/>
          <w:b/>
          <w:bCs/>
          <w:color w:val="000000"/>
          <w:sz w:val="24"/>
          <w:szCs w:val="24"/>
        </w:rPr>
        <w:t xml:space="preserve">Nota de verificación.</w:t>
      </w:r>
      <w:r>
        <w:rPr>
          <w:rFonts w:ascii="Times New Roman" w:cs="Times New Roman" w:eastAsia="Times New Roman" w:hAnsi="Times New Roman"/>
          <w:color w:val="000000"/>
          <w:sz w:val="24"/>
          <w:szCs w:val="24"/>
        </w:rPr>
        <w:t xml:space="preserve"> Los valores citados salen de </w:t>
      </w:r>
      <w:r>
        <w:rPr>
          <w:rFonts w:ascii="Courier New" w:cs="Courier New" w:eastAsia="Courier New" w:hAnsi="Courier New"/>
          <w:color w:val="000000"/>
          <w:sz w:val="22"/>
          <w:szCs w:val="22"/>
        </w:rPr>
        <w:t xml:space="preserve">docs/evidencias/modelo-clasico-4h-w7-h1.json</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docs/evidencias/estudio-w-h.json</w:t>
      </w:r>
      <w:r>
        <w:rPr>
          <w:rFonts w:ascii="Times New Roman" w:cs="Times New Roman" w:eastAsia="Times New Roman" w:hAnsi="Times New Roman"/>
          <w:color w:val="000000"/>
          <w:sz w:val="24"/>
          <w:szCs w:val="24"/>
        </w:rPr>
        <w:t xml:space="preserve">, y se comprueban con </w:t>
      </w:r>
      <w:r>
        <w:rPr>
          <w:rFonts w:ascii="Courier New" w:cs="Courier New" w:eastAsia="Courier New" w:hAnsi="Courier New"/>
          <w:color w:val="000000"/>
          <w:sz w:val="22"/>
          <w:szCs w:val="22"/>
        </w:rPr>
        <w:t xml:space="preserve">scripts/verificar_numeros.py</w:t>
      </w:r>
      <w:r>
        <w:rPr>
          <w:rFonts w:ascii="Times New Roman" w:cs="Times New Roman" w:eastAsia="Times New Roman" w:hAnsi="Times New Roman"/>
          <w:color w:val="000000"/>
          <w:sz w:val="24"/>
          <w:szCs w:val="24"/>
        </w:rPr>
        <w:t xml:space="preserve">. Salvo indicación expresa, todos corresponden a la configuración congelada: </w:t>
      </w:r>
      <w:r>
        <w:rPr>
          <w:rFonts w:ascii="Times New Roman" w:cs="Times New Roman" w:eastAsia="Times New Roman" w:hAnsi="Times New Roman"/>
          <w:b/>
          <w:bCs/>
          <w:color w:val="000000"/>
          <w:sz w:val="24"/>
          <w:szCs w:val="24"/>
        </w:rPr>
        <w:t xml:space="preserve">velas de 4 horas, </w:t>
      </w:r>
      <w:r>
        <w:rPr>
          <w:rFonts w:ascii="Courier New" w:cs="Courier New" w:eastAsia="Courier New" w:hAnsi="Courier New"/>
          <w:b/>
          <w:bCs/>
          <w:color w:val="000000"/>
          <w:sz w:val="22"/>
          <w:szCs w:val="22"/>
        </w:rPr>
        <w:t xml:space="preserve">w = 7</w:t>
      </w:r>
      <w:r>
        <w:rPr>
          <w:rFonts w:ascii="Times New Roman" w:cs="Times New Roman" w:eastAsia="Times New Roman" w:hAnsi="Times New Roman"/>
          <w:b/>
          <w:bCs/>
          <w:color w:val="000000"/>
          <w:sz w:val="24"/>
          <w:szCs w:val="24"/>
        </w:rPr>
        <w:t xml:space="preserve">, </w:t>
      </w:r>
      <w:r>
        <w:rPr>
          <w:rFonts w:ascii="Courier New" w:cs="Courier New" w:eastAsia="Courier New" w:hAnsi="Courier New"/>
          <w:b/>
          <w:bCs/>
          <w:color w:val="000000"/>
          <w:sz w:val="22"/>
          <w:szCs w:val="22"/>
        </w:rPr>
        <w:t xml:space="preserve">h =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plantea un procedimiento genérico de ocho etapas y pide adaptarlo al proyecto. Esta sección lo recorre entera, y en cada etapa declara qué está construido y medido, y qué queda pendiente. La diferencia entre las dos cosas se señala en cada caso, porque un procedimiento descrito y un procedimiento ejecutado no son lo mismo.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Extracción de datos</w:t>
      </w:r>
    </w:p>
    <w:p>
      <w:pPr>
        <w:spacing w:after="0" w:line="480" w:lineRule="auto"/>
        <w:ind w:firstLine="720"/>
      </w:pPr>
      <w:r>
        <w:rPr>
          <w:rFonts w:ascii="Times New Roman" w:cs="Times New Roman" w:eastAsia="Times New Roman" w:hAnsi="Times New Roman"/>
          <w:color w:val="000000"/>
          <w:sz w:val="24"/>
          <w:szCs w:val="24"/>
        </w:rPr>
        <w:t xml:space="preserve">Los precios provienen de la interfaz pública de Binance, de las seis parejas contra USDT. La descarga deja un manifiesto con la suma de verificación de cada archivo, de modo que dos personas pueden comprobar que trabajan sobre el mismo panel sin compararlo fila por fila.</w:t>
      </w:r>
    </w:p>
    <w:p>
      <w:pPr>
        <w:spacing w:after="0" w:line="480" w:lineRule="auto"/>
        <w:ind w:firstLine="720"/>
      </w:pPr>
      <w:r>
        <w:rPr>
          <w:rFonts w:ascii="Times New Roman" w:cs="Times New Roman" w:eastAsia="Times New Roman" w:hAnsi="Times New Roman"/>
          <w:b/>
          <w:bCs/>
          <w:color w:val="000000"/>
          <w:sz w:val="24"/>
          <w:szCs w:val="24"/>
        </w:rPr>
        <w:t xml:space="preserve">La decisión de granularidad se resolvió midiendo, y el criterio se fijó antes de mirar el resultado:</w:t>
      </w:r>
      <w:r>
        <w:rPr>
          <w:rFonts w:ascii="Times New Roman" w:cs="Times New Roman" w:eastAsia="Times New Roman" w:hAnsi="Times New Roman"/>
          <w:color w:val="000000"/>
          <w:sz w:val="24"/>
          <w:szCs w:val="24"/>
        </w:rPr>
        <w:t xml:space="preserve"> elegir el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más grande que deje al menos </w:t>
      </w:r>
      <w:r>
        <w:rPr>
          <w:rFonts w:ascii="Times New Roman" w:cs="Times New Roman" w:eastAsia="Times New Roman" w:hAnsi="Times New Roman"/>
          <w:b/>
          <w:bCs/>
          <w:color w:val="000000"/>
          <w:sz w:val="24"/>
          <w:szCs w:val="24"/>
        </w:rPr>
        <w:t xml:space="preserve">300 ejemplos</w:t>
      </w:r>
      <w:r>
        <w:rPr>
          <w:rFonts w:ascii="Times New Roman" w:cs="Times New Roman" w:eastAsia="Times New Roman" w:hAnsi="Times New Roman"/>
          <w:color w:val="000000"/>
          <w:sz w:val="24"/>
          <w:szCs w:val="24"/>
        </w:rPr>
        <w:t xml:space="preserve"> de la clase minoritaria en entrenamiento.</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Disponibilidad de la clase minoritaria por granularidad</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Mejor caso medido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¿Cumple el piso?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diarias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149 ejemplos con </w:t>
            </w:r>
            <w:r>
              <w:rPr>
                <w:rFonts w:ascii="Courier New" w:cs="Courier New" w:eastAsia="Courier New" w:hAnsi="Courier New"/>
                <w:color w:val="000000"/>
                <w:sz w:val="20"/>
                <w:szCs w:val="20"/>
              </w:rPr>
              <w:t xml:space="preserve">w = 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 en ninguna combinación</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de 4 horas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 ejemplos con </w:t>
            </w:r>
            <w:r>
              <w:rPr>
                <w:rFonts w:ascii="Courier New" w:cs="Courier New" w:eastAsia="Courier New" w:hAnsi="Courier New"/>
                <w:color w:val="000000"/>
                <w:sz w:val="20"/>
                <w:szCs w:val="20"/>
              </w:rPr>
              <w:t xml:space="preserve">w = 7</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hasta </w:t>
            </w:r>
            <w:r>
              <w:rPr>
                <w:rFonts w:ascii="Courier New" w:cs="Courier New" w:eastAsia="Courier New" w:hAnsi="Courier New"/>
                <w:color w:val="000000"/>
                <w:sz w:val="20"/>
                <w:szCs w:val="20"/>
              </w:rPr>
              <w:t xml:space="preserve">w = 7</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estudio-w-h.json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granularidades cubren exactamente el mismo período, del 11 de agosto de 2020 al presente, porque la ventana la acota Solana y un panel multivariante exige que las seis series existan a la vez. Bajar la granularidad no añade historia: </w:t>
      </w:r>
      <w:r>
        <w:rPr>
          <w:rFonts w:ascii="Times New Roman" w:cs="Times New Roman" w:eastAsia="Times New Roman" w:hAnsi="Times New Roman"/>
          <w:b/>
          <w:bCs/>
          <w:color w:val="000000"/>
          <w:sz w:val="24"/>
          <w:szCs w:val="24"/>
        </w:rPr>
        <w:t xml:space="preserve">subdivide la que hay</w:t>
      </w:r>
      <w:r>
        <w:rPr>
          <w:rFonts w:ascii="Times New Roman" w:cs="Times New Roman" w:eastAsia="Times New Roman" w:hAnsi="Times New Roman"/>
          <w:color w:val="000000"/>
          <w:sz w:val="24"/>
          <w:szCs w:val="24"/>
        </w:rPr>
        <w:t xml:space="preserve">,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costo aceptado es que las velas de 4 horas incorporan más ruido de microestructura y son menos legibles en una figura.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Limpieza de datos</w:t>
      </w:r>
    </w:p>
    <w:p>
      <w:pPr>
        <w:spacing w:after="0" w:line="480" w:lineRule="auto"/>
        <w:ind w:firstLine="720"/>
      </w:pPr>
      <w:r>
        <w:rPr>
          <w:rFonts w:ascii="Times New Roman" w:cs="Times New Roman" w:eastAsia="Times New Roman" w:hAnsi="Times New Roman"/>
          <w:color w:val="000000"/>
          <w:sz w:val="24"/>
          <w:szCs w:val="24"/>
        </w:rPr>
        <w:t xml:space="preserve">La cobertura del panel de 4 horas está medida y es prácticamente completa: sobre los 13 114 instantes esperados para Solana no hay ningún hueco, y los de los demás activos en su historia completa van de 9 a 16 velas, menos del 0,1 %.</w:t>
      </w:r>
    </w:p>
    <w:p>
      <w:pPr>
        <w:spacing w:after="0" w:line="480" w:lineRule="auto"/>
        <w:ind w:firstLine="720"/>
      </w:pPr>
      <w:r>
        <w:rPr>
          <w:rFonts w:ascii="Times New Roman" w:cs="Times New Roman" w:eastAsia="Times New Roman" w:hAnsi="Times New Roman"/>
          <w:b/>
          <w:bCs/>
          <w:color w:val="000000"/>
          <w:sz w:val="24"/>
          <w:szCs w:val="24"/>
        </w:rPr>
        <w:t xml:space="preserve">La política es no imputar en el panel.</w:t>
      </w:r>
      <w:r>
        <w:rPr>
          <w:rFonts w:ascii="Times New Roman" w:cs="Times New Roman" w:eastAsia="Times New Roman" w:hAnsi="Times New Roman"/>
          <w:color w:val="000000"/>
          <w:sz w:val="24"/>
          <w:szCs w:val="24"/>
        </w:rPr>
        <w:t xml:space="preserve"> Un hueco en el precio es información —el mercado no cotizó, o el exchange no publicó— y rellenarlo inventa una observación que después alimenta una etiqueta. Los nulos que sí aparecen son los que introducen las ventanas móviles al principio de la serie, </w:t>
      </w:r>
      <w:r>
        <w:rPr>
          <w:rFonts w:ascii="Times New Roman" w:cs="Times New Roman" w:eastAsia="Times New Roman" w:hAnsi="Times New Roman"/>
          <w:b/>
          <w:bCs/>
          <w:color w:val="000000"/>
          <w:sz w:val="24"/>
          <w:szCs w:val="24"/>
        </w:rPr>
        <w:t xml:space="preserve">30 filas</w:t>
      </w:r>
      <w:r>
        <w:rPr>
          <w:rFonts w:ascii="Times New Roman" w:cs="Times New Roman" w:eastAsia="Times New Roman" w:hAnsi="Times New Roman"/>
          <w:color w:val="000000"/>
          <w:sz w:val="24"/>
          <w:szCs w:val="24"/>
        </w:rPr>
        <w:t xml:space="preserve">, y se tratan dentro del modelo y no antes de particionar, por la razón que se explica en la etapa 5.</w:t>
      </w:r>
    </w:p>
    <w:p>
      <w:pPr>
        <w:spacing w:after="0" w:line="480" w:lineRule="auto"/>
        <w:ind w:firstLine="720"/>
      </w:pPr>
      <w:r>
        <w:rPr>
          <w:rFonts w:ascii="Times New Roman" w:cs="Times New Roman" w:eastAsia="Times New Roman" w:hAnsi="Times New Roman"/>
          <w:color w:val="000000"/>
          <w:sz w:val="24"/>
          <w:szCs w:val="24"/>
        </w:rPr>
        <w:t xml:space="preserve">El panel se valida contra un esquema explícito antes de cualquier uso: columnas exactas, tipos e índice temporal. Un panel que no cumple el esquema falla al cargarse en lugar de propagar el defecto.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Análisis exploratorio</w:t>
      </w:r>
    </w:p>
    <w:p>
      <w:pPr>
        <w:spacing w:after="0" w:line="480" w:lineRule="auto"/>
        <w:ind w:firstLine="720"/>
      </w:pPr>
      <w:r>
        <w:rPr>
          <w:rFonts w:ascii="Times New Roman" w:cs="Times New Roman" w:eastAsia="Times New Roman" w:hAnsi="Times New Roman"/>
          <w:color w:val="000000"/>
          <w:sz w:val="24"/>
          <w:szCs w:val="24"/>
        </w:rPr>
        <w:t xml:space="preserve">Es lo que constituyó la entrega de la Semana 1, y sus resultados condicionan todas las etapas siguientes. Los tres que más pesan:</w:t>
      </w:r>
    </w:p>
    <w:p>
      <w:pPr>
        <w:spacing w:after="0" w:line="480" w:lineRule="auto"/>
        <w:ind w:firstLine="720"/>
      </w:pPr>
      <w:r>
        <w:rPr>
          <w:rFonts w:ascii="Times New Roman" w:cs="Times New Roman" w:eastAsia="Times New Roman" w:hAnsi="Times New Roman"/>
          <w:b/>
          <w:bCs/>
          <w:color w:val="000000"/>
          <w:sz w:val="24"/>
          <w:szCs w:val="24"/>
        </w:rPr>
        <w:t xml:space="preserve">Los precios no son estacionarios y los retornos sí.</w:t>
      </w:r>
      <w:r>
        <w:rPr>
          <w:rFonts w:ascii="Times New Roman" w:cs="Times New Roman" w:eastAsia="Times New Roman" w:hAnsi="Times New Roman"/>
          <w:color w:val="000000"/>
          <w:sz w:val="24"/>
          <w:szCs w:val="24"/>
        </w:rPr>
        <w:t xml:space="preserve"> Ninguna de las seis series rechaza la raíz unitaria sobre precios; las seis la rechazan sobre retornos. De ahí que las características se construyan sobre retornos.</w:t>
      </w:r>
    </w:p>
    <w:p>
      <w:pPr>
        <w:spacing w:after="0" w:line="480" w:lineRule="auto"/>
        <w:ind w:firstLine="720"/>
      </w:pPr>
      <w:r>
        <w:rPr>
          <w:rFonts w:ascii="Times New Roman" w:cs="Times New Roman" w:eastAsia="Times New Roman" w:hAnsi="Times New Roman"/>
          <w:b/>
          <w:bCs/>
          <w:color w:val="000000"/>
          <w:sz w:val="24"/>
          <w:szCs w:val="24"/>
        </w:rPr>
        <w:t xml:space="preserve">Los retornos no tienen autocorrelación lineal aprovechable.</w:t>
      </w:r>
      <w:r>
        <w:rPr>
          <w:rFonts w:ascii="Times New Roman" w:cs="Times New Roman" w:eastAsia="Times New Roman" w:hAnsi="Times New Roman"/>
          <w:color w:val="000000"/>
          <w:sz w:val="24"/>
          <w:szCs w:val="24"/>
        </w:rPr>
        <w:t xml:space="preserve"> De cuarenta rezagos, tres superan la banda de confianza. Es el argumento medido a favor de modelos no lineales y multivariantes.</w:t>
      </w:r>
    </w:p>
    <w:p>
      <w:pPr>
        <w:spacing w:after="0" w:line="480" w:lineRule="auto"/>
        <w:ind w:firstLine="720"/>
      </w:pPr>
      <w:r>
        <w:rPr>
          <w:rFonts w:ascii="Times New Roman" w:cs="Times New Roman" w:eastAsia="Times New Roman" w:hAnsi="Times New Roman"/>
          <w:b/>
          <w:bCs/>
          <w:color w:val="000000"/>
          <w:sz w:val="24"/>
          <w:szCs w:val="24"/>
        </w:rPr>
        <w:t xml:space="preserve">La volatilidad conmuta entre regímenes</w:t>
      </w:r>
      <w:r>
        <w:rPr>
          <w:rFonts w:ascii="Times New Roman" w:cs="Times New Roman" w:eastAsia="Times New Roman" w:hAnsi="Times New Roman"/>
          <w:color w:val="000000"/>
          <w:sz w:val="24"/>
          <w:szCs w:val="24"/>
        </w:rPr>
        <w:t xml:space="preserve">, con un cociente de 8,8 entre extremos. Descarta los métodos que asumen varianza constante.</w:t>
      </w:r>
    </w:p>
    <w:p>
      <w:pPr>
        <w:spacing w:after="0" w:line="480" w:lineRule="auto"/>
        <w:ind w:left="720"/>
      </w:pPr>
      <w:r>
        <w:rPr>
          <w:rFonts w:ascii="Times New Roman" w:cs="Times New Roman" w:eastAsia="Times New Roman" w:hAnsi="Times New Roman"/>
          <w:color w:val="000000"/>
          <w:sz w:val="24"/>
          <w:szCs w:val="24"/>
        </w:rPr>
        <w:t xml:space="preserve">Esos números se midieron sobre velas diarias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que era la configuración vigente en aquella entrega, y así quedan declarados. No se regeneraron al congelar el contrato porque ninguno depende de la etiqueta: se calculan sobre precios y retornos.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Ingeniería de características</w:t>
      </w:r>
    </w:p>
    <w:p>
      <w:pPr>
        <w:spacing w:after="0" w:line="480" w:lineRule="auto"/>
        <w:ind w:firstLine="720"/>
      </w:pPr>
      <w:r>
        <w:rPr>
          <w:rFonts w:ascii="Times New Roman" w:cs="Times New Roman" w:eastAsia="Times New Roman" w:hAnsi="Times New Roman"/>
          <w:color w:val="000000"/>
          <w:sz w:val="24"/>
          <w:szCs w:val="24"/>
        </w:rPr>
        <w:t xml:space="preserve">El conjunto actual tiene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de las cuales </w:t>
      </w:r>
      <w:r>
        <w:rPr>
          <w:rFonts w:ascii="Times New Roman" w:cs="Times New Roman" w:eastAsia="Times New Roman" w:hAnsi="Times New Roman"/>
          <w:b/>
          <w:bCs/>
          <w:color w:val="000000"/>
          <w:sz w:val="24"/>
          <w:szCs w:val="24"/>
        </w:rPr>
        <w:t xml:space="preserve">24 son precios rezagados en nivel</w:t>
      </w:r>
      <w:r>
        <w:rPr>
          <w:rFonts w:ascii="Times New Roman" w:cs="Times New Roman" w:eastAsia="Times New Roman" w:hAnsi="Times New Roman"/>
          <w:color w:val="000000"/>
          <w:sz w:val="24"/>
          <w:szCs w:val="24"/>
        </w:rPr>
        <w:t xml:space="preserve">. Cubre cinco familias: retornos y rezagos de los seis activos, indicadores técnicos, estadísticos de ventana deslizante, medidas de volatilidad y medidas de correlación entre activos.</w:t>
      </w:r>
    </w:p>
    <w:p>
      <w:pPr>
        <w:spacing w:after="0" w:line="480" w:lineRule="auto"/>
        <w:ind w:firstLine="720"/>
      </w:pPr>
      <w:r>
        <w:rPr>
          <w:rFonts w:ascii="Times New Roman" w:cs="Times New Roman" w:eastAsia="Times New Roman" w:hAnsi="Times New Roman"/>
          <w:b/>
          <w:bCs/>
          <w:color w:val="000000"/>
          <w:sz w:val="24"/>
          <w:szCs w:val="24"/>
        </w:rPr>
        <w:t xml:space="preserve">Las que más pesan, medidas por importancia sobre el modelo de referencia:</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Las cinco características de mayor importancia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Importancia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0,0706</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LTC_retorno_7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LTC_retorno_3</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0,0414</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LTC_dist_ema_12</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0,0405</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modelo-clasico-4h-w7-h1.json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Que encabecen medidas de </w:t>
      </w:r>
      <w:r>
        <w:rPr>
          <w:rFonts w:ascii="Times New Roman" w:cs="Times New Roman" w:eastAsia="Times New Roman" w:hAnsi="Times New Roman"/>
          <w:b/>
          <w:bCs/>
          <w:color w:val="000000"/>
          <w:sz w:val="24"/>
          <w:szCs w:val="24"/>
        </w:rPr>
        <w:t xml:space="preserve">posición relativa dentro de una ventana</w:t>
      </w:r>
      <w:r>
        <w:rPr>
          <w:rFonts w:ascii="Times New Roman" w:cs="Times New Roman" w:eastAsia="Times New Roman" w:hAnsi="Times New Roman"/>
          <w:color w:val="000000"/>
          <w:sz w:val="24"/>
          <w:szCs w:val="24"/>
        </w:rPr>
        <w:t xml:space="preserve"> y no precios en nivel es coherente con el hallazgo de la Semana 1: lo que informa es dónde está el precio respecto de su vecindad reciente, no cuánto vale.</w:t>
      </w:r>
    </w:p>
    <w:p>
      <w:pPr>
        <w:spacing w:after="0" w:line="480" w:lineRule="auto"/>
        <w:ind w:firstLine="720"/>
      </w:pPr>
      <w:r>
        <w:rPr>
          <w:rFonts w:ascii="Times New Roman" w:cs="Times New Roman" w:eastAsia="Times New Roman" w:hAnsi="Times New Roman"/>
          <w:b/>
          <w:bCs/>
          <w:color w:val="000000"/>
          <w:sz w:val="24"/>
          <w:szCs w:val="24"/>
        </w:rPr>
        <w:t xml:space="preserve">Un resultado medido que queda abierto:</w:t>
      </w:r>
      <w:r>
        <w:rPr>
          <w:rFonts w:ascii="Times New Roman" w:cs="Times New Roman" w:eastAsia="Times New Roman" w:hAnsi="Times New Roman"/>
          <w:color w:val="000000"/>
          <w:sz w:val="24"/>
          <w:szCs w:val="24"/>
        </w:rPr>
        <w:t xml:space="preserve"> retirar las 24 columnas de precio en nivel </w:t>
      </w:r>
      <w:r>
        <w:rPr>
          <w:rFonts w:ascii="Times New Roman" w:cs="Times New Roman" w:eastAsia="Times New Roman" w:hAnsi="Times New Roman"/>
          <w:b/>
          <w:bCs/>
          <w:color w:val="000000"/>
          <w:sz w:val="24"/>
          <w:szCs w:val="24"/>
        </w:rPr>
        <w:t xml:space="preserve">mejora</w:t>
      </w:r>
      <w:r>
        <w:rPr>
          <w:rFonts w:ascii="Times New Roman" w:cs="Times New Roman" w:eastAsia="Times New Roman" w:hAnsi="Times New Roman"/>
          <w:color w:val="000000"/>
          <w:sz w:val="24"/>
          <w:szCs w:val="24"/>
        </w:rPr>
        <w:t xml:space="preserve"> el F1 macro del modelo de referencia. La variante sin ellas es la mejor de las cinco evaluadas. No se adoptó como configuración por omisión porque la pregunta estaba prerregistrada y elegir la variante después de ver el resultado es una decisión del equipo, no de quien la mide.</w:t>
      </w:r>
    </w:p>
    <w:p>
      <w:pPr>
        <w:spacing w:after="0" w:line="480" w:lineRule="auto"/>
        <w:ind w:firstLine="720"/>
      </w:pPr>
      <w:r>
        <w:rPr>
          <w:rFonts w:ascii="Times New Roman" w:cs="Times New Roman" w:eastAsia="Times New Roman" w:hAnsi="Times New Roman"/>
          <w:b/>
          <w:bCs/>
          <w:color w:val="000000"/>
          <w:sz w:val="24"/>
          <w:szCs w:val="24"/>
        </w:rPr>
        <w:t xml:space="preserve">Toda característica se verifica contra fuga de información</w:t>
      </w:r>
      <w:r>
        <w:rPr>
          <w:rFonts w:ascii="Times New Roman" w:cs="Times New Roman" w:eastAsia="Times New Roman" w:hAnsi="Times New Roman"/>
          <w:color w:val="000000"/>
          <w:sz w:val="24"/>
          <w:szCs w:val="24"/>
        </w:rPr>
        <w:t xml:space="preserve"> antes de entrar: se perturba el futuro de la serie y se comprueba que los valores del pasado no cambian. Es obligatorio porque la fuga no se manifiesta como un error, sino como métricas excelentes.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Partición temporal</w:t>
      </w:r>
    </w:p>
    <w:p>
      <w:pPr>
        <w:spacing w:after="0" w:line="480" w:lineRule="auto"/>
        <w:ind w:firstLine="720"/>
      </w:pPr>
      <w:r>
        <w:rPr>
          <w:rFonts w:ascii="Times New Roman" w:cs="Times New Roman" w:eastAsia="Times New Roman" w:hAnsi="Times New Roman"/>
          <w:color w:val="000000"/>
          <w:sz w:val="24"/>
          <w:szCs w:val="24"/>
        </w:rPr>
        <w:t xml:space="preserve">No se usa validación cruzada aleatoria. Sobre una serie temporal, mezclar filas permite que el modelo se entrene con información posterior a la que predice.</w:t>
      </w:r>
    </w:p>
    <w:p>
      <w:pPr>
        <w:spacing w:after="0" w:line="480" w:lineRule="auto"/>
        <w:ind w:firstLine="720"/>
      </w:pPr>
      <w:r>
        <w:rPr>
          <w:rFonts w:ascii="Times New Roman" w:cs="Times New Roman" w:eastAsia="Times New Roman" w:hAnsi="Times New Roman"/>
          <w:color w:val="000000"/>
          <w:sz w:val="24"/>
          <w:szCs w:val="24"/>
        </w:rPr>
        <w:t xml:space="preserve">La partición es </w:t>
      </w:r>
      <w:r>
        <w:rPr>
          <w:rFonts w:ascii="Times New Roman" w:cs="Times New Roman" w:eastAsia="Times New Roman" w:hAnsi="Times New Roman"/>
          <w:b/>
          <w:bCs/>
          <w:color w:val="000000"/>
          <w:sz w:val="24"/>
          <w:szCs w:val="24"/>
        </w:rPr>
        <w:t xml:space="preserve">cronológica y con 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Partición temporal del panel de 4 horas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Observaciones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9 171</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1 959</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1 968</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Embargo, descartado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modelo-clasico-4h-w7-h1.json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El embargo son </w:t>
      </w:r>
      <w:r>
        <w:rPr>
          <w:rFonts w:ascii="Courier New" w:cs="Courier New" w:eastAsia="Courier New" w:hAnsi="Courier New"/>
          <w:b/>
          <w:bCs/>
          <w:color w:val="000000"/>
          <w:sz w:val="22"/>
          <w:szCs w:val="22"/>
        </w:rPr>
        <w:t xml:space="preserve">w + h</w:t>
      </w:r>
      <w:r>
        <w:rPr>
          <w:rFonts w:ascii="Times New Roman" w:cs="Times New Roman" w:eastAsia="Times New Roman" w:hAnsi="Times New Roman"/>
          <w:b/>
          <w:bCs/>
          <w:color w:val="000000"/>
          <w:sz w:val="24"/>
          <w:szCs w:val="24"/>
        </w:rPr>
        <w:t xml:space="preserve"> velas descartadas en cada frontera.</w:t>
      </w:r>
      <w:r>
        <w:rPr>
          <w:rFonts w:ascii="Times New Roman" w:cs="Times New Roman" w:eastAsia="Times New Roman" w:hAnsi="Times New Roman"/>
          <w:color w:val="000000"/>
          <w:sz w:val="24"/>
          <w:szCs w:val="24"/>
        </w:rPr>
        <w:t xml:space="preserve"> Sin él, las últimas observaciones de entrenamiento y las primeras de validación comparten las velas que se usaron para construir sus etiquetas, y los dos bloques dejan de ser independientes. Son 16 observaciones de 13 114: un costo despreciable frente al riesgo que elimina.</w:t>
      </w:r>
    </w:p>
    <w:p>
      <w:pPr>
        <w:spacing w:after="0" w:line="480" w:lineRule="auto"/>
        <w:ind w:firstLine="720"/>
      </w:pPr>
      <w:r>
        <w:rPr>
          <w:rFonts w:ascii="Times New Roman" w:cs="Times New Roman" w:eastAsia="Times New Roman" w:hAnsi="Times New Roman"/>
          <w:color w:val="000000"/>
          <w:sz w:val="24"/>
          <w:szCs w:val="24"/>
        </w:rPr>
        <w:t xml:space="preserve">De aquí sale también la razón por la que la imputación va </w:t>
      </w:r>
      <w:r>
        <w:rPr>
          <w:rFonts w:ascii="Times New Roman" w:cs="Times New Roman" w:eastAsia="Times New Roman" w:hAnsi="Times New Roman"/>
          <w:b/>
          <w:bCs/>
          <w:color w:val="000000"/>
          <w:sz w:val="24"/>
          <w:szCs w:val="24"/>
        </w:rPr>
        <w:t xml:space="preserve">dentro</w:t>
      </w:r>
      <w:r>
        <w:rPr>
          <w:rFonts w:ascii="Times New Roman" w:cs="Times New Roman" w:eastAsia="Times New Roman" w:hAnsi="Times New Roman"/>
          <w:color w:val="000000"/>
          <w:sz w:val="24"/>
          <w:szCs w:val="24"/>
        </w:rPr>
        <w:t xml:space="preserve"> del modelo. Si se imputara antes de particionar, la mediana se calcularía con datos de validación y de prueba, que es fuga de información por la puerta de atrás.</w:t>
      </w:r>
    </w:p>
    <w:p>
      <w:pPr>
        <w:spacing w:after="0" w:line="480" w:lineRule="auto"/>
        <w:ind w:firstLine="720"/>
      </w:pPr>
      <w:r>
        <w:rPr>
          <w:rFonts w:ascii="Times New Roman" w:cs="Times New Roman" w:eastAsia="Times New Roman" w:hAnsi="Times New Roman"/>
          <w:color w:val="000000"/>
          <w:sz w:val="24"/>
          <w:szCs w:val="24"/>
        </w:rPr>
        <w:t xml:space="preserve">El balance de clases en entrenamiento queda en </w:t>
      </w:r>
      <w:r>
        <w:rPr>
          <w:rFonts w:ascii="Times New Roman" w:cs="Times New Roman" w:eastAsia="Times New Roman" w:hAnsi="Times New Roman"/>
          <w:b/>
          <w:bCs/>
          <w:color w:val="000000"/>
          <w:sz w:val="24"/>
          <w:szCs w:val="24"/>
        </w:rPr>
        <w:t xml:space="preserve">4,58 % de máximos, 4,70 % de mínimos y 90,72 % de continuidad</w:t>
      </w:r>
      <w:r>
        <w:rPr>
          <w:rFonts w:ascii="Times New Roman" w:cs="Times New Roman" w:eastAsia="Times New Roman" w:hAnsi="Times New Roman"/>
          <w:color w:val="000000"/>
          <w:sz w:val="24"/>
          <w:szCs w:val="24"/>
        </w:rPr>
        <w:t xml:space="preserve">, muy por debajo de la cota aritmética del 12,5 % que impone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Selección del modelo</w:t>
      </w:r>
    </w:p>
    <w:p>
      <w:pPr>
        <w:spacing w:after="0" w:line="480" w:lineRule="auto"/>
        <w:ind w:firstLine="720"/>
      </w:pPr>
      <w:r>
        <w:rPr>
          <w:rFonts w:ascii="Times New Roman" w:cs="Times New Roman" w:eastAsia="Times New Roman" w:hAnsi="Times New Roman"/>
          <w:color w:val="000000"/>
          <w:sz w:val="24"/>
          <w:szCs w:val="24"/>
        </w:rPr>
        <w:t xml:space="preserve">Se aborda en dos pasos, como pide el enunciado, y con un piso obligatorio antes de los dos.</w:t>
      </w:r>
    </w:p>
    <w:p>
      <w:pPr>
        <w:spacing w:after="0" w:line="480" w:lineRule="auto"/>
        <w:ind w:firstLine="720"/>
      </w:pPr>
      <w:r>
        <w:rPr>
          <w:rFonts w:ascii="Times New Roman" w:cs="Times New Roman" w:eastAsia="Times New Roman" w:hAnsi="Times New Roman"/>
          <w:b/>
          <w:bCs/>
          <w:color w:val="000000"/>
          <w:sz w:val="24"/>
          <w:szCs w:val="24"/>
        </w:rPr>
        <w:t xml:space="preserve">Primero el piso.</w:t>
      </w:r>
      <w:r>
        <w:rPr>
          <w:rFonts w:ascii="Times New Roman" w:cs="Times New Roman" w:eastAsia="Times New Roman" w:hAnsi="Times New Roman"/>
          <w:color w:val="000000"/>
          <w:sz w:val="24"/>
          <w:szCs w:val="24"/>
        </w:rPr>
        <w:t xml:space="preserve"> Tres modelos de referencia deliberadamente triviales —el que responde siempre lo mismo, el que responde la clase mayoritaria y uno aleatorio— y un modelo clásico de referencia que recorre el circuito completo. Sirven para descartar explicaciones alternativas: si un modelo elaborado no supera al azar, no aprendió nada.</w:t>
      </w:r>
    </w:p>
    <w:p>
      <w:pPr>
        <w:spacing w:after="0" w:line="480" w:lineRule="auto"/>
        <w:ind w:firstLine="720"/>
      </w:pPr>
      <w:r>
        <w:rPr>
          <w:rFonts w:ascii="Times New Roman" w:cs="Times New Roman" w:eastAsia="Times New Roman" w:hAnsi="Times New Roman"/>
          <w:b/>
          <w:bCs/>
          <w:color w:val="000000"/>
          <w:sz w:val="24"/>
          <w:szCs w:val="24"/>
        </w:rPr>
        <w:t xml:space="preserve">Después los dos que pide el enunciado:</w:t>
      </w:r>
      <w:r>
        <w:rPr>
          <w:rFonts w:ascii="Times New Roman" w:cs="Times New Roman" w:eastAsia="Times New Roman" w:hAnsi="Times New Roman"/>
          <w:color w:val="000000"/>
          <w:sz w:val="24"/>
          <w:szCs w:val="24"/>
        </w:rPr>
        <w:t xml:space="preserve"> un modelo fundacional disponible públicamente, y un modelo más avanzado. La comparación entre ambos es la conclusión central del proyecto, y por eso las dos se miden con la misma función de evaluación, la misma partición y el mismo criterio.</w:t>
      </w:r>
    </w:p>
    <w:p>
      <w:pPr>
        <w:spacing w:after="0" w:line="480" w:lineRule="auto"/>
        <w:ind w:firstLine="720"/>
      </w:pPr>
      <w:r>
        <w:rPr>
          <w:rFonts w:ascii="Times New Roman" w:cs="Times New Roman" w:eastAsia="Times New Roman" w:hAnsi="Times New Roman"/>
          <w:b/>
          <w:bCs/>
          <w:color w:val="000000"/>
          <w:sz w:val="24"/>
          <w:szCs w:val="24"/>
        </w:rPr>
        <w:t xml:space="preserve">El criterio de decisión está fijado desde antes de medir:</w:t>
      </w:r>
      <w:r>
        <w:rPr>
          <w:rFonts w:ascii="Times New Roman" w:cs="Times New Roman" w:eastAsia="Times New Roman" w:hAnsi="Times New Roman"/>
          <w:color w:val="000000"/>
          <w:sz w:val="24"/>
          <w:szCs w:val="24"/>
        </w:rPr>
        <w:t xml:space="preserve"> un modelo solo se declara mejor si supera al mejor de los baselines en F1 macro por al menos </w:t>
      </w:r>
      <w:r>
        <w:rPr>
          <w:rFonts w:ascii="Times New Roman" w:cs="Times New Roman" w:eastAsia="Times New Roman" w:hAnsi="Times New Roman"/>
          <w:b/>
          <w:bCs/>
          <w:color w:val="000000"/>
          <w:sz w:val="24"/>
          <w:szCs w:val="24"/>
        </w:rPr>
        <w:t xml:space="preserve">0,02</w:t>
      </w:r>
      <w:r>
        <w:rPr>
          <w:rFonts w:ascii="Times New Roman" w:cs="Times New Roman" w:eastAsia="Times New Roman" w:hAnsi="Times New Roman"/>
          <w:color w:val="000000"/>
          <w:sz w:val="24"/>
          <w:szCs w:val="24"/>
        </w:rPr>
        <w:t xml:space="preserve">. Cualquier diferencia menor se reporta como no concluyente.</w:t>
      </w:r>
    </w:p>
    <w:p>
      <w:pPr>
        <w:spacing w:after="0" w:line="480" w:lineRule="auto"/>
        <w:ind w:firstLine="720"/>
      </w:pPr>
      <w:r>
        <w:rPr>
          <w:rFonts w:ascii="Times New Roman" w:cs="Times New Roman" w:eastAsia="Times New Roman" w:hAnsi="Times New Roman"/>
          <w:color w:val="000000"/>
          <w:sz w:val="24"/>
          <w:szCs w:val="24"/>
        </w:rPr>
        <w:t xml:space="preserve">La justificación concreta de qué modelo fundacional se elige, con el inventario medido de candidatos, está en </w:t>
      </w:r>
      <w:r>
        <w:rPr>
          <w:rFonts w:ascii="Courier New" w:cs="Courier New" w:eastAsia="Courier New" w:hAnsi="Courier New"/>
          <w:color w:val="000000"/>
          <w:sz w:val="22"/>
          <w:szCs w:val="22"/>
        </w:rPr>
        <w:t xml:space="preserve">m3-modelos.md</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Entrenamiento y optimización de hiperparámetros</w:t>
      </w:r>
    </w:p>
    <w:p>
      <w:pPr>
        <w:spacing w:after="0" w:line="480" w:lineRule="auto"/>
        <w:ind w:firstLine="720"/>
      </w:pPr>
      <w:r>
        <w:rPr>
          <w:rFonts w:ascii="Times New Roman" w:cs="Times New Roman" w:eastAsia="Times New Roman" w:hAnsi="Times New Roman"/>
          <w:b/>
          <w:bCs/>
          <w:color w:val="000000"/>
          <w:sz w:val="24"/>
          <w:szCs w:val="24"/>
        </w:rPr>
        <w:t xml:space="preserve">Están separados a propósito y en ese orden.</w:t>
      </w:r>
    </w:p>
    <w:p>
      <w:pPr>
        <w:spacing w:after="0" w:line="480" w:lineRule="auto"/>
        <w:ind w:firstLine="720"/>
      </w:pPr>
      <w:r>
        <w:rPr>
          <w:rFonts w:ascii="Times New Roman" w:cs="Times New Roman" w:eastAsia="Times New Roman" w:hAnsi="Times New Roman"/>
          <w:color w:val="000000"/>
          <w:sz w:val="24"/>
          <w:szCs w:val="24"/>
        </w:rPr>
        <w:t xml:space="preserve">El entrenamiento del modelo de referencia ya se ejecutó de punta a punta y es reproducible con un comando. Sus hiperparámetros se fijaron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mirar ningún resultado, y la razón de cada uno está escrita junto al valor, de modo que "lo elegimos antes de medir" es auditable y no una afirmación nuestra.</w:t>
      </w:r>
    </w:p>
    <w:p>
      <w:pPr>
        <w:spacing w:after="0" w:line="480" w:lineRule="auto"/>
        <w:ind w:firstLine="720"/>
      </w:pPr>
      <w:r>
        <w:rPr>
          <w:rFonts w:ascii="Times New Roman" w:cs="Times New Roman" w:eastAsia="Times New Roman" w:hAnsi="Times New Roman"/>
          <w:b/>
          <w:bCs/>
          <w:color w:val="000000"/>
          <w:sz w:val="24"/>
          <w:szCs w:val="24"/>
        </w:rPr>
        <w:t xml:space="preserve">La búsqueda de hiperparámetros no se hace todavía.</w:t>
      </w:r>
      <w:r>
        <w:rPr>
          <w:rFonts w:ascii="Times New Roman" w:cs="Times New Roman" w:eastAsia="Times New Roman" w:hAnsi="Times New Roman"/>
          <w:color w:val="000000"/>
          <w:sz w:val="24"/>
          <w:szCs w:val="24"/>
        </w:rPr>
        <w:t xml:space="preserve"> Ajustarlos mirando validación antes de que exista el modelo fundacional gastaría el único conjunto no visto que queda para comparar los dos modelos. Es una tarea del Sprint 4, y hasta entonces cualquier valor que se toque se declara como cambio.</w:t>
      </w:r>
    </w:p>
    <w:p>
      <w:pPr>
        <w:spacing w:after="0" w:line="480" w:lineRule="auto"/>
        <w:ind w:firstLine="720"/>
      </w:pPr>
      <w:r>
        <w:rPr>
          <w:rFonts w:ascii="Times New Roman" w:cs="Times New Roman" w:eastAsia="Times New Roman" w:hAnsi="Times New Roman"/>
          <w:color w:val="000000"/>
          <w:sz w:val="24"/>
          <w:szCs w:val="24"/>
        </w:rPr>
        <w:t xml:space="preserve">Hay un cambio ya declarado: la ponderación de clases del modelo de referencia se modificó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de ver que la opción prerregistrada colapsaba a la clase mayoritaria. Queda escrito en la evidencia como corrección de variante, no como búsqueda.</w:t>
      </w:r>
    </w:p>
    <w:p>
      <w:pPr>
        <w:spacing w:after="0" w:line="480" w:lineRule="auto"/>
        <w:ind w:firstLine="720"/>
      </w:pPr>
      <w:r>
        <w:rPr>
          <w:rFonts w:ascii="Times New Roman" w:cs="Times New Roman" w:eastAsia="Times New Roman" w:hAnsi="Times New Roman"/>
          <w:b/>
          <w:bCs/>
          <w:color w:val="000000"/>
          <w:sz w:val="24"/>
          <w:szCs w:val="24"/>
        </w:rPr>
        <w:t xml:space="preserve">El conjunto de prueba no se toca.</w:t>
      </w:r>
      <w:r>
        <w:rPr>
          <w:rFonts w:ascii="Times New Roman" w:cs="Times New Roman" w:eastAsia="Times New Roman" w:hAnsi="Times New Roman"/>
          <w:color w:val="000000"/>
          <w:sz w:val="24"/>
          <w:szCs w:val="24"/>
        </w:rPr>
        <w:t xml:space="preserve"> El guion de experimentos exige una bandera explícita para evaluar sobre él, precisamente para que no ocurra por descuido.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Evaluación y despliegue</w:t>
      </w:r>
    </w:p>
    <w:p>
      <w:pPr>
        <w:spacing w:after="0" w:line="480" w:lineRule="auto"/>
        <w:ind w:firstLine="720"/>
      </w:pPr>
      <w:r>
        <w:rPr>
          <w:rFonts w:ascii="Times New Roman" w:cs="Times New Roman" w:eastAsia="Times New Roman" w:hAnsi="Times New Roman"/>
          <w:b/>
          <w:bCs/>
          <w:color w:val="000000"/>
          <w:sz w:val="24"/>
          <w:szCs w:val="24"/>
        </w:rPr>
        <w:t xml:space="preserve">Las métricas están fijadas y viven en una sola implementación compartida:</w:t>
      </w:r>
      <w:r>
        <w:rPr>
          <w:rFonts w:ascii="Times New Roman" w:cs="Times New Roman" w:eastAsia="Times New Roman" w:hAnsi="Times New Roman"/>
          <w:color w:val="000000"/>
          <w:sz w:val="24"/>
          <w:szCs w:val="24"/>
        </w:rPr>
        <w:t xml:space="preserve"> F1 por clase, F1 macro, Precisión Direccional y matriz de confusión. La exactitud se reporta únicamente para mostrar por qué no sirve. El desarrollo completo del argumento está en la sección de métricas de la Semana 1.</w:t>
      </w:r>
    </w:p>
    <w:p>
      <w:pPr>
        <w:spacing w:after="0" w:line="480" w:lineRule="auto"/>
        <w:ind w:firstLine="720"/>
      </w:pPr>
      <w:r>
        <w:rPr>
          <w:rFonts w:ascii="Times New Roman" w:cs="Times New Roman" w:eastAsia="Times New Roman" w:hAnsi="Times New Roman"/>
          <w:b/>
          <w:bCs/>
          <w:color w:val="000000"/>
          <w:sz w:val="24"/>
          <w:szCs w:val="24"/>
        </w:rPr>
        <w:t xml:space="preserve">Lo que hay que reportar sobre la anticipación real.</w:t>
      </w:r>
      <w:r>
        <w:rPr>
          <w:rFonts w:ascii="Times New Roman" w:cs="Times New Roman" w:eastAsia="Times New Roman" w:hAnsi="Times New Roman"/>
          <w:color w:val="000000"/>
          <w:sz w:val="24"/>
          <w:szCs w:val="24"/>
        </w:rPr>
        <w:t xml:space="preserve"> La latencia efectiva del sistema es </w:t>
      </w:r>
      <w:r>
        <w:rPr>
          <w:rFonts w:ascii="Courier New" w:cs="Courier New" w:eastAsia="Courier New" w:hAnsi="Courier New"/>
          <w:color w:val="000000"/>
          <w:sz w:val="22"/>
          <w:szCs w:val="22"/>
        </w:rPr>
        <w:t xml:space="preserve">h + w</w:t>
      </w:r>
      <w:r>
        <w:rPr>
          <w:rFonts w:ascii="Times New Roman" w:cs="Times New Roman" w:eastAsia="Times New Roman" w:hAnsi="Times New Roman"/>
          <w:color w:val="000000"/>
          <w:sz w:val="24"/>
          <w:szCs w:val="24"/>
        </w:rPr>
        <w:t xml:space="preserve">, no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sobre velas de 4 horas son </w:t>
      </w:r>
      <w:r>
        <w:rPr>
          <w:rFonts w:ascii="Times New Roman" w:cs="Times New Roman" w:eastAsia="Times New Roman" w:hAnsi="Times New Roman"/>
          <w:b/>
          <w:bCs/>
          <w:color w:val="000000"/>
          <w:sz w:val="24"/>
          <w:szCs w:val="24"/>
        </w:rPr>
        <w:t xml:space="preserve">8 velas, es decir 32 horas</w:t>
      </w:r>
      <w:r>
        <w:rPr>
          <w:rFonts w:ascii="Times New Roman" w:cs="Times New Roman" w:eastAsia="Times New Roman" w:hAnsi="Times New Roman"/>
          <w:color w:val="000000"/>
          <w:sz w:val="24"/>
          <w:szCs w:val="24"/>
        </w:rPr>
        <w:t xml:space="preserve">. Para saber si la vela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 fue un máximo hay que observar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Reportar "predice una vela adelante" sin aclararlo sería engañoso.</w:t>
      </w:r>
    </w:p>
    <w:p>
      <w:pPr>
        <w:spacing w:after="0" w:line="480" w:lineRule="auto"/>
        <w:ind w:firstLine="720"/>
      </w:pPr>
      <w:r>
        <w:rPr>
          <w:rFonts w:ascii="Times New Roman" w:cs="Times New Roman" w:eastAsia="Times New Roman" w:hAnsi="Times New Roman"/>
          <w:b/>
          <w:bCs/>
          <w:color w:val="000000"/>
          <w:sz w:val="24"/>
          <w:szCs w:val="24"/>
        </w:rPr>
        <w:t xml:space="preserve">Despliegue.</w:t>
      </w:r>
      <w:r>
        <w:rPr>
          <w:rFonts w:ascii="Times New Roman" w:cs="Times New Roman" w:eastAsia="Times New Roman" w:hAnsi="Times New Roman"/>
          <w:color w:val="000000"/>
          <w:sz w:val="24"/>
          <w:szCs w:val="24"/>
        </w:rPr>
        <w:t xml:space="preserve"> El backend expone las predicciones y la evidencia por una interfaz pública, y la aplicación web las consume. Está construido y funciona en local; la publicación para uso público es una tarea abierta.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procedimiento todavía no resuelve</w:t>
      </w:r>
    </w:p>
    <w:p>
      <w:pPr>
        <w:spacing w:after="0" w:line="480" w:lineRule="auto"/>
        <w:ind w:firstLine="720"/>
      </w:pPr>
      <w:r>
        <w:rPr>
          <w:rFonts w:ascii="Times New Roman" w:cs="Times New Roman" w:eastAsia="Times New Roman" w:hAnsi="Times New Roman"/>
          <w:color w:val="000000"/>
          <w:sz w:val="24"/>
          <w:szCs w:val="24"/>
        </w:rPr>
        <w:t xml:space="preserve">Tres cuestiones abiertas, que se declaran aquí para que no aparezcan como sorpresa más adelante.</w:t>
      </w:r>
    </w:p>
    <w:p>
      <w:pPr>
        <w:spacing w:after="0" w:line="480" w:lineRule="auto"/>
        <w:ind w:firstLine="720"/>
      </w:pPr>
      <w:r>
        <w:rPr>
          <w:rFonts w:ascii="Times New Roman" w:cs="Times New Roman" w:eastAsia="Times New Roman" w:hAnsi="Times New Roman"/>
          <w:b/>
          <w:bCs/>
          <w:color w:val="000000"/>
          <w:sz w:val="24"/>
          <w:szCs w:val="24"/>
        </w:rPr>
        <w:t xml:space="preserve">Cómo se pasa de un pronóstico de trayectoria a una etiqueta de tres clases.</w:t>
      </w:r>
      <w:r>
        <w:rPr>
          <w:rFonts w:ascii="Times New Roman" w:cs="Times New Roman" w:eastAsia="Times New Roman" w:hAnsi="Times New Roman"/>
          <w:color w:val="000000"/>
          <w:sz w:val="24"/>
          <w:szCs w:val="24"/>
        </w:rPr>
        <w:t xml:space="preserve"> Un modelo fundacional pronostica el precio, no la clase. Aplicar el etiquetador sobre la trayectoria pronosticada es la vía más directa y reutiliza el contrato en lugar de añadir una cabeza entrenable, pero es una decisión de diseño que hay que tomar y justificar.</w:t>
      </w:r>
    </w:p>
    <w:p>
      <w:pPr>
        <w:spacing w:after="0" w:line="480" w:lineRule="auto"/>
        <w:ind w:firstLine="720"/>
      </w:pPr>
      <w:r>
        <w:rPr>
          <w:rFonts w:ascii="Times New Roman" w:cs="Times New Roman" w:eastAsia="Times New Roman" w:hAnsi="Times New Roman"/>
          <w:b/>
          <w:bCs/>
          <w:color w:val="000000"/>
          <w:sz w:val="24"/>
          <w:szCs w:val="24"/>
        </w:rPr>
        <w:t xml:space="preserve">Qué se entiende por prueba en tiempo real.</w:t>
      </w:r>
      <w:r>
        <w:rPr>
          <w:rFonts w:ascii="Times New Roman" w:cs="Times New Roman" w:eastAsia="Times New Roman" w:hAnsi="Times New Roman"/>
          <w:color w:val="000000"/>
          <w:sz w:val="24"/>
          <w:szCs w:val="24"/>
        </w:rPr>
        <w:t xml:space="preserve"> El enunciado la pide para las semanas 3 y 4. Como la etiqueta de un instante no se conoce hasta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después, caben dos lecturas —confirmación tardía pero verificable, o anuncio en el momento— y son dos productos distintos. Está en la consulta al profesor.</w:t>
      </w:r>
    </w:p>
    <w:p>
      <w:pPr>
        <w:spacing w:after="0" w:line="480" w:lineRule="auto"/>
        <w:ind w:firstLine="720"/>
      </w:pPr>
      <w:r>
        <w:rPr>
          <w:rFonts w:ascii="Times New Roman" w:cs="Times New Roman" w:eastAsia="Times New Roman" w:hAnsi="Times New Roman"/>
          <w:b/>
          <w:bCs/>
          <w:color w:val="000000"/>
          <w:sz w:val="24"/>
          <w:szCs w:val="24"/>
        </w:rPr>
        <w:t xml:space="preserve">Cuánta señal hay realmente.</w:t>
      </w:r>
      <w:r>
        <w:rPr>
          <w:rFonts w:ascii="Times New Roman" w:cs="Times New Roman" w:eastAsia="Times New Roman" w:hAnsi="Times New Roman"/>
          <w:color w:val="000000"/>
          <w:sz w:val="24"/>
          <w:szCs w:val="24"/>
        </w:rPr>
        <w:t xml:space="preserve"> La información mutua entre lo observable y la etiqueta es baja para todo horizonte,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sustenta la elección de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es la forma de la curva y no su magnitud, y esa magnitud pequeña es en sí misma un aviso: el problema es difícil con las características actuales.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Limitaciones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Trabajo siguiente</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2026-08-19T18:33:17.027Z</dcterms:created>
  <dcterms:modified xsi:type="dcterms:W3CDTF">2026-08-19T18:33:17.028Z</dcterms:modified>
</cp:coreProperties>
</file>

<file path=docProps/custom.xml><?xml version="1.0" encoding="utf-8"?>
<Properties xmlns="http://schemas.openxmlformats.org/officeDocument/2006/custom-properties" xmlns:vt="http://schemas.openxmlformats.org/officeDocument/2006/docPropsVTypes"/>
</file>