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w:t>
      </w:r>
      <w:r>
        <w:rPr>
          <w:rFonts w:ascii="Times New Roman" w:cs="Times New Roman" w:eastAsia="Times New Roman" w:hAnsi="Times New Roman"/>
          <w:color w:val="000000"/>
          <w:sz w:val="24"/>
          <w:szCs w:val="24"/>
        </w:rPr>
        <w:t xml:space="preserve"> Está demostrado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segunda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Son tres mediciones distintas y conviene no confundirlas:</w:t>
      </w:r>
      <w:r>
        <w:rPr>
          <w:rFonts w:ascii="Times New Roman" w:cs="Times New Roman" w:eastAsia="Times New Roman" w:hAnsi="Times New Roman"/>
          <w:color w:val="000000"/>
          <w:sz w:val="24"/>
          <w:szCs w:val="24"/>
        </w:rPr>
        <w:t xml:space="preserve"> la de arriba —nueve períodos, la más potente—, la del bloque fresco —la más limpia, y la más pequeña— y la del bloque de prueba —</w:t>
      </w:r>
      <w:r>
        <w:rPr>
          <w:rFonts w:ascii="Times New Roman" w:cs="Times New Roman" w:eastAsia="Times New Roman" w:hAnsi="Times New Roman"/>
          <w:b/>
          <w:bCs/>
          <w:color w:val="000000"/>
          <w:sz w:val="24"/>
          <w:szCs w:val="24"/>
        </w:rPr>
        <w:t xml:space="preserve">la única oficial</w:t>
      </w:r>
      <w:r>
        <w:rPr>
          <w:rFonts w:ascii="Times New Roman" w:cs="Times New Roman" w:eastAsia="Times New Roman" w:hAnsi="Times New Roman"/>
          <w:color w:val="000000"/>
          <w:sz w:val="24"/>
          <w:szCs w:val="24"/>
        </w:rPr>
        <w:t xml:space="preserve">, y la que el informe reporta—.</w:t>
      </w:r>
    </w:p>
    <w:p>
      <w:pPr>
        <w:spacing w:after="0" w:line="480" w:lineRule="auto"/>
        <w:ind w:firstLine="720"/>
      </w:pPr>
      <w:r>
        <w:rPr>
          <w:rFonts w:ascii="Times New Roman" w:cs="Times New Roman" w:eastAsia="Times New Roman" w:hAnsi="Times New Roman"/>
          <w:b/>
          <w:bCs/>
          <w:color w:val="000000"/>
          <w:sz w:val="24"/>
          <w:szCs w:val="24"/>
        </w:rPr>
        <w:t xml:space="preserve">Las tres apuntan al mismo lado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C.1).</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 qué se descarga</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De dónde salen,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1.6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5.4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5.5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5.3.</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5.5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hay una segunda mitad de esta limitación, que es de tamaño y no de instrumento.</w:t>
      </w:r>
      <w:r>
        <w:rPr>
          <w:rFonts w:ascii="Times New Roman" w:cs="Times New Roman" w:eastAsia="Times New Roman" w:hAnsi="Times New Roman"/>
          <w:color w:val="000000"/>
          <w:sz w:val="24"/>
          <w:szCs w:val="24"/>
        </w:rPr>
        <w:t xml:space="preserve"> Aun cuando la condición se puede aplicar, hace falta muestra suficiente para que signifique algo. La Figura 4 lo cuantifica: con las </w:t>
      </w:r>
      <w:r>
        <w:rPr>
          <w:rFonts w:ascii="Times New Roman" w:cs="Times New Roman" w:eastAsia="Times New Roman" w:hAnsi="Times New Roman"/>
          <w:b/>
          <w:bCs/>
          <w:color w:val="000000"/>
          <w:sz w:val="24"/>
          <w:szCs w:val="24"/>
        </w:rPr>
        <w:t xml:space="preserve">1 960 velas</w:t>
      </w:r>
      <w:r>
        <w:rPr>
          <w:rFonts w:ascii="Times New Roman" w:cs="Times New Roman" w:eastAsia="Times New Roman" w:hAnsi="Times New Roman"/>
          <w:color w:val="000000"/>
          <w:sz w:val="24"/>
          <w:szCs w:val="24"/>
        </w:rPr>
        <w:t xml:space="preserve"> del bloque de prueba, un efecto como el que este sistema tiene se detecta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Es el umbral convencional — defendible, pero sin margen.</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Cuánta muestra hacía falta para ver el efecto que hay. El bloque que se usó cae exactamente sobre el 80 %</w:t>
      </w:r>
    </w:p>
    <w:p>
      <w:pPr>
        <w:spacing w:after="12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62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docs/evidencias/informe-f4-curva-potencia.png</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datos que sí se pueden volver a mirar.</w:t>
      </w:r>
    </w:p>
    <w:p>
      <w:pPr>
        <w:spacing w:after="0" w:line="480" w:lineRule="auto"/>
        <w:ind w:firstLine="720"/>
      </w:pPr>
      <w:r>
        <w:rPr>
          <w:rFonts w:ascii="Times New Roman" w:cs="Times New Roman" w:eastAsia="Times New Roman" w:hAnsi="Times New Roman"/>
          <w:color w:val="000000"/>
          <w:sz w:val="24"/>
          <w:szCs w:val="24"/>
        </w:rPr>
        <w:t xml:space="preserve">Salieron dos investigaciones distintas, y conviene leerlas por separado: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Tabla C.1.</w:t>
      </w:r>
      <w:r>
        <w:rPr>
          <w:rFonts w:ascii="Times New Roman" w:cs="Times New Roman" w:eastAsia="Times New Roman" w:hAnsi="Times New Roman"/>
          <w:color w:val="000000"/>
          <w:sz w:val="24"/>
          <w:szCs w:val="24"/>
        </w:rPr>
        <w:t xml:space="preserve"> Margen del extremo sobre su vecino más cercano.</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b/>
          <w:bCs/>
          <w:color w:val="000000"/>
          <w:sz w:val="24"/>
          <w:szCs w:val="24"/>
        </w:rPr>
        <w:t xml:space="preserve">Tabla C.2.</w:t>
      </w:r>
      <w:r>
        <w:rPr>
          <w:rFonts w:ascii="Times New Roman" w:cs="Times New Roman" w:eastAsia="Times New Roman" w:hAnsi="Times New Roman"/>
          <w:color w:val="000000"/>
          <w:sz w:val="24"/>
          <w:szCs w:val="24"/>
        </w:rPr>
        <w:t xml:space="preserve"> Nueve tramos consecutivos, sobre entrenamiento y validación.</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Tabla C.3.</w:t>
      </w:r>
      <w:r>
        <w:rPr>
          <w:rFonts w:ascii="Times New Roman" w:cs="Times New Roman" w:eastAsia="Times New Roman" w:hAnsi="Times New Roman"/>
          <w:color w:val="000000"/>
          <w:sz w:val="24"/>
          <w:szCs w:val="24"/>
        </w:rPr>
        <w:t xml:space="preserve"> El iTransformer contra el bosque, en los mismos nueve tramos.</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Tabla C.4.</w:t>
      </w:r>
      <w:r>
        <w:rPr>
          <w:rFonts w:ascii="Times New Roman" w:cs="Times New Roman" w:eastAsia="Times New Roman" w:hAnsi="Times New Roman"/>
          <w:color w:val="000000"/>
          <w:sz w:val="24"/>
          <w:szCs w:val="24"/>
        </w:rPr>
        <w:t xml:space="preserve"> Las predicciones de los nueve tramos, juntas: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con 347 máximos y 345 mínimos reales. Cuatro veces el bloque de prueba.</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adelanta algo que la </w:t>
      </w:r>
      <w:r>
        <w:rPr>
          <w:rFonts w:ascii="Times New Roman" w:cs="Times New Roman" w:eastAsia="Times New Roman" w:hAnsi="Times New Roman"/>
          <w:b/>
          <w:bCs/>
          <w:color w:val="000000"/>
          <w:sz w:val="24"/>
          <w:szCs w:val="24"/>
        </w:rPr>
        <w:t xml:space="preserve">parte B</w:t>
      </w:r>
      <w:r>
        <w:rPr>
          <w:rFonts w:ascii="Times New Roman" w:cs="Times New Roman" w:eastAsia="Times New Roman" w:hAnsi="Times New Roman"/>
          <w:color w:val="000000"/>
          <w:sz w:val="24"/>
          <w:szCs w:val="24"/>
        </w:rPr>
        <w:t xml:space="preserve"> desarrolla: </w:t>
      </w:r>
      <w:r>
        <w:rPr>
          <w:rFonts w:ascii="Times New Roman" w:cs="Times New Roman" w:eastAsia="Times New Roman" w:hAnsi="Times New Roman"/>
          <w:b/>
          <w:bCs/>
          <w:color w:val="000000"/>
          <w:sz w:val="24"/>
          <w:szCs w:val="24"/>
        </w:rPr>
        <w:t xml:space="preserve">el apilado de los seis activos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Tabla C.5.</w:t>
      </w:r>
      <w:r>
        <w:rPr>
          <w:rFonts w:ascii="Times New Roman" w:cs="Times New Roman" w:eastAsia="Times New Roman" w:hAnsi="Times New Roman"/>
          <w:color w:val="000000"/>
          <w:sz w:val="24"/>
          <w:szCs w:val="24"/>
        </w:rPr>
        <w:t xml:space="preserve"> Cada modelo contra el azar, por clase,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C.12 acaba de mostrar.</w:t>
      </w:r>
    </w:p>
    <w:p>
      <w:pPr>
        <w:spacing w:after="0" w:line="480" w:lineRule="auto"/>
        <w:ind w:firstLine="720"/>
      </w:pPr>
      <w:r>
        <w:rPr>
          <w:rFonts w:ascii="Times New Roman" w:cs="Times New Roman" w:eastAsia="Times New Roman" w:hAnsi="Times New Roman"/>
          <w:b/>
          <w:bCs/>
          <w:color w:val="000000"/>
          <w:sz w:val="24"/>
          <w:szCs w:val="24"/>
        </w:rPr>
        <w:t xml:space="preserve">Tabla C.6.</w:t>
      </w:r>
      <w:r>
        <w:rPr>
          <w:rFonts w:ascii="Times New Roman" w:cs="Times New Roman" w:eastAsia="Times New Roman" w:hAnsi="Times New Roman"/>
          <w:color w:val="000000"/>
          <w:sz w:val="24"/>
          <w:szCs w:val="24"/>
        </w:rPr>
        <w:t xml:space="preserve"> Los tres modelos contra el azar,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Tabla C.7.</w:t>
      </w:r>
      <w:r>
        <w:rPr>
          <w:rFonts w:ascii="Times New Roman" w:cs="Times New Roman" w:eastAsia="Times New Roman" w:hAnsi="Times New Roman"/>
          <w:color w:val="000000"/>
          <w:sz w:val="24"/>
          <w:szCs w:val="24"/>
        </w:rPr>
        <w:t xml:space="preserve"> El bloque fresco: velas posteriores a la construcción del modelo.</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C.1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que la </w:t>
      </w:r>
      <w:r>
        <w:rPr>
          <w:rFonts w:ascii="Times New Roman" w:cs="Times New Roman" w:eastAsia="Times New Roman" w:hAnsi="Times New Roman"/>
          <w:b/>
          <w:bCs/>
          <w:color w:val="000000"/>
          <w:sz w:val="24"/>
          <w:szCs w:val="24"/>
        </w:rPr>
        <w:t xml:space="preserve">parte A</w:t>
      </w:r>
      <w:r>
        <w:rPr>
          <w:rFonts w:ascii="Times New Roman" w:cs="Times New Roman" w:eastAsia="Times New Roman" w:hAnsi="Times New Roman"/>
          <w:color w:val="000000"/>
          <w:sz w:val="24"/>
          <w:szCs w:val="24"/>
        </w:rPr>
        <w:t xml:space="preserve"> midió, el fracaso tiene más sentido: los dos arreglos atacaban una asimetría entre picos y valles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—aparece en 5 de 9 tramos, que es una moneda—.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Tabla C.8.</w:t>
      </w:r>
      <w:r>
        <w:rPr>
          <w:rFonts w:ascii="Times New Roman" w:cs="Times New Roman" w:eastAsia="Times New Roman" w:hAnsi="Times New Roman"/>
          <w:color w:val="000000"/>
          <w:sz w:val="24"/>
          <w:szCs w:val="24"/>
        </w:rPr>
        <w:t xml:space="preserve"> Entrenar solo con LTC contra entrenar con los seis, sobre validación.</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Tabla C.9.</w:t>
      </w:r>
      <w:r>
        <w:rPr>
          <w:rFonts w:ascii="Times New Roman" w:cs="Times New Roman" w:eastAsia="Times New Roman" w:hAnsi="Times New Roman"/>
          <w:color w:val="000000"/>
          <w:sz w:val="24"/>
          <w:szCs w:val="24"/>
        </w:rPr>
        <w:t xml:space="preserve"> Las combinaciones,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Tabla C.10.</w:t>
      </w:r>
      <w:r>
        <w:rPr>
          <w:rFonts w:ascii="Times New Roman" w:cs="Times New Roman" w:eastAsia="Times New Roman" w:hAnsi="Times New Roman"/>
          <w:color w:val="000000"/>
          <w:sz w:val="24"/>
          <w:szCs w:val="24"/>
        </w:rPr>
        <w:t xml:space="preserve"> Los dos últimos,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Tabla C.11.</w:t>
      </w:r>
      <w:r>
        <w:rPr>
          <w:rFonts w:ascii="Times New Roman" w:cs="Times New Roman" w:eastAsia="Times New Roman" w:hAnsi="Times New Roman"/>
          <w:color w:val="000000"/>
          <w:sz w:val="24"/>
          <w:szCs w:val="24"/>
        </w:rPr>
        <w:t xml:space="preserve"> Todo lo que se probó, y en qué eje.</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(ver la </w:t>
      </w:r>
      <w:r>
        <w:rPr>
          <w:rFonts w:ascii="Times New Roman" w:cs="Times New Roman" w:eastAsia="Times New Roman" w:hAnsi="Times New Roman"/>
          <w:b/>
          <w:bCs/>
          <w:color w:val="000000"/>
          <w:sz w:val="24"/>
          <w:szCs w:val="24"/>
        </w:rPr>
        <w:t xml:space="preserve">Figura 6.1</w:t>
      </w:r>
      <w:r>
        <w:rPr>
          <w:rFonts w:ascii="Times New Roman" w:cs="Times New Roman" w:eastAsia="Times New Roman" w:hAnsi="Times New Roman"/>
          <w:color w:val="000000"/>
          <w:sz w:val="24"/>
          <w:szCs w:val="24"/>
        </w:rPr>
        <w:t xml:space="preserve"> de la sección 6):</w:t>
      </w:r>
    </w:p>
    <w:p>
      <w:pPr>
        <w:spacing w:after="0" w:line="480" w:lineRule="auto"/>
        <w:ind w:firstLine="720"/>
      </w:pPr>
      <w:r>
        <w:rPr>
          <w:rFonts w:ascii="Times New Roman" w:cs="Times New Roman" w:eastAsia="Times New Roman" w:hAnsi="Times New Roman"/>
          <w:b/>
          <w:bCs/>
          <w:color w:val="000000"/>
          <w:sz w:val="24"/>
          <w:szCs w:val="24"/>
        </w:rPr>
        <w:t xml:space="preserve">Tabla C.12.</w:t>
      </w:r>
      <w:r>
        <w:rPr>
          <w:rFonts w:ascii="Times New Roman" w:cs="Times New Roman" w:eastAsia="Times New Roman" w:hAnsi="Times New Roman"/>
          <w:color w:val="000000"/>
          <w:sz w:val="24"/>
          <w:szCs w:val="24"/>
        </w:rPr>
        <w:t xml:space="preserve"> Curva de potencia: probabilidad de detectar el efecto, según el tamaño del bloque.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Ansari, A. F., Stella, L., Turkmen, C., Zhang, X., Mercado, P., Shen, H., Shchur, O., Rangapuram, S. S., Pineda Arango, S., Kapoor, S., Zschiegner, J., Maddix, D. C., Wang, H., Mahoney, M. W., Torkkola, K., Wilson, A. G., Bohlke-Schneider, M., &amp; Wang, Y. (2024). </w:t>
      </w:r>
      <w:r>
        <w:rPr>
          <w:rFonts w:ascii="Times New Roman" w:cs="Times New Roman" w:eastAsia="Times New Roman" w:hAnsi="Times New Roman"/>
          <w:i/>
          <w:iCs/>
          <w:color w:val="000000"/>
          <w:sz w:val="24"/>
          <w:szCs w:val="24"/>
        </w:rPr>
        <w:t xml:space="preserve">Chronos: Learning the language of time series</w:t>
      </w:r>
      <w:r>
        <w:rPr>
          <w:rFonts w:ascii="Times New Roman" w:cs="Times New Roman" w:eastAsia="Times New Roman" w:hAnsi="Times New Roman"/>
          <w:color w:val="000000"/>
          <w:sz w:val="24"/>
          <w:szCs w:val="24"/>
        </w:rPr>
        <w:t xml:space="preserve"> (Preprint). arXiv. https://doi.org/10.48550/arXiv.2403.07815</w:t>
      </w:r>
    </w:p>
    <w:p>
      <w:pPr>
        <w:spacing w:after="0" w:line="480" w:lineRule="auto"/>
        <w:ind w:left="720" w:hanging="720"/>
      </w:pPr>
      <w:r>
        <w:rPr>
          <w:rFonts w:ascii="Times New Roman" w:cs="Times New Roman" w:eastAsia="Times New Roman" w:hAnsi="Times New Roman"/>
          <w:color w:val="000000"/>
          <w:sz w:val="24"/>
          <w:szCs w:val="24"/>
        </w:rPr>
        <w:t xml:space="preserve">Breiman, L. (2001). Random forests. </w:t>
      </w:r>
      <w:r>
        <w:rPr>
          <w:rFonts w:ascii="Times New Roman" w:cs="Times New Roman" w:eastAsia="Times New Roman" w:hAnsi="Times New Roman"/>
          <w:i/>
          <w:iCs/>
          <w:color w:val="000000"/>
          <w:sz w:val="24"/>
          <w:szCs w:val="24"/>
        </w:rPr>
        <w:t xml:space="preserve">Machine Learning, 45</w:t>
      </w:r>
      <w:r>
        <w:rPr>
          <w:rFonts w:ascii="Times New Roman" w:cs="Times New Roman" w:eastAsia="Times New Roman" w:hAnsi="Times New Roman"/>
          <w:color w:val="000000"/>
          <w:sz w:val="24"/>
          <w:szCs w:val="24"/>
        </w:rPr>
        <w:t xml:space="preserve">(1), 5–32. https://doi.org/10.1023/A:1010933404324</w:t>
      </w:r>
    </w:p>
    <w:p>
      <w:pPr>
        <w:spacing w:after="0" w:line="480" w:lineRule="auto"/>
        <w:ind w:left="720" w:hanging="720"/>
      </w:pPr>
      <w:r>
        <w:rPr>
          <w:rFonts w:ascii="Times New Roman" w:cs="Times New Roman" w:eastAsia="Times New Roman" w:hAnsi="Times New Roman"/>
          <w:color w:val="000000"/>
          <w:sz w:val="24"/>
          <w:szCs w:val="24"/>
        </w:rPr>
        <w:t xml:space="preserve">Vaswani, A., Shazeer, N., Parmar, N., Uszkoreit, J., Jones, L., Gomez, A. N., Kaiser, L., &amp; Polosukhin, I. (2017). </w:t>
      </w:r>
      <w:r>
        <w:rPr>
          <w:rFonts w:ascii="Times New Roman" w:cs="Times New Roman" w:eastAsia="Times New Roman" w:hAnsi="Times New Roman"/>
          <w:i/>
          <w:iCs/>
          <w:color w:val="000000"/>
          <w:sz w:val="24"/>
          <w:szCs w:val="24"/>
        </w:rPr>
        <w:t xml:space="preserve">Attention is all you need</w:t>
      </w:r>
      <w:r>
        <w:rPr>
          <w:rFonts w:ascii="Times New Roman" w:cs="Times New Roman" w:eastAsia="Times New Roman" w:hAnsi="Times New Roman"/>
          <w:color w:val="000000"/>
          <w:sz w:val="24"/>
          <w:szCs w:val="24"/>
        </w:rPr>
        <w:t xml:space="preserve"> (Preprint). arXiv. https://doi.org/10.48550/arXiv.1706.03762</w:t>
      </w:r>
    </w:p>
    <w:p>
      <w:pPr>
        <w:spacing w:after="0" w:line="480" w:lineRule="auto"/>
        <w:ind w:left="720" w:hanging="720"/>
      </w:pPr>
      <w:r>
        <w:rPr>
          <w:rFonts w:ascii="Times New Roman" w:cs="Times New Roman" w:eastAsia="Times New Roman" w:hAnsi="Times New Roman"/>
          <w:color w:val="000000"/>
          <w:sz w:val="24"/>
          <w:szCs w:val="24"/>
        </w:rPr>
        <w:t xml:space="preserve">Wang, P. (2024). </w:t>
      </w:r>
      <w:r>
        <w:rPr>
          <w:rFonts w:ascii="Times New Roman" w:cs="Times New Roman" w:eastAsia="Times New Roman" w:hAnsi="Times New Roman"/>
          <w:i/>
          <w:iCs/>
          <w:color w:val="000000"/>
          <w:sz w:val="24"/>
          <w:szCs w:val="24"/>
        </w:rPr>
        <w:t xml:space="preserve">iTransformer</w:t>
      </w:r>
      <w:r>
        <w:rPr>
          <w:rFonts w:ascii="Times New Roman" w:cs="Times New Roman" w:eastAsia="Times New Roman" w:hAnsi="Times New Roman"/>
          <w:color w:val="000000"/>
          <w:sz w:val="24"/>
          <w:szCs w:val="24"/>
        </w:rPr>
        <w:t xml:space="preserve"> (Versión 0.8.1) [Software]. GitHub. https://github.com/lucidrains/iTransformer</w:t>
      </w:r>
    </w:p>
    <w:p>
      <w:pPr>
        <w:spacing w:after="0" w:line="480" w:lineRule="auto"/>
        <w:ind w:left="720" w:hanging="720"/>
      </w:pPr>
      <w:r>
        <w:rPr>
          <w:rFonts w:ascii="Times New Roman" w:cs="Times New Roman" w:eastAsia="Times New Roman" w:hAnsi="Times New Roman"/>
          <w:color w:val="000000"/>
          <w:sz w:val="24"/>
          <w:szCs w:val="24"/>
        </w:rPr>
        <w:t xml:space="preserve">Zeng, A., Chen, M., Zhang, L., &amp; Xu, Q. (2023). Are Transformers effective for time series forecasting? </w:t>
      </w:r>
      <w:r>
        <w:rPr>
          <w:rFonts w:ascii="Times New Roman" w:cs="Times New Roman" w:eastAsia="Times New Roman" w:hAnsi="Times New Roman"/>
          <w:i/>
          <w:iCs/>
          <w:color w:val="000000"/>
          <w:sz w:val="24"/>
          <w:szCs w:val="24"/>
        </w:rPr>
        <w:t xml:space="preserve">Proceedings of the AAAI Conference on Artificial Intelligence, 37</w:t>
      </w:r>
      <w:r>
        <w:rPr>
          <w:rFonts w:ascii="Times New Roman" w:cs="Times New Roman" w:eastAsia="Times New Roman" w:hAnsi="Times New Roman"/>
          <w:color w:val="000000"/>
          <w:sz w:val="24"/>
          <w:szCs w:val="24"/>
        </w:rPr>
        <w:t xml:space="preserve">(9), 11121–11128. https://doi.org/10.1609/aaai.v37i9.26317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image" Target="media/caf5fa652d3d8c95916810e6570259fe2b0a19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2026-09-08T13:00:43.804Z</dcterms:created>
  <dcterms:modified xsi:type="dcterms:W3CDTF">2026-09-08T13:00:43.805Z</dcterms:modified>
</cp:coreProperties>
</file>

<file path=docProps/custom.xml><?xml version="1.0" encoding="utf-8"?>
<Properties xmlns="http://schemas.openxmlformats.org/officeDocument/2006/custom-properties" xmlns:vt="http://schemas.openxmlformats.org/officeDocument/2006/docPropsVTypes"/>
</file>