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volatilidad elevada y variable en el tiempo, y ausencia de un anclaje de valoración fundamental que permita anticipar reversiones por argumentos económicos.</w:t>
      </w:r>
    </w:p>
    <w:p>
      <w:pPr>
        <w:spacing w:after="0" w:line="480" w:lineRule="auto"/>
        <w:ind w:firstLine="720"/>
      </w:pPr>
      <w:r>
        <w:rPr>
          <w:rFonts w:ascii="Times New Roman" w:cs="Times New Roman" w:eastAsia="Times New Roman" w:hAnsi="Times New Roman"/>
          <w:color w:val="000000"/>
          <w:sz w:val="24"/>
          <w:szCs w:val="24"/>
        </w:rPr>
        <w:t xml:space="preserve">El documento adopta un criterio metodológico que conviene declarar desde el inicio, porque condiciona la forma de todas las secciones.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propiedad enunciada se acompaña de su verificación sobre los datos del proyecto, y el valor obtenido se reporta explícitamente. Cuando una afirmación no ha sido comprobada, se indica que no lo ha sido en lugar de omitirse.</w:t>
      </w:r>
    </w:p>
    <w:p>
      <w:pPr>
        <w:spacing w:after="0" w:line="480" w:lineRule="auto"/>
        <w:ind w:firstLine="720"/>
      </w:pPr>
      <w:r>
        <w:rPr>
          <w:rFonts w:ascii="Times New Roman" w:cs="Times New Roman" w:eastAsia="Times New Roman" w:hAnsi="Times New Roman"/>
          <w:color w:val="000000"/>
          <w:sz w:val="24"/>
          <w:szCs w:val="24"/>
        </w:rPr>
        <w:t xml:space="preserve">A ese criterio se añade un segundo, sugerido por el profesor durante la sesión de trabajo. Varios conceptos se ilustran mediante </w:t>
      </w:r>
      <w:r>
        <w:rPr>
          <w:rFonts w:ascii="Times New Roman" w:cs="Times New Roman" w:eastAsia="Times New Roman" w:hAnsi="Times New Roman"/>
          <w:b/>
          <w:bCs/>
          <w:color w:val="000000"/>
          <w:sz w:val="24"/>
          <w:szCs w:val="24"/>
        </w:rPr>
        <w:t xml:space="preserve">series construidas sintéticamente por los autores</w:t>
      </w:r>
      <w:r>
        <w:rPr>
          <w:rFonts w:ascii="Times New Roman" w:cs="Times New Roman" w:eastAsia="Times New Roman" w:hAnsi="Times New Roman"/>
          <w:color w:val="000000"/>
          <w:sz w:val="24"/>
          <w:szCs w:val="24"/>
        </w:rPr>
        <w:t xml:space="preserve">, en las cuales la volatilidad y la correlación se fijan de antemano. El propósito es verificar que los procedimientos empleados detectan aquello que declaran detectar antes de aplicarlos sobre datos reales, donde la respuesta correcta se desconoce. Las series construidas se identifican como tales en cada figura, y ninguna afirmación sobre el mercado se apoya en ellas.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identificarlo. El tercero examina las métricas de evaluación apropiadas para este problema, cuestión que exige tratamiento propio debido al desbalance estructural de las clases.</w:t>
      </w:r>
    </w:p>
    <w:p>
      <w:pPr>
        <w:spacing w:after="0" w:line="480" w:lineRule="auto"/>
        <w:ind w:firstLine="720"/>
      </w:pPr>
      <w:r>
        <w:rPr>
          <w:rFonts w:ascii="Times New Roman" w:cs="Times New Roman" w:eastAsia="Times New Roman" w:hAnsi="Times New Roman"/>
          <w:color w:val="000000"/>
          <w:sz w:val="24"/>
          <w:szCs w:val="24"/>
        </w:rPr>
        <w:t xml:space="preserve">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Series de Tiempo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Jose Pablo Monestel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S1-M1-06</w:t>
      </w:r>
    </w:p>
    <w:p>
      <w:pPr>
        <w:spacing w:after="0" w:line="480" w:lineRule="auto"/>
        <w:ind w:left="720"/>
      </w:pPr>
      <w:r>
        <w:rPr>
          <w:rFonts w:ascii="Times New Roman" w:cs="Times New Roman" w:eastAsia="Times New Roman" w:hAnsi="Times New Roman"/>
          <w:b/>
          <w:bCs/>
          <w:color w:val="000000"/>
          <w:sz w:val="24"/>
          <w:szCs w:val="24"/>
        </w:rPr>
        <w:t xml:space="preserve">Nota de verificación.</w:t>
      </w:r>
      <w:r>
        <w:rPr>
          <w:rFonts w:ascii="Times New Roman" w:cs="Times New Roman" w:eastAsia="Times New Roman" w:hAnsi="Times New Roman"/>
          <w:color w:val="000000"/>
          <w:sz w:val="24"/>
          <w:szCs w:val="24"/>
        </w:rPr>
        <w:t xml:space="preserve"> Todos los valores citados salen de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 medidos el 12/08/2026 sobre 2 185 velas diarias de 2020-08-11 a 2026-08-04, y se comprobaron con </w:t>
      </w:r>
      <w:r>
        <w:rPr>
          <w:rFonts w:ascii="Courier New" w:cs="Courier New" w:eastAsia="Courier New" w:hAnsi="Courier New"/>
          <w:color w:val="000000"/>
          <w:sz w:val="22"/>
          <w:szCs w:val="22"/>
        </w:rPr>
        <w:t xml:space="preserve">scripts/verificar_numeros.py</w:t>
      </w:r>
      <w:r>
        <w:rPr>
          <w:rFonts w:ascii="Times New Roman" w:cs="Times New Roman" w:eastAsia="Times New Roman" w:hAnsi="Times New Roman"/>
          <w:color w:val="000000"/>
          <w:sz w:val="24"/>
          <w:szCs w:val="24"/>
        </w:rPr>
        <w:t xml:space="preserve">. Las referencias bibliográficas se comprobaron contra el registro de Crossref el 17 de agosto de 2026 con </w:t>
      </w:r>
      <w:r>
        <w:rPr>
          <w:rFonts w:ascii="Courier New" w:cs="Courier New" w:eastAsia="Courier New" w:hAnsi="Courier New"/>
          <w:color w:val="000000"/>
          <w:sz w:val="22"/>
          <w:szCs w:val="22"/>
        </w:rPr>
        <w:t xml:space="preserve">scripts/verificar_referencias.py</w:t>
      </w:r>
      <w:r>
        <w:rPr>
          <w:rFonts w:ascii="Times New Roman" w:cs="Times New Roman" w:eastAsia="Times New Roman" w:hAnsi="Times New Roman"/>
          <w:color w:val="000000"/>
          <w:sz w:val="24"/>
          <w:szCs w:val="24"/>
        </w:rPr>
        <w:t xml:space="preserve"> —incluida la retractación de Corbet et al. (2019), que por eso no aparece citada aquí.</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 2 185 observaciones entre el 11 de agosto de 2020 y el 4 de agosto de 2026.</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color w:val="000000"/>
          <w:sz w:val="24"/>
          <w:szCs w:val="24"/>
        </w:rPr>
        <w:t xml:space="preserve">Una serie temporal es una secuencia de observaciones de una misma variable, indexadas por el momento en que fueron registradas y ordenadas de forma estricta en el tiempo (Box et al., 2015). Esa propiedad —el orden como parte constitutiva del dato, no como un atributo accesorio— es lo que la separa de un conjunto de datos transversal cualquiera: en una muestra de clientes o de transacciones el orden de las filas puede alterarse sin perder información, porque cada observación es, por diseño, independiente de las demás. En una serie temporal no: la observación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está relacionada con la observación en </w:t>
      </w:r>
      <w:r>
        <w:rPr>
          <w:rFonts w:ascii="Courier New" w:cs="Courier New" w:eastAsia="Courier New" w:hAnsi="Courier New"/>
          <w:color w:val="000000"/>
          <w:sz w:val="22"/>
          <w:szCs w:val="22"/>
        </w:rPr>
        <w:t xml:space="preserve">t-1</w:t>
      </w:r>
      <w:r>
        <w:rPr>
          <w:rFonts w:ascii="Times New Roman" w:cs="Times New Roman" w:eastAsia="Times New Roman" w:hAnsi="Times New Roman"/>
          <w:color w:val="000000"/>
          <w:sz w:val="24"/>
          <w:szCs w:val="24"/>
        </w:rPr>
        <w:t xml:space="preserve">, y esa dependencia es precisamente lo que hay que modelar. Reordenar una serie temporal no produce el mismo conjunto de datos con las filas mezcladas; produce un objeto distinto, porque destruye la estructura de dependencia que la definía.</w:t>
      </w:r>
    </w:p>
    <w:p>
      <w:pPr>
        <w:spacing w:after="0" w:line="480" w:lineRule="auto"/>
        <w:ind w:firstLine="720"/>
      </w:pPr>
      <w:r>
        <w:rPr>
          <w:rFonts w:ascii="Times New Roman" w:cs="Times New Roman" w:eastAsia="Times New Roman" w:hAnsi="Times New Roman"/>
          <w:color w:val="000000"/>
          <w:sz w:val="24"/>
          <w:szCs w:val="24"/>
        </w:rPr>
        <w:t xml:space="preserve">La Figura 1 muestra el objeto concreto de este trabajo: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del precio de cierre diario de Litecoin, registradas en instantes equiespaciados entre el 11 de agosto de 2020 y el 4 de agosto de 2026. Es una serie univariante —una sola variable, el precio de cierre— y regular, en el sentido de que el espaciado temporal entre observaciones consecutivas es constante. Esa regularidad no es un accidente del mercado: es una decisión de muestreo (velas diarias) sobre un proceso que, a diferencia de una bolsa de valores tradicional, cotiza de forma continua las veinticuatro horas. Cualquier análisis posterior de este documento —estacionariedad, autocorrelación, volatilidad— presupone justamente esto: que el orden de las 2 185 observaciones es información, y que tratarlas como si fueran intercambiables descartaría la parte más informativa del dato.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Componentes de una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LTC en tendencia, estacionalidad de período semanal y residuo.</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el componente estacional representa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w:t>
      </w:r>
    </w:p>
    <w:p>
      <w:pPr>
        <w:spacing w:after="0" w:line="480" w:lineRule="auto"/>
        <w:ind w:firstLine="720"/>
      </w:pPr>
      <w:r>
        <w:rPr>
          <w:rFonts w:ascii="Times New Roman" w:cs="Times New Roman" w:eastAsia="Times New Roman" w:hAnsi="Times New Roman"/>
          <w:color w:val="000000"/>
          <w:sz w:val="24"/>
          <w:szCs w:val="24"/>
        </w:rPr>
        <w:t xml:space="preserve">Una serie temporal puede descomponerse, al menos de forma conceptual, en cuatro componentes que capturan distintos tipos de estructura (Box et al., 2015). La </w:t>
      </w:r>
      <w:r>
        <w:rPr>
          <w:rFonts w:ascii="Times New Roman" w:cs="Times New Roman" w:eastAsia="Times New Roman" w:hAnsi="Times New Roman"/>
          <w:b/>
          <w:bCs/>
          <w:color w:val="000000"/>
          <w:sz w:val="24"/>
          <w:szCs w:val="24"/>
        </w:rPr>
        <w:t xml:space="preserve">tendencia</w:t>
      </w:r>
      <w:r>
        <w:rPr>
          <w:rFonts w:ascii="Times New Roman" w:cs="Times New Roman" w:eastAsia="Times New Roman" w:hAnsi="Times New Roman"/>
          <w:color w:val="000000"/>
          <w:sz w:val="24"/>
          <w:szCs w:val="24"/>
        </w:rPr>
        <w:t xml:space="preserve"> es el movimiento de largo plazo, sostenido en el tiempo, que no se revierte dentro del horizonte de la muestra. La </w:t>
      </w:r>
      <w:r>
        <w:rPr>
          <w:rFonts w:ascii="Times New Roman" w:cs="Times New Roman" w:eastAsia="Times New Roman" w:hAnsi="Times New Roman"/>
          <w:b/>
          <w:bCs/>
          <w:color w:val="000000"/>
          <w:sz w:val="24"/>
          <w:szCs w:val="24"/>
        </w:rPr>
        <w:t xml:space="preserve">estacionalidad</w:t>
      </w:r>
      <w:r>
        <w:rPr>
          <w:rFonts w:ascii="Times New Roman" w:cs="Times New Roman" w:eastAsia="Times New Roman" w:hAnsi="Times New Roman"/>
          <w:color w:val="000000"/>
          <w:sz w:val="24"/>
          <w:szCs w:val="24"/>
        </w:rPr>
        <w:t xml:space="preserve"> es un patrón que se repite con periodicidad fija y conocida —semanal, mensual, anual— y que suele responder a convenciones institucionales o de calendario: en un mercado bursátil tradicional, por ejemplo, existe un efecto de fin de semana documentado desde hace décadas, con rendimientos sistemáticamente distintos según el día de la semana en que cierra la operación (French, 1980). El </w:t>
      </w:r>
      <w:r>
        <w:rPr>
          <w:rFonts w:ascii="Times New Roman" w:cs="Times New Roman" w:eastAsia="Times New Roman" w:hAnsi="Times New Roman"/>
          <w:b/>
          <w:bCs/>
          <w:color w:val="000000"/>
          <w:sz w:val="24"/>
          <w:szCs w:val="24"/>
        </w:rPr>
        <w:t xml:space="preserve">ciclo</w:t>
      </w:r>
      <w:r>
        <w:rPr>
          <w:rFonts w:ascii="Times New Roman" w:cs="Times New Roman" w:eastAsia="Times New Roman" w:hAnsi="Times New Roman"/>
          <w:color w:val="000000"/>
          <w:sz w:val="24"/>
          <w:szCs w:val="24"/>
        </w:rPr>
        <w:t xml:space="preserve"> es un movimiento de duración variable y no fija, asociado típicamente a factores macroeconómicos de mediano plazo. El </w:t>
      </w:r>
      <w:r>
        <w:rPr>
          <w:rFonts w:ascii="Times New Roman" w:cs="Times New Roman" w:eastAsia="Times New Roman" w:hAnsi="Times New Roman"/>
          <w:b/>
          <w:bCs/>
          <w:color w:val="000000"/>
          <w:sz w:val="24"/>
          <w:szCs w:val="24"/>
        </w:rPr>
        <w:t xml:space="preserve">componente irregular o residuo</w:t>
      </w:r>
      <w:r>
        <w:rPr>
          <w:rFonts w:ascii="Times New Roman" w:cs="Times New Roman" w:eastAsia="Times New Roman" w:hAnsi="Times New Roman"/>
          <w:color w:val="000000"/>
          <w:sz w:val="24"/>
          <w:szCs w:val="24"/>
        </w:rPr>
        <w:t xml:space="preserve"> es lo que queda después de retirar los tres anteriores: la parte de la serie que no responde a ninguna estructura repetible.</w:t>
      </w:r>
    </w:p>
    <w:p>
      <w:pPr>
        <w:spacing w:after="0" w:line="480" w:lineRule="auto"/>
        <w:ind w:firstLine="720"/>
      </w:pPr>
      <w:r>
        <w:rPr>
          <w:rFonts w:ascii="Times New Roman" w:cs="Times New Roman" w:eastAsia="Times New Roman" w:hAnsi="Times New Roman"/>
          <w:color w:val="000000"/>
          <w:sz w:val="24"/>
          <w:szCs w:val="24"/>
        </w:rPr>
        <w:t xml:space="preserve">La Figura 2 aplica una descomposición aditiva con período semanal a la serie diaria de LTC. El resultado medido es que la estacionalidad representa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 una fracción marginal, con casi toda la variación repartida entre tendencia y residuo. La explicación se conecta directamente con la naturaleza del activo: el mercado de criptoactivos opera de forma continua, sin sesión de apertura ni de cierre y sin distinción entre día hábil y fin de semana, a diferencia del mercado que documenta French (1980), donde el calendario de negociación sí introduce una estacionalidad medible. No existe, en LTC, un mecanismo institucional que induzca un patrón semanal en el precio, y el dato medido es consistente con esa ausencia. La consecuencia práctica para el proyecto es que no tiene sentido dedicar variables del modelo a codificar el día de la semana: la evidencia dice que esa componente no aporta señal.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Estacionariedad</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p-valores del test de Dickey-Fuller aumentado sobre las seis criptomonedas, en precios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p-valores en nivel: LTC 0,179 · BTC 0,483 · </w:t>
      </w:r>
      <w:r>
        <w:rPr>
          <w:rFonts w:ascii="Times New Roman" w:cs="Times New Roman" w:eastAsia="Times New Roman" w:hAnsi="Times New Roman"/>
          <w:b/>
          <w:bCs/>
          <w:color w:val="000000"/>
          <w:sz w:val="24"/>
          <w:szCs w:val="24"/>
        </w:rPr>
        <w:t xml:space="preserve">ETH 0,059</w:t>
      </w:r>
      <w:r>
        <w:rPr>
          <w:rFonts w:ascii="Times New Roman" w:cs="Times New Roman" w:eastAsia="Times New Roman" w:hAnsi="Times New Roman"/>
          <w:color w:val="000000"/>
          <w:sz w:val="24"/>
          <w:szCs w:val="24"/>
        </w:rPr>
        <w:t xml:space="preserve"> · SOL 0,274 · XRP 0,285 · ADA 0,159. En retornos, los seis dan p &lt; 0,000001.</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el test también se corrió sobre una serie construida por nosotros cuyos retornos son estacionarios por construcción, y los rechazó todos. El método detecta lo que dice detectar.</w:t>
      </w:r>
    </w:p>
    <w:p>
      <w:pPr>
        <w:spacing w:after="0" w:line="480" w:lineRule="auto"/>
        <w:ind w:firstLine="720"/>
      </w:pPr>
      <w:r>
        <w:rPr>
          <w:rFonts w:ascii="Times New Roman" w:cs="Times New Roman" w:eastAsia="Times New Roman" w:hAnsi="Times New Roman"/>
          <w:color w:val="000000"/>
          <w:sz w:val="24"/>
          <w:szCs w:val="24"/>
        </w:rPr>
        <w:t xml:space="preserve">Una serie es estacionaria en sentido débil cuando sus primeros momentos no dependen del instante de observación: la </w:t>
      </w:r>
      <w:r>
        <w:rPr>
          <w:rFonts w:ascii="Times New Roman" w:cs="Times New Roman" w:eastAsia="Times New Roman" w:hAnsi="Times New Roman"/>
          <w:b/>
          <w:bCs/>
          <w:color w:val="000000"/>
          <w:sz w:val="24"/>
          <w:szCs w:val="24"/>
        </w:rPr>
        <w:t xml:space="preserve">media</w:t>
      </w:r>
      <w:r>
        <w:rPr>
          <w:rFonts w:ascii="Times New Roman" w:cs="Times New Roman" w:eastAsia="Times New Roman" w:hAnsi="Times New Roman"/>
          <w:color w:val="000000"/>
          <w:sz w:val="24"/>
          <w:szCs w:val="24"/>
        </w:rPr>
        <w:t xml:space="preserve"> es constante en el tiempo, la </w:t>
      </w:r>
      <w:r>
        <w:rPr>
          <w:rFonts w:ascii="Times New Roman" w:cs="Times New Roman" w:eastAsia="Times New Roman" w:hAnsi="Times New Roman"/>
          <w:b/>
          <w:bCs/>
          <w:color w:val="000000"/>
          <w:sz w:val="24"/>
          <w:szCs w:val="24"/>
        </w:rPr>
        <w:t xml:space="preserve">varianza</w:t>
      </w:r>
      <w:r>
        <w:rPr>
          <w:rFonts w:ascii="Times New Roman" w:cs="Times New Roman" w:eastAsia="Times New Roman" w:hAnsi="Times New Roman"/>
          <w:color w:val="000000"/>
          <w:sz w:val="24"/>
          <w:szCs w:val="24"/>
        </w:rPr>
        <w:t xml:space="preserve"> es constante en el tiempo, y la </w:t>
      </w:r>
      <w:r>
        <w:rPr>
          <w:rFonts w:ascii="Times New Roman" w:cs="Times New Roman" w:eastAsia="Times New Roman" w:hAnsi="Times New Roman"/>
          <w:b/>
          <w:bCs/>
          <w:color w:val="000000"/>
          <w:sz w:val="24"/>
          <w:szCs w:val="24"/>
        </w:rPr>
        <w:t xml:space="preserve">autocovarianza</w:t>
      </w:r>
      <w:r>
        <w:rPr>
          <w:rFonts w:ascii="Times New Roman" w:cs="Times New Roman" w:eastAsia="Times New Roman" w:hAnsi="Times New Roman"/>
          <w:color w:val="000000"/>
          <w:sz w:val="24"/>
          <w:szCs w:val="24"/>
        </w:rPr>
        <w:t xml:space="preserve"> entre dos observaciones depende únicamente de la distancia temporal que las separa —el rezago—, no del punto del tiempo en el que se midan (Box et al., 2015). Es una propiedad estadística, no una descripción visual de "que no tenga tendencia a simple vista": una serie puede parecer estable en un gráfico y no serlo, o al revés, y por eso se prueba de forma formal en lugar de decidirse por inspección.</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test de Dickey-Fuller aumentado (ADF)</w:t>
      </w:r>
      <w:r>
        <w:rPr>
          <w:rFonts w:ascii="Times New Roman" w:cs="Times New Roman" w:eastAsia="Times New Roman" w:hAnsi="Times New Roman"/>
          <w:color w:val="000000"/>
          <w:sz w:val="24"/>
          <w:szCs w:val="24"/>
        </w:rPr>
        <w:t xml:space="preserve"> es el instrumento estándar para esa prueba formal (Dickey &amp; Fuller, 1979; Said &amp; Dickey, 1984). Su hipótesis nula es que la serie tiene una raíz unitaria, es decir,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es estacionaria; la alternativa es que sí lo es. Un p-valor bajo —convencionalmente, menor a 0,05— permite rechazar la nula y concluir que hay evidencia estadística de estacionariedad. La Figura 3 y la tabla anterior resumen ese resultado sobre las seis criptomonedas del panel, en precios en nivel y en retornos, con el mismo procedimiento (</w:t>
      </w:r>
      <w:r>
        <w:rPr>
          <w:rFonts w:ascii="Courier New" w:cs="Courier New" w:eastAsia="Courier New" w:hAnsi="Courier New"/>
          <w:color w:val="000000"/>
          <w:sz w:val="22"/>
          <w:szCs w:val="22"/>
        </w:rPr>
        <w:t xml:space="preserve">adfuller</w:t>
      </w:r>
      <w:r>
        <w:rPr>
          <w:rFonts w:ascii="Times New Roman" w:cs="Times New Roman" w:eastAsia="Times New Roman" w:hAnsi="Times New Roman"/>
          <w:color w:val="000000"/>
          <w:sz w:val="24"/>
          <w:szCs w:val="24"/>
        </w:rPr>
        <w:t xml:space="preserve">, con selección automática de rezagos por criterio de información de Akaike) aplicado por igual a las seis series.</w:t>
      </w:r>
    </w:p>
    <w:p>
      <w:pPr>
        <w:spacing w:after="0" w:line="480" w:lineRule="auto"/>
        <w:ind w:firstLine="720"/>
      </w:pPr>
      <w:r>
        <w:rPr>
          <w:rFonts w:ascii="Times New Roman" w:cs="Times New Roman" w:eastAsia="Times New Roman" w:hAnsi="Times New Roman"/>
          <w:color w:val="000000"/>
          <w:sz w:val="24"/>
          <w:szCs w:val="24"/>
        </w:rPr>
        <w:t xml:space="preserve">Aquí conviene ser preciso con lo que el resultado permite afirmar. Sobre precios en nivel, el test no rechaza la hipótesis nula en ninguna de las seis series (</w:t>
      </w:r>
      <w:r>
        <w:rPr>
          <w:rFonts w:ascii="Times New Roman" w:cs="Times New Roman" w:eastAsia="Times New Roman" w:hAnsi="Times New Roman"/>
          <w:b/>
          <w:bCs/>
          <w:color w:val="000000"/>
          <w:sz w:val="24"/>
          <w:szCs w:val="24"/>
        </w:rPr>
        <w:t xml:space="preserve">0 de 6</w:t>
      </w:r>
      <w:r>
        <w:rPr>
          <w:rFonts w:ascii="Times New Roman" w:cs="Times New Roman" w:eastAsia="Times New Roman" w:hAnsi="Times New Roman"/>
          <w:color w:val="000000"/>
          <w:sz w:val="24"/>
          <w:szCs w:val="24"/>
        </w:rPr>
        <w:t xml:space="preserve">, con p-valores entre 0,059 y 0,483). Eso </w:t>
      </w:r>
      <w:r>
        <w:rPr>
          <w:rFonts w:ascii="Times New Roman" w:cs="Times New Roman" w:eastAsia="Times New Roman" w:hAnsi="Times New Roman"/>
          <w:b/>
          <w:bCs/>
          <w:color w:val="000000"/>
          <w:sz w:val="24"/>
          <w:szCs w:val="24"/>
        </w:rPr>
        <w:t xml:space="preserve">no demuestra</w:t>
      </w:r>
      <w:r>
        <w:rPr>
          <w:rFonts w:ascii="Times New Roman" w:cs="Times New Roman" w:eastAsia="Times New Roman" w:hAnsi="Times New Roman"/>
          <w:color w:val="000000"/>
          <w:sz w:val="24"/>
          <w:szCs w:val="24"/>
        </w:rPr>
        <w:t xml:space="preserve"> que las seis series sean no estacionarias: demuestra que, con estos datos y este nivel de significancia, no hay evidencia suficiente en contra de la hipótesis de raíz unitaria. Es la diferencia entre "no hay evidencia en contra" y "hay evidencia a favor", y no es un matiz retórico: un test de hipótesis nunca prueba la nula, solo puede fallar en rechazarla. Sobre retornos, en cambio, el resultado es contundente en el sentido opuesto: las seis series rechazan la raíz unitaria con p &lt; 0,000001, lo que sí constituye evidencia estadística fuerte a favor de la estacionariedad de los retornos.</w:t>
      </w:r>
    </w:p>
    <w:p>
      <w:pPr>
        <w:spacing w:after="0" w:line="480" w:lineRule="auto"/>
        <w:ind w:firstLine="720"/>
      </w:pPr>
      <w:r>
        <w:rPr>
          <w:rFonts w:ascii="Times New Roman" w:cs="Times New Roman" w:eastAsia="Times New Roman" w:hAnsi="Times New Roman"/>
          <w:color w:val="000000"/>
          <w:sz w:val="24"/>
          <w:szCs w:val="24"/>
        </w:rPr>
        <w:t xml:space="preserve">Vale la pena nombrar el caso al borde: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en nivel, da un p-valor de </w:t>
      </w:r>
      <w:r>
        <w:rPr>
          <w:rFonts w:ascii="Times New Roman" w:cs="Times New Roman" w:eastAsia="Times New Roman" w:hAnsi="Times New Roman"/>
          <w:b/>
          <w:bCs/>
          <w:color w:val="000000"/>
          <w:sz w:val="24"/>
          <w:szCs w:val="24"/>
        </w:rPr>
        <w:t xml:space="preserve">0,059</w:t>
      </w:r>
      <w:r>
        <w:rPr>
          <w:rFonts w:ascii="Times New Roman" w:cs="Times New Roman" w:eastAsia="Times New Roman" w:hAnsi="Times New Roman"/>
          <w:color w:val="000000"/>
          <w:sz w:val="24"/>
          <w:szCs w:val="24"/>
        </w:rPr>
        <w:t xml:space="preserve">, apenas por encima del umbral convencional de 0,05. No cambia ninguna conclusión de la tabla —sigue sin rechazar la nula—, pero es un recordatorio de que el resultado de un test de hipótesis depende de la ventana muestral observada: con un período de muestra ligeramente distinto, ese caso particular podría cruzar el umbral en cualquiera de los dos sentidos. Reportar el número exacto, en lugar de resumirlo como un simple "no rechaza", es lo que permite esa lectura.</w:t>
      </w:r>
    </w:p>
    <w:p>
      <w:pPr>
        <w:spacing w:after="0" w:line="480" w:lineRule="auto"/>
        <w:ind w:firstLine="720"/>
      </w:pPr>
      <w:r>
        <w:rPr>
          <w:rFonts w:ascii="Times New Roman" w:cs="Times New Roman" w:eastAsia="Times New Roman" w:hAnsi="Times New Roman"/>
          <w:color w:val="000000"/>
          <w:sz w:val="24"/>
          <w:szCs w:val="24"/>
        </w:rPr>
        <w:t xml:space="preserve">Como control de que el procedimiento mide lo que dice medir, el mismo test se corrió sobre una serie construida por nosotros cuyos retornos son estacionarios por diseño —media y varianza fijadas de antemano, sin tendencia—, y el test rechazó la raíz unitaria en el 100 % de los casos. El método detecta lo que se supone que debe detectar, antes de aplicarlo sobre datos donde nadie conoce la respuesta verdadera.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No estacionariedad</w:t>
      </w:r>
    </w:p>
    <w:p>
      <w:pPr>
        <w:spacing w:after="0" w:line="480" w:lineRule="auto"/>
        <w:ind w:firstLine="720"/>
      </w:pPr>
      <w:r>
        <w:rPr>
          <w:rFonts w:ascii="Times New Roman" w:cs="Times New Roman" w:eastAsia="Times New Roman" w:hAnsi="Times New Roman"/>
          <w:color w:val="000000"/>
          <w:sz w:val="24"/>
          <w:szCs w:val="24"/>
        </w:rPr>
        <w:t xml:space="preserve">El resultado de la sección anterior tiene una lectura directa cuando se invierte el orden de la pregunta: si el test ADF no rechaza la raíz unitaria en ninguna de las seis series de precios en nivel, la evidencia disponible es compatible con que los precios de las seis criptomonedas sigan un proceso con tendencia estocástica —un paseo aleatorio con deriva, en el caso más simple— y no un proceso que oscile alrededor de una media fija (Nelson &amp; Plosser, 1982). Dos síntomas lo delatan sin necesidad de correr el test: la media de la serie no es estable en ninguna ventana razonable, porque el precio de LTC pasó de un mínimo medido de </w:t>
      </w:r>
      <w:r>
        <w:rPr>
          <w:rFonts w:ascii="Times New Roman" w:cs="Times New Roman" w:eastAsia="Times New Roman" w:hAnsi="Times New Roman"/>
          <w:b/>
          <w:bCs/>
          <w:color w:val="000000"/>
          <w:sz w:val="24"/>
          <w:szCs w:val="24"/>
        </w:rPr>
        <w:t xml:space="preserve">40,92</w:t>
      </w:r>
      <w:r>
        <w:rPr>
          <w:rFonts w:ascii="Times New Roman" w:cs="Times New Roman" w:eastAsia="Times New Roman" w:hAnsi="Times New Roman"/>
          <w:color w:val="000000"/>
          <w:sz w:val="24"/>
          <w:szCs w:val="24"/>
        </w:rPr>
        <w:t xml:space="preserve"> a un máximo medido de </w:t>
      </w:r>
      <w:r>
        <w:rPr>
          <w:rFonts w:ascii="Times New Roman" w:cs="Times New Roman" w:eastAsia="Times New Roman" w:hAnsi="Times New Roman"/>
          <w:b/>
          <w:bCs/>
          <w:color w:val="000000"/>
          <w:sz w:val="24"/>
          <w:szCs w:val="24"/>
        </w:rPr>
        <w:t xml:space="preserve">387,80</w:t>
      </w:r>
      <w:r>
        <w:rPr>
          <w:rFonts w:ascii="Times New Roman" w:cs="Times New Roman" w:eastAsia="Times New Roman" w:hAnsi="Times New Roman"/>
          <w:color w:val="000000"/>
          <w:sz w:val="24"/>
          <w:szCs w:val="24"/>
        </w:rPr>
        <w:t xml:space="preserve"> dentro de la propia muestra; y la varianza tampoco lo es, porque un movimiento porcentual constante produce un movimiento absoluto de precio proporcional al nivel, de modo que la dispersión de la serie en unidades absolutas crece junto con el propio precio.</w:t>
      </w:r>
    </w:p>
    <w:p>
      <w:pPr>
        <w:spacing w:after="0" w:line="480" w:lineRule="auto"/>
        <w:ind w:firstLine="720"/>
      </w:pPr>
      <w:r>
        <w:rPr>
          <w:rFonts w:ascii="Times New Roman" w:cs="Times New Roman" w:eastAsia="Times New Roman" w:hAnsi="Times New Roman"/>
          <w:color w:val="000000"/>
          <w:sz w:val="24"/>
          <w:szCs w:val="24"/>
        </w:rPr>
        <w:t xml:space="preserve">Para el modelado esto tiene una consecuencia que no es cosmética. Un modelo estadístico clásico —una regresión, un ARIMA sin diferenciar, un cálculo de correlación— asume, explícita o implícitamente, que la relación entre variables es estable en el tiempo. Sobre una serie no estacionaria esa relación no es estable por construcción: cualquier estadístico calculado sobre precios en nivel (media, varianza, correlación con otro activo) queda contaminado por la tendencia común, y el resultado termina describiendo la dirección compartida de dos series más que su codependencia real. La sección 8 mide exactamente esa distorsión.</w:t>
      </w:r>
    </w:p>
    <w:p>
      <w:pPr>
        <w:spacing w:after="0" w:line="480" w:lineRule="auto"/>
        <w:ind w:firstLine="720"/>
      </w:pPr>
      <w:r>
        <w:rPr>
          <w:rFonts w:ascii="Times New Roman" w:cs="Times New Roman" w:eastAsia="Times New Roman" w:hAnsi="Times New Roman"/>
          <w:color w:val="000000"/>
          <w:sz w:val="24"/>
          <w:szCs w:val="24"/>
        </w:rPr>
        <w:t xml:space="preserve">La transformación a retornos —tomar la variación porcentual entre una observación y la anterior, </w:t>
      </w:r>
      <w:r>
        <w:rPr>
          <w:rFonts w:ascii="Courier New" w:cs="Courier New" w:eastAsia="Courier New" w:hAnsi="Courier New"/>
          <w:color w:val="000000"/>
          <w:sz w:val="22"/>
          <w:szCs w:val="22"/>
        </w:rPr>
        <w:t xml:space="preserve">r_t = (p_t − p_{t-1}) / p_{t-1}</w:t>
      </w:r>
      <w:r>
        <w:rPr>
          <w:rFonts w:ascii="Times New Roman" w:cs="Times New Roman" w:eastAsia="Times New Roman" w:hAnsi="Times New Roman"/>
          <w:color w:val="000000"/>
          <w:sz w:val="24"/>
          <w:szCs w:val="24"/>
        </w:rPr>
        <w:t xml:space="preserve">— resuelve el problema porque cambia la pregunta: en vez de "¿cuánto vale el precio?", que depende del nivel acumulado desde el origen de la serie, pasa a "¿cuánto cambió el precio en esta vela?", que no acumula nivel. La medición de la sección 3 confirma que esa transformación logra su objetivo sobre estos datos: los retornos de las seis criptomonedas rechazan la raíz unitaria con p &lt; 0,000001 en los seis casos, sin excepción. Por eso —y no por costumbre de la disciplina— </w:t>
      </w:r>
      <w:r>
        <w:rPr>
          <w:rFonts w:ascii="Times New Roman" w:cs="Times New Roman" w:eastAsia="Times New Roman" w:hAnsi="Times New Roman"/>
          <w:b/>
          <w:bCs/>
          <w:color w:val="000000"/>
          <w:sz w:val="24"/>
          <w:szCs w:val="24"/>
        </w:rPr>
        <w:t xml:space="preserve">las características del modelo de este proyecto se construyen sobre retornos y no sobre precios en nivel</w:t>
      </w:r>
      <w:r>
        <w:rPr>
          <w:rFonts w:ascii="Times New Roman" w:cs="Times New Roman" w:eastAsia="Times New Roman" w:hAnsi="Times New Roman"/>
          <w:color w:val="000000"/>
          <w:sz w:val="24"/>
          <w:szCs w:val="24"/>
        </w:rPr>
        <w:t xml:space="preserve">: es una decisión respaldada por una medición propia, hecha antes de escribir una línea de código de características.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Heterocedasticidad</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Serie construida con volatilidad constante (arriba) y con volatilidad por tramos (abajo). Ambas generadas por nosotros; no son datos de mercado.</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 en las series construidas:</w:t>
      </w:r>
      <w:r>
        <w:rPr>
          <w:rFonts w:ascii="Times New Roman" w:cs="Times New Roman" w:eastAsia="Times New Roman" w:hAnsi="Times New Roman"/>
          <w:color w:val="000000"/>
          <w:sz w:val="24"/>
          <w:szCs w:val="24"/>
        </w:rPr>
        <w:t xml:space="preserve"> cociente entre la volatilidad del tramo agitado y la del tranquilo —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regímenes.</w:t>
      </w:r>
    </w:p>
    <w:p>
      <w:pPr>
        <w:spacing w:after="0" w:line="480" w:lineRule="auto"/>
        <w:ind w:firstLine="720"/>
      </w:pPr>
      <w:r>
        <w:rPr>
          <w:rFonts w:ascii="Times New Roman" w:cs="Times New Roman" w:eastAsia="Times New Roman" w:hAnsi="Times New Roman"/>
          <w:color w:val="000000"/>
          <w:sz w:val="24"/>
          <w:szCs w:val="24"/>
        </w:rPr>
        <w:t xml:space="preserve">Un proceso es </w:t>
      </w:r>
      <w:r>
        <w:rPr>
          <w:rFonts w:ascii="Times New Roman" w:cs="Times New Roman" w:eastAsia="Times New Roman" w:hAnsi="Times New Roman"/>
          <w:b/>
          <w:bCs/>
          <w:color w:val="000000"/>
          <w:sz w:val="24"/>
          <w:szCs w:val="24"/>
        </w:rPr>
        <w:t xml:space="preserve">homocedástico</w:t>
      </w:r>
      <w:r>
        <w:rPr>
          <w:rFonts w:ascii="Times New Roman" w:cs="Times New Roman" w:eastAsia="Times New Roman" w:hAnsi="Times New Roman"/>
          <w:color w:val="000000"/>
          <w:sz w:val="24"/>
          <w:szCs w:val="24"/>
        </w:rPr>
        <w:t xml:space="preserve"> cuando la varianza de sus errores —o, de forma más laxa, la dispersión de sus incrementos— es constante en el tiempo; es </w:t>
      </w:r>
      <w:r>
        <w:rPr>
          <w:rFonts w:ascii="Times New Roman" w:cs="Times New Roman" w:eastAsia="Times New Roman" w:hAnsi="Times New Roman"/>
          <w:b/>
          <w:bCs/>
          <w:color w:val="000000"/>
          <w:sz w:val="24"/>
          <w:szCs w:val="24"/>
        </w:rPr>
        <w:t xml:space="preserve">heterocedástico</w:t>
      </w:r>
      <w:r>
        <w:rPr>
          <w:rFonts w:ascii="Times New Roman" w:cs="Times New Roman" w:eastAsia="Times New Roman" w:hAnsi="Times New Roman"/>
          <w:color w:val="000000"/>
          <w:sz w:val="24"/>
          <w:szCs w:val="24"/>
        </w:rPr>
        <w:t xml:space="preserve"> cuando esa varianza cambia, típicamente concentrándose en episodios o regímenes (Engle, 1982). Engle (1982) formalizó esta idea para series financieras con el modelo ARCH, mostrando que la varianza condicional de un proceso puede depender de su propio historial reciente incluso cuando la media no muestra ningún patrón predecible: puede haber estructura en la varianza aunque no la haya en el nivel.</w:t>
      </w:r>
    </w:p>
    <w:p>
      <w:pPr>
        <w:spacing w:after="0" w:line="480" w:lineRule="auto"/>
        <w:ind w:firstLine="720"/>
      </w:pPr>
      <w:r>
        <w:rPr>
          <w:rFonts w:ascii="Times New Roman" w:cs="Times New Roman" w:eastAsia="Times New Roman" w:hAnsi="Times New Roman"/>
          <w:color w:val="000000"/>
          <w:sz w:val="24"/>
          <w:szCs w:val="24"/>
        </w:rPr>
        <w:t xml:space="preserve">La Figura 4 ilustra el contraste con una respuesta conocida, construida por nosotros y no observada en el mercado. En el panel superior se generó una serie con volatilidad constante en toda su longitud; en el inferior, la misma serie pero multiplicando la volatilidad por cinco en tramos alternos. Medido el cociente entre la desviación estándar del tramo más agitado y la del más tranquilo, el resultado es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en la serie sin regímenes —cercano a 1, como corresponde a una volatilidad efectivamente constante, con la desviación residual propia de estimar sobre una muestra finita— y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en la serie con regímenes, capturando con holgura el factor 5 introducido por construcción. El procedimiento de medición detecta la heterocedasticidad cuando existe y no la inventa cuando no existe, que es la comprobación que hay que hacer antes de aplicar el mismo cociente sobre LTC en la sección siguiente.</w:t>
      </w:r>
    </w:p>
    <w:p>
      <w:pPr>
        <w:spacing w:after="0" w:line="480" w:lineRule="auto"/>
        <w:ind w:firstLine="720"/>
      </w:pPr>
      <w:r>
        <w:rPr>
          <w:rFonts w:ascii="Times New Roman" w:cs="Times New Roman" w:eastAsia="Times New Roman" w:hAnsi="Times New Roman"/>
          <w:color w:val="000000"/>
          <w:sz w:val="24"/>
          <w:szCs w:val="24"/>
        </w:rPr>
        <w:t xml:space="preserve">Esto importa para el proyecto porque rompe uno de los supuestos centrales de los modelos clásicos de series temporales. Un ARIMA asume errores con varianza constante; cuando ese supuesto no se cumple, los intervalos de confianza del modelo dejan de ser válidos, y sus pronósticos subestiman sistemáticamente el riesgo en los períodos de alta volatilidad y lo sobrestiman en los de baja. La literatura sobre criptoactivos documenta precisamente este patrón de conmutación entre regímenes de volatilidad, con modelos GARCH de cambio markoviano ajustando mejor que un GARCH de régimen único (Caporale &amp; Zekokh, 2019). La sección 6 muestra que LTC se comporta de esta forma, y no de la forma que ARIMA supone.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Volatilidad</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Dos series construidas por nosotros con la volatilidad fijada de antemano, en los mismos ejes. Arriba, la volatilidad más baja medida en LTC; abajo, la más alta. </w:t>
      </w:r>
      <w:r>
        <w:rPr>
          <w:rFonts w:ascii="Times New Roman" w:cs="Times New Roman" w:eastAsia="Times New Roman" w:hAnsi="Times New Roman"/>
          <w:b/>
          <w:bCs/>
          <w:i/>
          <w:iCs/>
          <w:color w:val="000000"/>
          <w:sz w:val="24"/>
          <w:szCs w:val="24"/>
        </w:rPr>
        <w:t xml:space="preserve">Ninguna de las dos es Litecoin.</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81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las series construidas:</w:t>
      </w:r>
      <w:r>
        <w:rPr>
          <w:rFonts w:ascii="Times New Roman" w:cs="Times New Roman" w:eastAsia="Times New Roman" w:hAnsi="Times New Roman"/>
          <w:color w:val="000000"/>
          <w:sz w:val="24"/>
          <w:szCs w:val="24"/>
        </w:rPr>
        <w:t xml:space="preserve"> pedimos una volatilidad de </w:t>
      </w:r>
      <w:r>
        <w:rPr>
          <w:rFonts w:ascii="Times New Roman" w:cs="Times New Roman" w:eastAsia="Times New Roman" w:hAnsi="Times New Roman"/>
          <w:b/>
          <w:bCs/>
          <w:color w:val="000000"/>
          <w:sz w:val="24"/>
          <w:szCs w:val="24"/>
        </w:rPr>
        <w:t xml:space="preserve">0,01384</w:t>
      </w:r>
      <w:r>
        <w:rPr>
          <w:rFonts w:ascii="Times New Roman" w:cs="Times New Roman" w:eastAsia="Times New Roman" w:hAnsi="Times New Roman"/>
          <w:color w:val="000000"/>
          <w:sz w:val="24"/>
          <w:szCs w:val="24"/>
        </w:rPr>
        <w:t xml:space="preserve"> y medimos </w:t>
      </w:r>
      <w:r>
        <w:rPr>
          <w:rFonts w:ascii="Times New Roman" w:cs="Times New Roman" w:eastAsia="Times New Roman" w:hAnsi="Times New Roman"/>
          <w:b/>
          <w:bCs/>
          <w:color w:val="000000"/>
          <w:sz w:val="24"/>
          <w:szCs w:val="24"/>
        </w:rPr>
        <w:t xml:space="preserve">0,01395</w:t>
      </w:r>
      <w:r>
        <w:rPr>
          <w:rFonts w:ascii="Times New Roman" w:cs="Times New Roman" w:eastAsia="Times New Roman" w:hAnsi="Times New Roman"/>
          <w:color w:val="000000"/>
          <w:sz w:val="24"/>
          <w:szCs w:val="24"/>
        </w:rPr>
        <w:t xml:space="preserve">; pedimos </w:t>
      </w:r>
      <w:r>
        <w:rPr>
          <w:rFonts w:ascii="Times New Roman" w:cs="Times New Roman" w:eastAsia="Times New Roman" w:hAnsi="Times New Roman"/>
          <w:b/>
          <w:bCs/>
          <w:color w:val="000000"/>
          <w:sz w:val="24"/>
          <w:szCs w:val="24"/>
        </w:rPr>
        <w:t xml:space="preserve">0,122</w:t>
      </w:r>
      <w:r>
        <w:rPr>
          <w:rFonts w:ascii="Times New Roman" w:cs="Times New Roman" w:eastAsia="Times New Roman" w:hAnsi="Times New Roman"/>
          <w:color w:val="000000"/>
          <w:sz w:val="24"/>
          <w:szCs w:val="24"/>
        </w:rPr>
        <w:t xml:space="preserve"> y medimos </w:t>
      </w:r>
      <w:r>
        <w:rPr>
          <w:rFonts w:ascii="Times New Roman" w:cs="Times New Roman" w:eastAsia="Times New Roman" w:hAnsi="Times New Roman"/>
          <w:b/>
          <w:bCs/>
          <w:color w:val="000000"/>
          <w:sz w:val="24"/>
          <w:szCs w:val="24"/>
        </w:rPr>
        <w:t xml:space="preserve">0,12349</w:t>
      </w:r>
      <w:r>
        <w:rPr>
          <w:rFonts w:ascii="Times New Roman" w:cs="Times New Roman" w:eastAsia="Times New Roman" w:hAnsi="Times New Roman"/>
          <w:color w:val="000000"/>
          <w:sz w:val="24"/>
          <w:szCs w:val="24"/>
        </w:rPr>
        <w:t xml:space="preserve">. El cociente pedido entre ambas era de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y el medido resultó </w:t>
      </w:r>
      <w:r>
        <w:rPr>
          <w:rFonts w:ascii="Times New Roman" w:cs="Times New Roman" w:eastAsia="Times New Roman" w:hAnsi="Times New Roman"/>
          <w:b/>
          <w:bCs/>
          <w:color w:val="000000"/>
          <w:sz w:val="24"/>
          <w:szCs w:val="24"/>
        </w:rPr>
        <w:t xml:space="preserve">8,9</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Antes de medir la volatilidad de LTC conviene comprobar que el procedimiento recupera lo que se le pide, sobre series donde el valor correcto lo fijamos nosotros. Se generaron dos series con idéntica construcción y semilla, cambiando únicamente un parámetro: la desviación estándar de los retornos. Los dos niveles no se eligieron al azar, sino que corresponden a los extremos de la volatilidad móvil que se mide más adelante sobre Litecoin, de manera que el rango construido cubre exactamente el que se observa en el mercado. La medición devuelve </w:t>
      </w:r>
      <w:r>
        <w:rPr>
          <w:rFonts w:ascii="Times New Roman" w:cs="Times New Roman" w:eastAsia="Times New Roman" w:hAnsi="Times New Roman"/>
          <w:b/>
          <w:bCs/>
          <w:color w:val="000000"/>
          <w:sz w:val="24"/>
          <w:szCs w:val="24"/>
        </w:rPr>
        <w:t xml:space="preserve">0,01395</w:t>
      </w:r>
      <w:r>
        <w:rPr>
          <w:rFonts w:ascii="Times New Roman" w:cs="Times New Roman" w:eastAsia="Times New Roman" w:hAnsi="Times New Roman"/>
          <w:color w:val="000000"/>
          <w:sz w:val="24"/>
          <w:szCs w:val="24"/>
        </w:rPr>
        <w:t xml:space="preserve"> frente a </w:t>
      </w:r>
      <w:r>
        <w:rPr>
          <w:rFonts w:ascii="Times New Roman" w:cs="Times New Roman" w:eastAsia="Times New Roman" w:hAnsi="Times New Roman"/>
          <w:b/>
          <w:bCs/>
          <w:color w:val="000000"/>
          <w:sz w:val="24"/>
          <w:szCs w:val="24"/>
        </w:rPr>
        <w:t xml:space="preserve">0,01384</w:t>
      </w:r>
      <w:r>
        <w:rPr>
          <w:rFonts w:ascii="Times New Roman" w:cs="Times New Roman" w:eastAsia="Times New Roman" w:hAnsi="Times New Roman"/>
          <w:color w:val="000000"/>
          <w:sz w:val="24"/>
          <w:szCs w:val="24"/>
        </w:rPr>
        <w:t xml:space="preserve"> pedido y </w:t>
      </w:r>
      <w:r>
        <w:rPr>
          <w:rFonts w:ascii="Times New Roman" w:cs="Times New Roman" w:eastAsia="Times New Roman" w:hAnsi="Times New Roman"/>
          <w:b/>
          <w:bCs/>
          <w:color w:val="000000"/>
          <w:sz w:val="24"/>
          <w:szCs w:val="24"/>
        </w:rPr>
        <w:t xml:space="preserve">0,12349</w:t>
      </w:r>
      <w:r>
        <w:rPr>
          <w:rFonts w:ascii="Times New Roman" w:cs="Times New Roman" w:eastAsia="Times New Roman" w:hAnsi="Times New Roman"/>
          <w:color w:val="000000"/>
          <w:sz w:val="24"/>
          <w:szCs w:val="24"/>
        </w:rPr>
        <w:t xml:space="preserve"> frente a </w:t>
      </w:r>
      <w:r>
        <w:rPr>
          <w:rFonts w:ascii="Times New Roman" w:cs="Times New Roman" w:eastAsia="Times New Roman" w:hAnsi="Times New Roman"/>
          <w:b/>
          <w:bCs/>
          <w:color w:val="000000"/>
          <w:sz w:val="24"/>
          <w:szCs w:val="24"/>
        </w:rPr>
        <w:t xml:space="preserve">0,122</w:t>
      </w:r>
      <w:r>
        <w:rPr>
          <w:rFonts w:ascii="Times New Roman" w:cs="Times New Roman" w:eastAsia="Times New Roman" w:hAnsi="Times New Roman"/>
          <w:color w:val="000000"/>
          <w:sz w:val="24"/>
          <w:szCs w:val="24"/>
        </w:rPr>
        <w:t xml:space="preserve">, con una discrepancia atribuible al muestreo finito. El procedimiento recupera el parámetro que se le fijó, y en consecuencia lo que mida sobre datos reales puede leerse como una propiedad de esos datos y no como un artefacto del método.</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Precio de cierre de LTC y su volatilidad móvil de 30 velas.</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86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la volatilidad del tramo más agitado es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la del más tranquilo (máxima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mínima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con ventana móvil de 30 velas sobre retornos diarios.</w:t>
      </w:r>
    </w:p>
    <w:p>
      <w:pPr>
        <w:spacing w:after="0" w:line="480" w:lineRule="auto"/>
        <w:ind w:firstLine="720"/>
      </w:pPr>
      <w:r>
        <w:rPr>
          <w:rFonts w:ascii="Times New Roman" w:cs="Times New Roman" w:eastAsia="Times New Roman" w:hAnsi="Times New Roman"/>
          <w:color w:val="000000"/>
          <w:sz w:val="24"/>
          <w:szCs w:val="24"/>
        </w:rPr>
        <w:t xml:space="preserve">La volatilidad de una serie financiera se estima habitualmente con la desviación estándar de sus retornos, calculada sobre una ventana móvil que se desliza a lo largo de la serie (Katsiampa, 2017). A diferencia de un único número global, la volatilidad móvil deja ver cómo cambia la dispersión de los retornos en el tiempo, que es exactamente lo que hace falta para diagnosticar heterocedasticidad sobre datos reales, en lugar de sobre una construcción con respuesta conocida como la de la sección anterior.</w:t>
      </w:r>
    </w:p>
    <w:p>
      <w:pPr>
        <w:spacing w:after="0" w:line="480" w:lineRule="auto"/>
        <w:ind w:firstLine="720"/>
      </w:pPr>
      <w:r>
        <w:rPr>
          <w:rFonts w:ascii="Times New Roman" w:cs="Times New Roman" w:eastAsia="Times New Roman" w:hAnsi="Times New Roman"/>
          <w:color w:val="000000"/>
          <w:sz w:val="24"/>
          <w:szCs w:val="24"/>
        </w:rPr>
        <w:t xml:space="preserve">La Figura 6 aplica ese procedimiento —desviación estándar móvil con ventana de 30 velas sobre los retornos diarios de LTC— a la serie real del proyecto. El resultado es que la volatilidad no es constante: el tramo más agitado de la muestra alcanza una desviación estándar móvil de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y el más tranquilo, de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lo que arroja un cociente de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veces entre ambos extremos. Es un número considerablemente mayor que el 1,28 medido en la sección anterior sobre la serie construida sin regímenes, y del mismo orden de magnitud que el 6,41 medido sobre la serie construida con regímenes deliberadamente introducidos. La lectura es directa: LTC no exhibe el comportamiento de una serie con volatilidad estable, sino el de una serie que conmuta entre regímenes de intensidad muy distinta, consistente con lo que reporta la literatura sobre volatilidad de criptoactivos con modelos GARCH (Katsiampa, 2017).</w:t>
      </w:r>
    </w:p>
    <w:p>
      <w:pPr>
        <w:spacing w:after="0" w:line="480" w:lineRule="auto"/>
        <w:ind w:firstLine="720"/>
      </w:pPr>
      <w:r>
        <w:rPr>
          <w:rFonts w:ascii="Times New Roman" w:cs="Times New Roman" w:eastAsia="Times New Roman" w:hAnsi="Times New Roman"/>
          <w:color w:val="000000"/>
          <w:sz w:val="24"/>
          <w:szCs w:val="24"/>
        </w:rPr>
        <w:t xml:space="preserve">En la Figura 6, los picos de la volatilidad móvil coinciden visualmente con los tramos donde el precio de cierre muestra los movimientos más pronunciados, en cualquiera de las dos direcciones: la volatilidad no distingue entre una subida y una caída bruscas, mide la magnitud del cambio, no su signo. Este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es, junto con el resultado de la sección 3, la segunda pieza de evidencia directa —medida sobre datos reales, no sobre una construcción— de que los métodos que asumen varianza constante no son la herramienta adecuada para este problema.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Autocorrelación</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LTC hasta el rezago 40, en nivel y en retornos, con banda de confianza al 95 %.</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289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En los retornos solo </w:t>
      </w:r>
      <w:r>
        <w:rPr>
          <w:rFonts w:ascii="Times New Roman" w:cs="Times New Roman" w:eastAsia="Times New Roman" w:hAnsi="Times New Roman"/>
          <w:b/>
          <w:bCs/>
          <w:color w:val="000000"/>
          <w:sz w:val="24"/>
          <w:szCs w:val="24"/>
        </w:rPr>
        <w:t xml:space="preserve">3 rezagos</w:t>
      </w:r>
      <w:r>
        <w:rPr>
          <w:rFonts w:ascii="Times New Roman" w:cs="Times New Roman" w:eastAsia="Times New Roman" w:hAnsi="Times New Roman"/>
          <w:color w:val="000000"/>
          <w:sz w:val="24"/>
          <w:szCs w:val="24"/>
        </w:rPr>
        <w:t xml:space="preserve"> salen de la banda de confianza: los rezagos </w:t>
      </w:r>
      <w:r>
        <w:rPr>
          <w:rFonts w:ascii="Times New Roman" w:cs="Times New Roman" w:eastAsia="Times New Roman" w:hAnsi="Times New Roman"/>
          <w:b/>
          <w:bCs/>
          <w:color w:val="000000"/>
          <w:sz w:val="24"/>
          <w:szCs w:val="24"/>
        </w:rPr>
        <w:t xml:space="preserve">8, 14 y 31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función de autocorrelación (ACF) mide la correlación lineal entre una serie y su propio pasado, para cada rezago </w:t>
      </w:r>
      <w:r>
        <w:rPr>
          <w:rFonts w:ascii="Courier New" w:cs="Courier New" w:eastAsia="Courier New" w:hAnsi="Courier New"/>
          <w:color w:val="000000"/>
          <w:sz w:val="22"/>
          <w:szCs w:val="22"/>
        </w:rPr>
        <w:t xml:space="preserve">k</w:t>
      </w:r>
      <w:r>
        <w:rPr>
          <w:rFonts w:ascii="Times New Roman" w:cs="Times New Roman" w:eastAsia="Times New Roman" w:hAnsi="Times New Roman"/>
          <w:color w:val="000000"/>
          <w:sz w:val="24"/>
          <w:szCs w:val="24"/>
        </w:rPr>
        <w:t xml:space="preserve">: qué tan relacionado está el valor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con el valor en </w:t>
      </w:r>
      <w:r>
        <w:rPr>
          <w:rFonts w:ascii="Courier New" w:cs="Courier New" w:eastAsia="Courier New" w:hAnsi="Courier New"/>
          <w:color w:val="000000"/>
          <w:sz w:val="22"/>
          <w:szCs w:val="22"/>
        </w:rPr>
        <w:t xml:space="preserve">t-k</w:t>
      </w:r>
      <w:r>
        <w:rPr>
          <w:rFonts w:ascii="Times New Roman" w:cs="Times New Roman" w:eastAsia="Times New Roman" w:hAnsi="Times New Roman"/>
          <w:color w:val="000000"/>
          <w:sz w:val="24"/>
          <w:szCs w:val="24"/>
        </w:rPr>
        <w:t xml:space="preserve"> (Box &amp; Pierce, 1970). Es la herramienta natural para responder si el pasado de una serie, por sí solo, contiene información lineal sobre su futuro inmediato, lo que en este proyecto equivale a preguntar si tiene sentido usar precios rezagados como variable de entrada, y con cuántos rezagos.</w:t>
      </w:r>
    </w:p>
    <w:p>
      <w:pPr>
        <w:spacing w:after="0" w:line="480" w:lineRule="auto"/>
        <w:ind w:firstLine="720"/>
      </w:pPr>
      <w:r>
        <w:rPr>
          <w:rFonts w:ascii="Times New Roman" w:cs="Times New Roman" w:eastAsia="Times New Roman" w:hAnsi="Times New Roman"/>
          <w:color w:val="000000"/>
          <w:sz w:val="24"/>
          <w:szCs w:val="24"/>
        </w:rPr>
        <w:t xml:space="preserve">La lectura de la Figura 7 tiene dos partes que conviene separar.</w:t>
      </w:r>
    </w:p>
    <w:p>
      <w:pPr>
        <w:spacing w:after="0" w:line="480" w:lineRule="auto"/>
        <w:ind w:firstLine="720"/>
      </w:pPr>
      <w:r>
        <w:rPr>
          <w:rFonts w:ascii="Times New Roman" w:cs="Times New Roman" w:eastAsia="Times New Roman" w:hAnsi="Times New Roman"/>
          <w:b/>
          <w:bCs/>
          <w:color w:val="000000"/>
          <w:sz w:val="24"/>
          <w:szCs w:val="24"/>
        </w:rPr>
        <w:t xml:space="preserve">1. En nivel</w:t>
      </w:r>
      <w:r>
        <w:rPr>
          <w:rFonts w:ascii="Times New Roman" w:cs="Times New Roman" w:eastAsia="Times New Roman" w:hAnsi="Times New Roman"/>
          <w:color w:val="000000"/>
          <w:sz w:val="24"/>
          <w:szCs w:val="24"/>
        </w:rPr>
        <w:t xml:space="preserve">, la autocorrelación en el rezago 1 es de </w:t>
      </w:r>
      <w:r>
        <w:rPr>
          <w:rFonts w:ascii="Times New Roman" w:cs="Times New Roman" w:eastAsia="Times New Roman" w:hAnsi="Times New Roman"/>
          <w:b/>
          <w:bCs/>
          <w:color w:val="000000"/>
          <w:sz w:val="24"/>
          <w:szCs w:val="24"/>
        </w:rPr>
        <w:t xml:space="preserve">0,991</w:t>
      </w:r>
      <w:r>
        <w:rPr>
          <w:rFonts w:ascii="Times New Roman" w:cs="Times New Roman" w:eastAsia="Times New Roman" w:hAnsi="Times New Roman"/>
          <w:color w:val="000000"/>
          <w:sz w:val="24"/>
          <w:szCs w:val="24"/>
        </w:rPr>
        <w:t xml:space="preserve"> y decae muy lentamente a medida que aumenta el rezago: es la firma característica de una serie no estacionaria, donde cada observación es prácticamente idéntica a la anterior porque comparten la mayor parte de su nivel acumulado. Este resultado confirma, desde un ángulo distinto y con una herramienta distinta, lo que ya mostró el test ADF de la sección 3: los precios en nivel no son estacionarios.</w:t>
      </w:r>
    </w:p>
    <w:p>
      <w:pPr>
        <w:spacing w:after="0" w:line="480" w:lineRule="auto"/>
        <w:ind w:firstLine="720"/>
      </w:pPr>
      <w:r>
        <w:rPr>
          <w:rFonts w:ascii="Times New Roman" w:cs="Times New Roman" w:eastAsia="Times New Roman" w:hAnsi="Times New Roman"/>
          <w:b/>
          <w:bCs/>
          <w:color w:val="000000"/>
          <w:sz w:val="24"/>
          <w:szCs w:val="24"/>
        </w:rPr>
        <w:t xml:space="preserve">2. En retornos</w:t>
      </w:r>
      <w:r>
        <w:rPr>
          <w:rFonts w:ascii="Times New Roman" w:cs="Times New Roman" w:eastAsia="Times New Roman" w:hAnsi="Times New Roman"/>
          <w:color w:val="000000"/>
          <w:sz w:val="24"/>
          <w:szCs w:val="24"/>
        </w:rPr>
        <w:t xml:space="preserve">, la autocorrelación en el rezago 1 cae a </w:t>
      </w:r>
      <w:r>
        <w:rPr>
          <w:rFonts w:ascii="Times New Roman" w:cs="Times New Roman" w:eastAsia="Times New Roman" w:hAnsi="Times New Roman"/>
          <w:b/>
          <w:bCs/>
          <w:color w:val="000000"/>
          <w:sz w:val="24"/>
          <w:szCs w:val="24"/>
        </w:rPr>
        <w:t xml:space="preserve">−0,036</w:t>
      </w:r>
      <w:r>
        <w:rPr>
          <w:rFonts w:ascii="Times New Roman" w:cs="Times New Roman" w:eastAsia="Times New Roman" w:hAnsi="Times New Roman"/>
          <w:color w:val="000000"/>
          <w:sz w:val="24"/>
          <w:szCs w:val="24"/>
        </w:rPr>
        <w:t xml:space="preserve">, y de los 40 rezagos evaluados solo tres —el 8, el 14 y el 31— salen de la banda de confianza al 95 %.</w:t>
      </w:r>
    </w:p>
    <w:p>
      <w:pPr>
        <w:spacing w:after="0" w:line="480" w:lineRule="auto"/>
        <w:ind w:firstLine="720"/>
      </w:pPr>
      <w:r>
        <w:rPr>
          <w:rFonts w:ascii="Times New Roman" w:cs="Times New Roman" w:eastAsia="Times New Roman" w:hAnsi="Times New Roman"/>
          <w:color w:val="000000"/>
          <w:sz w:val="24"/>
          <w:szCs w:val="24"/>
        </w:rPr>
        <w:t xml:space="preserve">Que los retornos de LTC no tengan autocorrelación lineal significativa, salvo en tres rezagos aislados sobre cuarenta, significa que un modelo lineal que solo use retornos rezagados de LTC tiene muy poco que explotar. No es un resultado negativo para el proyecto: </w:t>
      </w:r>
      <w:r>
        <w:rPr>
          <w:rFonts w:ascii="Times New Roman" w:cs="Times New Roman" w:eastAsia="Times New Roman" w:hAnsi="Times New Roman"/>
          <w:b/>
          <w:bCs/>
          <w:color w:val="000000"/>
          <w:sz w:val="24"/>
          <w:szCs w:val="24"/>
        </w:rPr>
        <w:t xml:space="preserve">es su justificación</w:t>
      </w:r>
      <w:r>
        <w:rPr>
          <w:rFonts w:ascii="Times New Roman" w:cs="Times New Roman" w:eastAsia="Times New Roman" w:hAnsi="Times New Roman"/>
          <w:color w:val="000000"/>
          <w:sz w:val="24"/>
          <w:szCs w:val="24"/>
        </w:rPr>
        <w:t xml:space="preserve">. Es consistente con lo que predice la hipótesis de mercados eficientes en su forma débil —que los precios pasados no permiten anticipar rendimientos futuros de forma sistemática mediante reglas lineales simples (Fama, 1970)— y es, medido sobre nuestros propios datos, el argumento a favor de recurrir a modelos no lineales y multivariantes: si tres rezagos aislados de cuarenta bastaran para predecir, un modelo lineal univariante alcanzaría, y no haría falta ni aprendizaje profundo ni las cinco variables de apoyo del enunciado.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Correlación cruzada</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Matrices de correlación. Izquierda y centro: series construidas con correlación baja y alta fijadas por nosotros. Derecha: retornos reales de las seis criptomonedas.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76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Casos concretos:</w:t>
      </w:r>
    </w:p>
    <w:p>
      <w:pPr>
        <w:spacing w:after="0" w:line="480" w:lineRule="auto"/>
        <w:ind w:firstLine="720"/>
      </w:pPr>
      <w:r>
        <w:rPr>
          <w:rFonts w:ascii="Times New Roman" w:cs="Times New Roman" w:eastAsia="Times New Roman" w:hAnsi="Times New Roman"/>
          <w:color w:val="000000"/>
          <w:sz w:val="24"/>
          <w:szCs w:val="24"/>
        </w:rPr>
        <w:t xml:space="preserve">Mayor correlación con LTC: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Menor: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las construidas se pidieron con correlación 0,1 y 0,9; salieron medidas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correlación cruzada mide la asociación lineal entre dos series distintas, a diferencia de la autocorrelación de la sección 7, que la mide entre una serie y sí misma desplazada en el tiempo. Es el instrumento que permite responder si el planteamiento multivariante del enunciado tiene sustento en los datos: si LTC no se moviera de forma relacionada con las otras cinco criptomonedas, incorporarlas como variables de apoyo no aportaría información adicional.</w:t>
      </w:r>
    </w:p>
    <w:p>
      <w:pPr>
        <w:spacing w:after="0" w:line="480" w:lineRule="auto"/>
        <w:ind w:firstLine="720"/>
      </w:pPr>
      <w:r>
        <w:rPr>
          <w:rFonts w:ascii="Times New Roman" w:cs="Times New Roman" w:eastAsia="Times New Roman" w:hAnsi="Times New Roman"/>
          <w:color w:val="000000"/>
          <w:sz w:val="24"/>
          <w:szCs w:val="24"/>
        </w:rPr>
        <w:t xml:space="preserve">La Figura 8 muestra tres matrices de correlación 6×6 lado a lado. Las dos de la izquierda corresponden a paneles construidos por nosotros, con correlación baja y alta fijadas de antemano; la de la derecha, a los retornos reales de las seis criptomonedas del proyecto. Puestas una junto a la otra, permiten leer el resultado real contra dos referencias donde la respuesta correcta la pusimos nosotros mismos.</w:t>
      </w:r>
    </w:p>
    <w:p>
      <w:pPr>
        <w:spacing w:after="0" w:line="480" w:lineRule="auto"/>
        <w:ind w:firstLine="720"/>
      </w:pPr>
      <w:r>
        <w:rPr>
          <w:rFonts w:ascii="Times New Roman" w:cs="Times New Roman" w:eastAsia="Times New Roman" w:hAnsi="Times New Roman"/>
          <w:color w:val="000000"/>
          <w:sz w:val="24"/>
          <w:szCs w:val="24"/>
        </w:rPr>
        <w:t xml:space="preserve">La distorsión que introducen los precios en nivel no consiste en que la correlación resulte alta, sino en que resulta </w:t>
      </w:r>
      <w:r>
        <w:rPr>
          <w:rFonts w:ascii="Times New Roman" w:cs="Times New Roman" w:eastAsia="Times New Roman" w:hAnsi="Times New Roman"/>
          <w:b/>
          <w:bCs/>
          <w:color w:val="000000"/>
          <w:sz w:val="24"/>
          <w:szCs w:val="24"/>
        </w:rPr>
        <w:t xml:space="preserve">errática</w:t>
      </w:r>
      <w:r>
        <w:rPr>
          <w:rFonts w:ascii="Times New Roman" w:cs="Times New Roman" w:eastAsia="Times New Roman" w:hAnsi="Times New Roman"/>
          <w:color w:val="000000"/>
          <w:sz w:val="24"/>
          <w:szCs w:val="24"/>
        </w:rPr>
        <w:t xml:space="preserve">. Calculada sobre precios en nivel, la correlación entre LTC y BTC —el activo que por definición marca la tendencia de todo el sector cripto— es de apenas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mientras que entre LTC y ADA sube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un orden económicamente implausible, que sugiere que LTC se relaciona más con Cardano que con Bitcoin. Calculada sobre retornos, el orden se corrige y el rango se estrecha a la mitad: LTC–BTC sube a </w:t>
      </w:r>
      <w:r>
        <w:rPr>
          <w:rFonts w:ascii="Times New Roman" w:cs="Times New Roman" w:eastAsia="Times New Roman" w:hAnsi="Times New Roman"/>
          <w:b/>
          <w:bCs/>
          <w:color w:val="000000"/>
          <w:sz w:val="24"/>
          <w:szCs w:val="24"/>
        </w:rPr>
        <w:t xml:space="preserve">0,715</w:t>
      </w:r>
      <w:r>
        <w:rPr>
          <w:rFonts w:ascii="Times New Roman" w:cs="Times New Roman" w:eastAsia="Times New Roman" w:hAnsi="Times New Roman"/>
          <w:color w:val="000000"/>
          <w:sz w:val="24"/>
          <w:szCs w:val="24"/>
        </w:rPr>
        <w:t xml:space="preserve"> y LTC–ADA baja a </w:t>
      </w:r>
      <w:r>
        <w:rPr>
          <w:rFonts w:ascii="Times New Roman" w:cs="Times New Roman" w:eastAsia="Times New Roman" w:hAnsi="Times New Roman"/>
          <w:b/>
          <w:bCs/>
          <w:color w:val="000000"/>
          <w:sz w:val="24"/>
          <w:szCs w:val="24"/>
        </w:rPr>
        <w:t xml:space="preserve">0,641</w:t>
      </w:r>
      <w:r>
        <w:rPr>
          <w:rFonts w:ascii="Times New Roman" w:cs="Times New Roman" w:eastAsia="Times New Roman" w:hAnsi="Times New Roman"/>
          <w:color w:val="000000"/>
          <w:sz w:val="24"/>
          <w:szCs w:val="24"/>
        </w:rPr>
        <w:t xml:space="preserve">, quedando ambos dentro del rango general de </w:t>
      </w:r>
      <w:r>
        <w:rPr>
          <w:rFonts w:ascii="Times New Roman" w:cs="Times New Roman" w:eastAsia="Times New Roman" w:hAnsi="Times New Roman"/>
          <w:b/>
          <w:bCs/>
          <w:color w:val="000000"/>
          <w:sz w:val="24"/>
          <w:szCs w:val="24"/>
        </w:rPr>
        <w:t xml:space="preserve">0,475 a 0,806</w:t>
      </w:r>
      <w:r>
        <w:rPr>
          <w:rFonts w:ascii="Times New Roman" w:cs="Times New Roman" w:eastAsia="Times New Roman" w:hAnsi="Times New Roman"/>
          <w:color w:val="000000"/>
          <w:sz w:val="24"/>
          <w:szCs w:val="24"/>
        </w:rPr>
        <w:t xml:space="preserve"> que muestran las seis criptomonedas entre sí sobre retornos, frente a un rango de </w:t>
      </w:r>
      <w:r>
        <w:rPr>
          <w:rFonts w:ascii="Times New Roman" w:cs="Times New Roman" w:eastAsia="Times New Roman" w:hAnsi="Times New Roman"/>
          <w:b/>
          <w:bCs/>
          <w:color w:val="000000"/>
          <w:sz w:val="24"/>
          <w:szCs w:val="24"/>
        </w:rPr>
        <w:t xml:space="preserve">0,126 a 0,888</w:t>
      </w:r>
      <w:r>
        <w:rPr>
          <w:rFonts w:ascii="Times New Roman" w:cs="Times New Roman" w:eastAsia="Times New Roman" w:hAnsi="Times New Roman"/>
          <w:color w:val="000000"/>
          <w:sz w:val="24"/>
          <w:szCs w:val="24"/>
        </w:rPr>
        <w:t xml:space="preserve"> en nivel.</w:t>
      </w:r>
    </w:p>
    <w:p>
      <w:pPr>
        <w:spacing w:after="0" w:line="480" w:lineRule="auto"/>
        <w:ind w:firstLine="720"/>
      </w:pPr>
      <w:r>
        <w:rPr>
          <w:rFonts w:ascii="Times New Roman" w:cs="Times New Roman" w:eastAsia="Times New Roman" w:hAnsi="Times New Roman"/>
          <w:color w:val="000000"/>
          <w:sz w:val="24"/>
          <w:szCs w:val="24"/>
        </w:rPr>
        <w:t xml:space="preserve">La explicación no es que la correlación en nivel "infle" los valores: es que mide algo distinto de lo que se busca medir. Dos series con tendencia comparten tendencia, y la correlación entre ellas captura en buena medida esa coincidencia de dirección de largo plazo, no la codependencia real de sus movimientos período a período. Es el fenómeno de la </w:t>
      </w:r>
      <w:r>
        <w:rPr>
          <w:rFonts w:ascii="Times New Roman" w:cs="Times New Roman" w:eastAsia="Times New Roman" w:hAnsi="Times New Roman"/>
          <w:b/>
          <w:bCs/>
          <w:color w:val="000000"/>
          <w:sz w:val="24"/>
          <w:szCs w:val="24"/>
        </w:rPr>
        <w:t xml:space="preserve">correlación espuria</w:t>
      </w:r>
      <w:r>
        <w:rPr>
          <w:rFonts w:ascii="Times New Roman" w:cs="Times New Roman" w:eastAsia="Times New Roman" w:hAnsi="Times New Roman"/>
          <w:color w:val="000000"/>
          <w:sz w:val="24"/>
          <w:szCs w:val="24"/>
        </w:rPr>
        <w:t xml:space="preserve">, descrito clásicamente por Granger y Newbold (1974): dado que la sección 3 midió que los precios en nivel de las seis criptomonedas no son estacionarios, cualquier correlación calculada sobre ellos hereda ese defecto. Por eso la correlación cruzada de este proyecto se calcula sobre retornos y no sobre precios, con el mismo argumento —y el mismo respaldo medido— que sostiene la sección 4.</w:t>
      </w:r>
    </w:p>
    <w:p>
      <w:pPr>
        <w:spacing w:after="0" w:line="480" w:lineRule="auto"/>
        <w:ind w:firstLine="720"/>
      </w:pPr>
      <w:r>
        <w:rPr>
          <w:rFonts w:ascii="Times New Roman" w:cs="Times New Roman" w:eastAsia="Times New Roman" w:hAnsi="Times New Roman"/>
          <w:color w:val="000000"/>
          <w:sz w:val="24"/>
          <w:szCs w:val="24"/>
        </w:rPr>
        <w:t xml:space="preserve">Como control de que el procedimiento de medición hace lo que dice hacer, se corrió también sobre dos paneles construidos por nosotros con correlación objetivo conocida: pedida en 0,1, se midió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pedida en 0,9, se midió en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 El método recupera el parámetro que se le pidió construir, lo que da confianza para leer el resultado sobre datos reales, donde nadie fija de antemano la respuesta correcta.</w:t>
      </w:r>
    </w:p>
    <w:p>
      <w:pPr>
        <w:spacing w:after="0" w:line="480" w:lineRule="auto"/>
        <w:ind w:firstLine="720"/>
      </w:pPr>
      <w:r>
        <w:rPr>
          <w:rFonts w:ascii="Times New Roman" w:cs="Times New Roman" w:eastAsia="Times New Roman" w:hAnsi="Times New Roman"/>
          <w:color w:val="000000"/>
          <w:sz w:val="24"/>
          <w:szCs w:val="24"/>
        </w:rPr>
        <w:t xml:space="preserve">Sobre retornos, el activo de apoyo con mayor correlación con LTC es </w:t>
      </w:r>
      <w:r>
        <w:rPr>
          <w:rFonts w:ascii="Times New Roman" w:cs="Times New Roman" w:eastAsia="Times New Roman" w:hAnsi="Times New Roman"/>
          <w:b/>
          <w:bCs/>
          <w:color w:val="000000"/>
          <w:sz w:val="24"/>
          <w:szCs w:val="24"/>
        </w:rPr>
        <w:t xml:space="preserve">ETH, con 0,740</w:t>
      </w:r>
      <w:r>
        <w:rPr>
          <w:rFonts w:ascii="Times New Roman" w:cs="Times New Roman" w:eastAsia="Times New Roman" w:hAnsi="Times New Roman"/>
          <w:color w:val="000000"/>
          <w:sz w:val="24"/>
          <w:szCs w:val="24"/>
        </w:rPr>
        <w:t xml:space="preserve">; el de menor correlación es </w:t>
      </w:r>
      <w:r>
        <w:rPr>
          <w:rFonts w:ascii="Times New Roman" w:cs="Times New Roman" w:eastAsia="Times New Roman" w:hAnsi="Times New Roman"/>
          <w:b/>
          <w:bCs/>
          <w:color w:val="000000"/>
          <w:sz w:val="24"/>
          <w:szCs w:val="24"/>
        </w:rPr>
        <w:t xml:space="preserve">SOL, con 0,524</w:t>
      </w:r>
      <w:r>
        <w:rPr>
          <w:rFonts w:ascii="Times New Roman" w:cs="Times New Roman" w:eastAsia="Times New Roman" w:hAnsi="Times New Roman"/>
          <w:color w:val="000000"/>
          <w:sz w:val="24"/>
          <w:szCs w:val="24"/>
        </w:rPr>
        <w:t xml:space="preserve">. Ambos valores están lejos de los extremos —ni cerca de 0, que dejaría a las variables de apoyo sin aportar nada, ni cerca de 1, que las volvería redundantes entre sí—, y esa es, en última instancia, la consecuencia que sostiene el planteamiento multivariante del enunciado: si LTC se moviera de forma aislada, las cinco variables de apoyo sobrarían; con correlaciones de entre 0,475 y 0,806 sobre retornos, no sobran.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Verificación sobre el panel de trabajo</w:t>
      </w:r>
    </w:p>
    <w:p>
      <w:pPr>
        <w:spacing w:after="0" w:line="480" w:lineRule="auto"/>
        <w:ind w:firstLine="720"/>
      </w:pPr>
      <w:r>
        <w:rPr>
          <w:rFonts w:ascii="Times New Roman" w:cs="Times New Roman" w:eastAsia="Times New Roman" w:hAnsi="Times New Roman"/>
          <w:color w:val="000000"/>
          <w:sz w:val="24"/>
          <w:szCs w:val="24"/>
        </w:rPr>
        <w:t xml:space="preserve">Todo lo anterior se midió sobre </w:t>
      </w:r>
      <w:r>
        <w:rPr>
          <w:rFonts w:ascii="Times New Roman" w:cs="Times New Roman" w:eastAsia="Times New Roman" w:hAnsi="Times New Roman"/>
          <w:b/>
          <w:bCs/>
          <w:color w:val="000000"/>
          <w:sz w:val="24"/>
          <w:szCs w:val="24"/>
        </w:rPr>
        <w:t xml:space="preserve">velas diarias</w:t>
      </w:r>
      <w:r>
        <w:rPr>
          <w:rFonts w:ascii="Times New Roman" w:cs="Times New Roman" w:eastAsia="Times New Roman" w:hAnsi="Times New Roman"/>
          <w:color w:val="000000"/>
          <w:sz w:val="24"/>
          <w:szCs w:val="24"/>
        </w:rPr>
        <w:t xml:space="preserve">, que era la granularidad vigente cuando se redactó esta sección. El proyecto fijó después su panel de trabajo en </w:t>
      </w:r>
      <w:r>
        <w:rPr>
          <w:rFonts w:ascii="Times New Roman" w:cs="Times New Roman" w:eastAsia="Times New Roman" w:hAnsi="Times New Roman"/>
          <w:b/>
          <w:bCs/>
          <w:color w:val="000000"/>
          <w:sz w:val="24"/>
          <w:szCs w:val="24"/>
        </w:rPr>
        <w:t xml:space="preserve">velas de 4 horas</w:t>
      </w:r>
      <w:r>
        <w:rPr>
          <w:rFonts w:ascii="Times New Roman" w:cs="Times New Roman" w:eastAsia="Times New Roman" w:hAnsi="Times New Roman"/>
          <w:color w:val="000000"/>
          <w:sz w:val="24"/>
          <w:szCs w:val="24"/>
        </w:rPr>
        <w:t xml:space="preserve">, por una razón que pertenece a la etapa de extracción de datos: con velas diarias ninguna combinación de ventana deja suficientes ejemplos de las clases minoritarias.</w:t>
      </w:r>
    </w:p>
    <w:p>
      <w:pPr>
        <w:spacing w:after="0" w:line="480" w:lineRule="auto"/>
        <w:ind w:firstLine="720"/>
      </w:pPr>
      <w:r>
        <w:rPr>
          <w:rFonts w:ascii="Times New Roman" w:cs="Times New Roman" w:eastAsia="Times New Roman" w:hAnsi="Times New Roman"/>
          <w:color w:val="000000"/>
          <w:sz w:val="24"/>
          <w:szCs w:val="24"/>
        </w:rPr>
        <w:t xml:space="preserve">Analizar el fenómeno en una granularidad y modelarlo en otra exige comprobar que las conclusiones sobrevivan al cambio. Se repitieron los tres diagnósticos sobre el panel de 13 114 observaciones de 4 horas:</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Los mismos diagnósticos sobre las dos granularidades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Diagnóstico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 diarias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 de 4 horas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Series que rechazan la raíz unitaria en nivel</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 de 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2 de 6</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Series que la rechazan en 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de 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 de 6</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Cociente de volatilidad entre extremos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18,3</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Autocorrelación de los retornos en el rezago 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−0,019</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 significativos de 40</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verificacion-4h.json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scripts/verificacion_4h.py</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Las cuatro diferencias apuntan en la misma dirección y tienen una sola causa.</w:t>
      </w:r>
      <w:r>
        <w:rPr>
          <w:rFonts w:ascii="Times New Roman" w:cs="Times New Roman" w:eastAsia="Times New Roman" w:hAnsi="Times New Roman"/>
          <w:color w:val="000000"/>
          <w:sz w:val="24"/>
          <w:szCs w:val="24"/>
        </w:rPr>
        <w:t xml:space="preserve"> El panel de 4 horas tiene seis veces más observaciones, y la potencia de una prueba estadística crece con el tamaño de la muestra: el intervalo de confianza se estrecha, de modo que tanto la prueba de Dickey-Fuller como la banda de la autocorrelación detectan efectos que en la muestra diaria quedaban por debajo del umbral. Rechazar más no significa que la serie sea más estacionaria; significa que hay más evidencia disponible para decidirlo.</w:t>
      </w:r>
    </w:p>
    <w:p>
      <w:pPr>
        <w:spacing w:after="0" w:line="480" w:lineRule="auto"/>
        <w:ind w:firstLine="720"/>
      </w:pPr>
      <w:r>
        <w:rPr>
          <w:rFonts w:ascii="Times New Roman" w:cs="Times New Roman" w:eastAsia="Times New Roman" w:hAnsi="Times New Roman"/>
          <w:color w:val="000000"/>
          <w:sz w:val="24"/>
          <w:szCs w:val="24"/>
        </w:rPr>
        <w:t xml:space="preserve">Conviene separar entonces qué se sostiene y qué se matiza.</w:t>
      </w:r>
    </w:p>
    <w:p>
      <w:pPr>
        <w:spacing w:after="0" w:line="480" w:lineRule="auto"/>
        <w:ind w:firstLine="720"/>
      </w:pPr>
      <w:r>
        <w:rPr>
          <w:rFonts w:ascii="Times New Roman" w:cs="Times New Roman" w:eastAsia="Times New Roman" w:hAnsi="Times New Roman"/>
          <w:b/>
          <w:bCs/>
          <w:color w:val="000000"/>
          <w:sz w:val="24"/>
          <w:szCs w:val="24"/>
        </w:rPr>
        <w:t xml:space="preserve">Se sostiene, y con más fuerza, la estacionariedad de los retornos.</w:t>
      </w:r>
      <w:r>
        <w:rPr>
          <w:rFonts w:ascii="Times New Roman" w:cs="Times New Roman" w:eastAsia="Times New Roman" w:hAnsi="Times New Roman"/>
          <w:color w:val="000000"/>
          <w:sz w:val="24"/>
          <w:szCs w:val="24"/>
        </w:rPr>
        <w:t xml:space="preserve"> Las seis series la rechazan en las dos granularidades, sin excepción, que es el resultado del que depende la decisión de construir las características sobre retornos.</w:t>
      </w:r>
    </w:p>
    <w:p>
      <w:pPr>
        <w:spacing w:after="0" w:line="480" w:lineRule="auto"/>
        <w:ind w:firstLine="720"/>
      </w:pPr>
      <w:r>
        <w:rPr>
          <w:rFonts w:ascii="Times New Roman" w:cs="Times New Roman" w:eastAsia="Times New Roman" w:hAnsi="Times New Roman"/>
          <w:b/>
          <w:bCs/>
          <w:color w:val="000000"/>
          <w:sz w:val="24"/>
          <w:szCs w:val="24"/>
        </w:rPr>
        <w:t xml:space="preserve">Se refuerza la heterocedasticidad.</w:t>
      </w:r>
      <w:r>
        <w:rPr>
          <w:rFonts w:ascii="Times New Roman" w:cs="Times New Roman" w:eastAsia="Times New Roman" w:hAnsi="Times New Roman"/>
          <w:color w:val="000000"/>
          <w:sz w:val="24"/>
          <w:szCs w:val="24"/>
        </w:rPr>
        <w:t xml:space="preserve"> El cociente entre el tramo más agitado y el más tranquilo pasa de 8,8 a 18,3. A mayor resolución temporal, los episodios de volatilidad se distinguen mejor de los períodos de calma, y el argumento contra los modelos de varianza constante queda más firme.</w:t>
      </w:r>
    </w:p>
    <w:p>
      <w:pPr>
        <w:spacing w:after="0" w:line="480" w:lineRule="auto"/>
        <w:ind w:firstLine="720"/>
      </w:pPr>
      <w:r>
        <w:rPr>
          <w:rFonts w:ascii="Times New Roman" w:cs="Times New Roman" w:eastAsia="Times New Roman" w:hAnsi="Times New Roman"/>
          <w:b/>
          <w:bCs/>
          <w:color w:val="000000"/>
          <w:sz w:val="24"/>
          <w:szCs w:val="24"/>
        </w:rPr>
        <w:t xml:space="preserve">Se matiza la no estacionariedad de los precios.</w:t>
      </w:r>
      <w:r>
        <w:rPr>
          <w:rFonts w:ascii="Times New Roman" w:cs="Times New Roman" w:eastAsia="Times New Roman" w:hAnsi="Times New Roman"/>
          <w:color w:val="000000"/>
          <w:sz w:val="24"/>
          <w:szCs w:val="24"/>
        </w:rPr>
        <w:t xml:space="preserve"> Sobre 4 horas, dos de las seis series —Litecoin, con p = 0,0147, y Ethereum, con p = 0,0471— sí rechazan la hipótesis nula, aunque las dos lo hacen de forma marginal, muy próximas al umbral de 0,05. Las otras cuatro no la rechazan. La conclusión operativa no cambia, porque las características se construyen sobre retornos en cualquiera de los dos casos, pero sería incorrecto seguir afirmando "ninguna de las seis" sin declarar la granularidad sobre la que se midió.</w:t>
      </w:r>
    </w:p>
    <w:p>
      <w:pPr>
        <w:spacing w:after="0" w:line="480" w:lineRule="auto"/>
        <w:ind w:firstLine="720"/>
      </w:pPr>
      <w:r>
        <w:rPr>
          <w:rFonts w:ascii="Times New Roman" w:cs="Times New Roman" w:eastAsia="Times New Roman" w:hAnsi="Times New Roman"/>
          <w:b/>
          <w:bCs/>
          <w:color w:val="000000"/>
          <w:sz w:val="24"/>
          <w:szCs w:val="24"/>
        </w:rPr>
        <w:t xml:space="preserve">Y se matiza la autocorrelación, en un sentido que conviene explicar.</w:t>
      </w:r>
      <w:r>
        <w:rPr>
          <w:rFonts w:ascii="Times New Roman" w:cs="Times New Roman" w:eastAsia="Times New Roman" w:hAnsi="Times New Roman"/>
          <w:color w:val="000000"/>
          <w:sz w:val="24"/>
          <w:szCs w:val="24"/>
        </w:rPr>
        <w:t xml:space="preserve"> Sobre 4 horas diez rezagos superan la banda, frente a tres sobre velas diarias. Podría leerse como que hay más estructura lineal aprovechable, y sería una lectura equivocada: la autocorrelación en el primer rezago es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en 4 horas que en diario, −0,019 frente a −0,036. Lo que aumenta no es la magnitud de la dependencia sino la capacidad de distinguirla del ruido. Que un valor sea estadísticamente distinto de cero no lo vuelve útil para predecir, y una correlación de dos centésimas no sostiene un modelo por muy significativa que sea. El argumento a favor de modelos no lineales y multivariantes queda intacto.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Criptoactivos y sus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S1-M2-05</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criptoactivo</w:t>
      </w:r>
    </w:p>
    <w:p>
      <w:pPr>
        <w:spacing w:after="0" w:line="480" w:lineRule="auto"/>
        <w:ind w:firstLine="720"/>
      </w:pPr>
      <w:r>
        <w:rPr>
          <w:rFonts w:ascii="Times New Roman" w:cs="Times New Roman" w:eastAsia="Times New Roman" w:hAnsi="Times New Roman"/>
          <w:color w:val="000000"/>
          <w:sz w:val="24"/>
          <w:szCs w:val="24"/>
        </w:rP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[FATF], 2021). Esa definición —qué hace el activo, no quién lo emite— es la que conviene adoptar en un trabajo cuantitativo.</w:t>
      </w:r>
    </w:p>
    <w:p>
      <w:pPr>
        <w:spacing w:after="0" w:line="480" w:lineRule="auto"/>
        <w:ind w:firstLine="720"/>
      </w:pPr>
      <w:r>
        <w:rPr>
          <w:rFonts w:ascii="Times New Roman" w:cs="Times New Roman" w:eastAsia="Times New Roman" w:hAnsi="Times New Roman"/>
          <w:color w:val="000000"/>
          <w:sz w:val="24"/>
          <w:szCs w:val="24"/>
        </w:rPr>
        <w:t xml:space="preserve">Lo que distingue a un criptoactivo de un activo financiero tradicional no es que sea digital: un depósito bancario también lo es. La diferencia está en </w:t>
      </w:r>
      <w:r>
        <w:rPr>
          <w:rFonts w:ascii="Times New Roman" w:cs="Times New Roman" w:eastAsia="Times New Roman" w:hAnsi="Times New Roman"/>
          <w:b/>
          <w:bCs/>
          <w:color w:val="000000"/>
          <w:sz w:val="24"/>
          <w:szCs w:val="24"/>
        </w:rPr>
        <w:t xml:space="preserve">quién garantiza el registro</w:t>
      </w:r>
      <w:r>
        <w:rPr>
          <w:rFonts w:ascii="Times New Roman" w:cs="Times New Roman" w:eastAsia="Times New Roman" w:hAnsi="Times New Roman"/>
          <w:color w:val="000000"/>
          <w:sz w:val="24"/>
          <w:szCs w:val="24"/>
        </w:rPr>
        <w:t xml:space="preserve">.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pPr>
        <w:spacing w:after="0" w:line="480" w:lineRule="auto"/>
        <w:ind w:firstLine="720"/>
      </w:pPr>
      <w:r>
        <w:rPr>
          <w:rFonts w:ascii="Times New Roman" w:cs="Times New Roman" w:eastAsia="Times New Roman" w:hAnsi="Times New Roman"/>
          <w:color w:val="000000"/>
          <w:sz w:val="24"/>
          <w:szCs w:val="24"/>
        </w:rPr>
        <w:t xml:space="preserve">De ahí se deriva la propiedad que más importa para este trabajo: </w:t>
      </w:r>
      <w:r>
        <w:rPr>
          <w:rFonts w:ascii="Times New Roman" w:cs="Times New Roman" w:eastAsia="Times New Roman" w:hAnsi="Times New Roman"/>
          <w:b/>
          <w:bCs/>
          <w:color w:val="000000"/>
          <w:sz w:val="24"/>
          <w:szCs w:val="24"/>
        </w:rPr>
        <w:t xml:space="preserve">no existe un emisor con obligación de pago</w:t>
      </w:r>
      <w:r>
        <w:rPr>
          <w:rFonts w:ascii="Times New Roman" w:cs="Times New Roman" w:eastAsia="Times New Roman" w:hAnsi="Times New Roman"/>
          <w:color w:val="000000"/>
          <w:sz w:val="24"/>
          <w:szCs w:val="24"/>
        </w:rPr>
        <w:t xml:space="preserve">.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pPr>
        <w:spacing w:after="0" w:line="480" w:lineRule="auto"/>
        <w:ind w:firstLine="720"/>
      </w:pPr>
      <w:r>
        <w:rPr>
          <w:rFonts w:ascii="Times New Roman" w:cs="Times New Roman" w:eastAsia="Times New Roman" w:hAnsi="Times New Roman"/>
          <w:color w:val="000000"/>
          <w:sz w:val="24"/>
          <w:szCs w:val="24"/>
        </w:rPr>
        <w:t xml:space="preserve">Esa ausencia de ancla es la razón técnica por la que este proyecto se plantea como un problema de </w:t>
      </w:r>
      <w:r>
        <w:rPr>
          <w:rFonts w:ascii="Times New Roman" w:cs="Times New Roman" w:eastAsia="Times New Roman" w:hAnsi="Times New Roman"/>
          <w:b/>
          <w:bCs/>
          <w:color w:val="000000"/>
          <w:sz w:val="24"/>
          <w:szCs w:val="24"/>
        </w:rPr>
        <w:t xml:space="preserve">reconocimiento de patrones sobre la serie de precios</w:t>
      </w:r>
      <w:r>
        <w:rPr>
          <w:rFonts w:ascii="Times New Roman" w:cs="Times New Roman" w:eastAsia="Times New Roman" w:hAnsi="Times New Roman"/>
          <w:color w:val="000000"/>
          <w:sz w:val="24"/>
          <w:szCs w:val="24"/>
        </w:rP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Características principales</w:t>
      </w:r>
    </w:p>
    <w:p>
      <w:pPr>
        <w:spacing w:after="0" w:line="480" w:lineRule="auto"/>
        <w:ind w:firstLine="720"/>
      </w:pPr>
      <w:r>
        <w:rPr>
          <w:rFonts w:ascii="Times New Roman" w:cs="Times New Roman" w:eastAsia="Times New Roman" w:hAnsi="Times New Roman"/>
          <w:b/>
          <w:bCs/>
          <w:color w:val="000000"/>
          <w:sz w:val="24"/>
          <w:szCs w:val="24"/>
        </w:rPr>
        <w:t xml:space="preserve">Descentralización del registro.</w:t>
      </w:r>
      <w:r>
        <w:rPr>
          <w:rFonts w:ascii="Times New Roman" w:cs="Times New Roman" w:eastAsia="Times New Roman" w:hAnsi="Times New Roman"/>
          <w:color w:val="000000"/>
          <w:sz w:val="24"/>
          <w:szCs w:val="24"/>
        </w:rP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pPr>
        <w:spacing w:after="0" w:line="480" w:lineRule="auto"/>
        <w:ind w:firstLine="720"/>
      </w:pPr>
      <w:r>
        <w:rPr>
          <w:rFonts w:ascii="Times New Roman" w:cs="Times New Roman" w:eastAsia="Times New Roman" w:hAnsi="Times New Roman"/>
          <w:b/>
          <w:bCs/>
          <w:color w:val="000000"/>
          <w:sz w:val="24"/>
          <w:szCs w:val="24"/>
        </w:rPr>
        <w:t xml:space="preserve">Operación continua.</w:t>
      </w:r>
      <w:r>
        <w:rPr>
          <w:rFonts w:ascii="Times New Roman" w:cs="Times New Roman" w:eastAsia="Times New Roman" w:hAnsi="Times New Roman"/>
          <w:color w:val="000000"/>
          <w:sz w:val="24"/>
          <w:szCs w:val="24"/>
        </w:rP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variación total. En un mercado con horario —una bolsa de valores— aparecería un efecto de fin de semana y un patrón intrasemanal apreciable; aquí, prácticamente no hay ninguno.</w:t>
      </w:r>
    </w:p>
    <w:p>
      <w:pPr>
        <w:spacing w:after="0" w:line="480" w:lineRule="auto"/>
        <w:ind w:firstLine="720"/>
      </w:pPr>
      <w:r>
        <w:rPr>
          <w:rFonts w:ascii="Times New Roman" w:cs="Times New Roman" w:eastAsia="Times New Roman" w:hAnsi="Times New Roman"/>
          <w:color w:val="000000"/>
          <w:sz w:val="24"/>
          <w:szCs w:val="24"/>
        </w:rPr>
        <w:t xml:space="preserve">No es un detalle descriptivo: </w:t>
      </w:r>
      <w:r>
        <w:rPr>
          <w:rFonts w:ascii="Times New Roman" w:cs="Times New Roman" w:eastAsia="Times New Roman" w:hAnsi="Times New Roman"/>
          <w:b/>
          <w:bCs/>
          <w:color w:val="000000"/>
          <w:sz w:val="24"/>
          <w:szCs w:val="24"/>
        </w:rPr>
        <w:t xml:space="preserve">justifica una decisión de diseño</w:t>
      </w:r>
      <w:r>
        <w:rPr>
          <w:rFonts w:ascii="Times New Roman" w:cs="Times New Roman" w:eastAsia="Times New Roman" w:hAnsi="Times New Roman"/>
          <w:color w:val="000000"/>
          <w:sz w:val="24"/>
          <w:szCs w:val="24"/>
        </w:rPr>
        <w:t xml:space="preserve">.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pPr>
        <w:spacing w:after="0" w:line="480" w:lineRule="auto"/>
        <w:ind w:firstLine="720"/>
      </w:pPr>
      <w:r>
        <w:rPr>
          <w:rFonts w:ascii="Times New Roman" w:cs="Times New Roman" w:eastAsia="Times New Roman" w:hAnsi="Times New Roman"/>
          <w:b/>
          <w:bCs/>
          <w:color w:val="000000"/>
          <w:sz w:val="24"/>
          <w:szCs w:val="24"/>
        </w:rPr>
        <w:t xml:space="preserve">Divisibilidad.</w:t>
      </w:r>
      <w:r>
        <w:rPr>
          <w:rFonts w:ascii="Times New Roman" w:cs="Times New Roman" w:eastAsia="Times New Roman" w:hAnsi="Times New Roman"/>
          <w:color w:val="000000"/>
          <w:sz w:val="24"/>
          <w:szCs w:val="24"/>
        </w:rP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pPr>
        <w:spacing w:after="0" w:line="480" w:lineRule="auto"/>
        <w:ind w:firstLine="720"/>
      </w:pPr>
      <w:r>
        <w:rPr>
          <w:rFonts w:ascii="Times New Roman" w:cs="Times New Roman" w:eastAsia="Times New Roman" w:hAnsi="Times New Roman"/>
          <w:b/>
          <w:bCs/>
          <w:color w:val="000000"/>
          <w:sz w:val="24"/>
          <w:szCs w:val="24"/>
        </w:rPr>
        <w:t xml:space="preserve">Transparencia del registro y opacidad del participante.</w:t>
      </w:r>
      <w:r>
        <w:rPr>
          <w:rFonts w:ascii="Times New Roman" w:cs="Times New Roman" w:eastAsia="Times New Roman" w:hAnsi="Times New Roman"/>
          <w:color w:val="000000"/>
          <w:sz w:val="24"/>
          <w:szCs w:val="24"/>
        </w:rPr>
        <w:t xml:space="preserve"> Todas las transacciones son públicas y auditables, pero las direcciones no están asociadas a identidades. La consecuencia para el análisis es que existe información en cadena (</w:t>
      </w:r>
      <w:r>
        <w:rPr>
          <w:rFonts w:ascii="Times New Roman" w:cs="Times New Roman" w:eastAsia="Times New Roman" w:hAnsi="Times New Roman"/>
          <w:i/>
          <w:iCs/>
          <w:color w:val="000000"/>
          <w:sz w:val="24"/>
          <w:szCs w:val="24"/>
        </w:rPr>
        <w:t xml:space="preserve">on-chain</w:t>
      </w:r>
      <w:r>
        <w:rPr>
          <w:rFonts w:ascii="Times New Roman" w:cs="Times New Roman" w:eastAsia="Times New Roman" w:hAnsi="Times New Roman"/>
          <w:color w:val="000000"/>
          <w:sz w:val="24"/>
          <w:szCs w:val="24"/>
        </w:rPr>
        <w:t xml:space="preserve">) potencialmente utilizable como variable explicativa. En este proyecto no la usamos: el enunciado especifica los precios rezagados de las seis criptomonedas como entrada, y ampliar el conjunto de fuentes sin una necesidad medida sería aumentar la complejidad sin justificación.</w:t>
      </w:r>
    </w:p>
    <w:p>
      <w:pPr>
        <w:spacing w:after="0" w:line="480" w:lineRule="auto"/>
        <w:ind w:firstLine="720"/>
      </w:pPr>
      <w:r>
        <w:rPr>
          <w:rFonts w:ascii="Times New Roman" w:cs="Times New Roman" w:eastAsia="Times New Roman" w:hAnsi="Times New Roman"/>
          <w:b/>
          <w:bCs/>
          <w:color w:val="000000"/>
          <w:sz w:val="24"/>
          <w:szCs w:val="24"/>
        </w:rPr>
        <w:t xml:space="preserve">Ausencia de cierre diario.</w:t>
      </w:r>
      <w:r>
        <w:rPr>
          <w:rFonts w:ascii="Times New Roman" w:cs="Times New Roman" w:eastAsia="Times New Roman" w:hAnsi="Times New Roman"/>
          <w:color w:val="000000"/>
          <w:sz w:val="24"/>
          <w:szCs w:val="24"/>
        </w:rP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significa nada.</w:t>
      </w:r>
    </w:p>
    <w:p>
      <w:pPr>
        <w:spacing w:after="0" w:line="480" w:lineRule="auto"/>
        <w:ind w:firstLine="720"/>
      </w:pPr>
      <w:r>
        <w:rPr>
          <w:rFonts w:ascii="Times New Roman" w:cs="Times New Roman" w:eastAsia="Times New Roman" w:hAnsi="Times New Roman"/>
          <w:b/>
          <w:bCs/>
          <w:color w:val="000000"/>
          <w:sz w:val="24"/>
          <w:szCs w:val="24"/>
        </w:rPr>
        <w:t xml:space="preserve">Volatilidad elevada y variable en el tiempo.</w:t>
      </w:r>
      <w:r>
        <w:rPr>
          <w:rFonts w:ascii="Times New Roman" w:cs="Times New Roman" w:eastAsia="Times New Roman" w:hAnsi="Times New Roman"/>
          <w:color w:val="000000"/>
          <w:sz w:val="24"/>
          <w:szCs w:val="24"/>
        </w:rPr>
        <w:t xml:space="preserve"> Sobre los datos del proyecto, la desviación estándar móvil de los retornos de LTC en ventanas de 30 días recorre un rango de </w:t>
      </w:r>
      <w:r>
        <w:rPr>
          <w:rFonts w:ascii="Times New Roman" w:cs="Times New Roman" w:eastAsia="Times New Roman" w:hAnsi="Times New Roman"/>
          <w:b/>
          <w:bCs/>
          <w:color w:val="000000"/>
          <w:sz w:val="24"/>
          <w:szCs w:val="24"/>
        </w:rPr>
        <w:t xml:space="preserve">0,0138 a 0,122</w:t>
      </w:r>
      <w:r>
        <w:rPr>
          <w:rFonts w:ascii="Times New Roman" w:cs="Times New Roman" w:eastAsia="Times New Roman" w:hAnsi="Times New Roman"/>
          <w:color w:val="000000"/>
          <w:sz w:val="24"/>
          <w:szCs w:val="24"/>
        </w:rPr>
        <w:t xml:space="preserve">: el período más agitado de la muestra fue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rFonts w:ascii="Times New Roman" w:cs="Times New Roman" w:eastAsia="Times New Roman" w:hAnsi="Times New Roman"/>
          <w:b/>
          <w:bCs/>
          <w:color w:val="000000"/>
          <w:sz w:val="24"/>
          <w:szCs w:val="24"/>
        </w:rPr>
        <w:t xml:space="preserve">conmuta entre estados</w:t>
      </w:r>
      <w:r>
        <w:rPr>
          <w:rFonts w:ascii="Times New Roman" w:cs="Times New Roman" w:eastAsia="Times New Roman" w:hAnsi="Times New Roman"/>
          <w:color w:val="000000"/>
          <w:sz w:val="24"/>
          <w:szCs w:val="24"/>
        </w:rP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Principales tipos</w:t>
      </w:r>
    </w:p>
    <w:p>
      <w:pPr>
        <w:spacing w:after="0" w:line="480" w:lineRule="auto"/>
        <w:ind w:firstLine="720"/>
      </w:pPr>
      <w:r>
        <w:rPr>
          <w:rFonts w:ascii="Times New Roman" w:cs="Times New Roman" w:eastAsia="Times New Roman" w:hAnsi="Times New Roman"/>
          <w:color w:val="000000"/>
          <w:sz w:val="24"/>
          <w:szCs w:val="24"/>
        </w:rPr>
        <w:t xml:space="preserve">La clasificación por función económica es la más útil aquí, porque explica por qué las seis criptomonedas del proyecto no son intercambiables entre sí:</w:t>
      </w:r>
    </w:p>
    <w:p>
      <w:pPr>
        <w:spacing w:after="0" w:line="480" w:lineRule="auto"/>
        <w:ind w:firstLine="720"/>
      </w:pPr>
      <w:r>
        <w:rPr>
          <w:rFonts w:ascii="Times New Roman" w:cs="Times New Roman" w:eastAsia="Times New Roman" w:hAnsi="Times New Roman"/>
          <w:b/>
          <w:bCs/>
          <w:color w:val="000000"/>
          <w:sz w:val="24"/>
          <w:szCs w:val="24"/>
        </w:rPr>
        <w:t xml:space="preserve">Monedas de pago.</w:t>
      </w:r>
      <w:r>
        <w:rPr>
          <w:rFonts w:ascii="Times New Roman" w:cs="Times New Roman" w:eastAsia="Times New Roman" w:hAnsi="Times New Roman"/>
          <w:color w:val="000000"/>
          <w:sz w:val="24"/>
          <w:szCs w:val="24"/>
        </w:rPr>
        <w:t xml:space="preserve"> Diseñadas como medio de intercambio, con funcionalidad programable limitada.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—nuestro activo objetivo— pertenece a esta categoría: nació en 2011 como una variante de Bitcoin con bloques más rápidos y una función de prueba de trabajo distinta, orientada a transacciones de menor valor.</w:t>
      </w:r>
    </w:p>
    <w:p>
      <w:pPr>
        <w:spacing w:after="0" w:line="480" w:lineRule="auto"/>
        <w:ind w:firstLine="720"/>
      </w:pPr>
      <w:r>
        <w:rPr>
          <w:rFonts w:ascii="Times New Roman" w:cs="Times New Roman" w:eastAsia="Times New Roman" w:hAnsi="Times New Roman"/>
          <w:b/>
          <w:bCs/>
          <w:color w:val="000000"/>
          <w:sz w:val="24"/>
          <w:szCs w:val="24"/>
        </w:rPr>
        <w:t xml:space="preserve">Reserva de valor y activo de referencia.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BTC</w:t>
      </w:r>
      <w:r>
        <w:rPr>
          <w:rFonts w:ascii="Times New Roman" w:cs="Times New Roman" w:eastAsia="Times New Roman" w:hAnsi="Times New Roman"/>
          <w:color w:val="000000"/>
          <w:sz w:val="24"/>
          <w:szCs w:val="24"/>
        </w:rPr>
        <w:t xml:space="preserve"> cumple hoy sobre todo esta función. Baur et al. (2018) muestran que su uso predominante es especulativo y de tenencia antes que transaccional, lo que lo aproxima más a un activo de inversión que a un medio de pago.</w:t>
      </w:r>
    </w:p>
    <w:p>
      <w:pPr>
        <w:spacing w:after="0" w:line="480" w:lineRule="auto"/>
        <w:ind w:firstLine="720"/>
      </w:pPr>
      <w:r>
        <w:rPr>
          <w:rFonts w:ascii="Times New Roman" w:cs="Times New Roman" w:eastAsia="Times New Roman" w:hAnsi="Times New Roman"/>
          <w:b/>
          <w:bCs/>
          <w:color w:val="000000"/>
          <w:sz w:val="24"/>
          <w:szCs w:val="24"/>
        </w:rPr>
        <w:t xml:space="preserve">Plataformas de contratos inteligentes (capa 1).</w:t>
      </w:r>
      <w:r>
        <w:rPr>
          <w:rFonts w:ascii="Times New Roman" w:cs="Times New Roman" w:eastAsia="Times New Roman" w:hAnsi="Times New Roman"/>
          <w:color w:val="000000"/>
          <w:sz w:val="24"/>
          <w:szCs w:val="24"/>
        </w:rPr>
        <w:t xml:space="preserve"> Redes cuyo valor deriva de la actividad que alojan.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es la de mayor adopción; </w:t>
      </w:r>
      <w:r>
        <w:rPr>
          <w:rFonts w:ascii="Times New Roman" w:cs="Times New Roman" w:eastAsia="Times New Roman" w:hAnsi="Times New Roman"/>
          <w:b/>
          <w:bCs/>
          <w:color w:val="000000"/>
          <w:sz w:val="24"/>
          <w:szCs w:val="24"/>
        </w:rPr>
        <w:t xml:space="preserve">SOL</w:t>
      </w:r>
      <w:r>
        <w:rPr>
          <w:rFonts w:ascii="Times New Roman" w:cs="Times New Roman" w:eastAsia="Times New Roman" w:hAnsi="Times New Roman"/>
          <w:color w:val="000000"/>
          <w:sz w:val="24"/>
          <w:szCs w:val="24"/>
        </w:rPr>
        <w:t xml:space="preserve"> compite ofreciendo mayor rendimiento transaccional a cambio de supuestos de descentralización distintos; </w:t>
      </w:r>
      <w:r>
        <w:rPr>
          <w:rFonts w:ascii="Times New Roman" w:cs="Times New Roman" w:eastAsia="Times New Roman" w:hAnsi="Times New Roman"/>
          <w:b/>
          <w:bCs/>
          <w:color w:val="000000"/>
          <w:sz w:val="24"/>
          <w:szCs w:val="24"/>
        </w:rPr>
        <w:t xml:space="preserve">ADA</w:t>
      </w:r>
      <w:r>
        <w:rPr>
          <w:rFonts w:ascii="Times New Roman" w:cs="Times New Roman" w:eastAsia="Times New Roman" w:hAnsi="Times New Roman"/>
          <w:color w:val="000000"/>
          <w:sz w:val="24"/>
          <w:szCs w:val="24"/>
        </w:rPr>
        <w:t xml:space="preserve"> sigue una ruta de desarrollo más conservadora y por etapas.</w:t>
      </w:r>
    </w:p>
    <w:p>
      <w:pPr>
        <w:spacing w:after="0" w:line="480" w:lineRule="auto"/>
        <w:ind w:firstLine="720"/>
      </w:pPr>
      <w:r>
        <w:rPr>
          <w:rFonts w:ascii="Times New Roman" w:cs="Times New Roman" w:eastAsia="Times New Roman" w:hAnsi="Times New Roman"/>
          <w:b/>
          <w:bCs/>
          <w:color w:val="000000"/>
          <w:sz w:val="24"/>
          <w:szCs w:val="24"/>
        </w:rPr>
        <w:t xml:space="preserve">Orientados a pagos transfronterizos.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XRP</w:t>
      </w:r>
      <w:r>
        <w:rPr>
          <w:rFonts w:ascii="Times New Roman" w:cs="Times New Roman" w:eastAsia="Times New Roman" w:hAnsi="Times New Roman"/>
          <w:color w:val="000000"/>
          <w:sz w:val="24"/>
          <w:szCs w:val="24"/>
        </w:rPr>
        <w:t xml:space="preserve"> apunta a la liquidación entre instituciones financieras, y su valor está más expuesto que el de los demás a decisiones regulatorias sobre su naturaleza jurídica.</w:t>
      </w:r>
    </w:p>
    <w:p>
      <w:pPr>
        <w:spacing w:after="0" w:line="480" w:lineRule="auto"/>
        <w:ind w:firstLine="720"/>
      </w:pPr>
      <w:r>
        <w:rPr>
          <w:rFonts w:ascii="Times New Roman" w:cs="Times New Roman" w:eastAsia="Times New Roman" w:hAnsi="Times New Roman"/>
          <w:b/>
          <w:bCs/>
          <w:color w:val="000000"/>
          <w:sz w:val="24"/>
          <w:szCs w:val="24"/>
        </w:rPr>
        <w:t xml:space="preserve">Stablecoins.</w:t>
      </w:r>
      <w:r>
        <w:rPr>
          <w:rFonts w:ascii="Times New Roman" w:cs="Times New Roman" w:eastAsia="Times New Roman" w:hAnsi="Times New Roman"/>
          <w:color w:val="000000"/>
          <w:sz w:val="24"/>
          <w:szCs w:val="24"/>
        </w:rP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pPr>
        <w:spacing w:after="0" w:line="480" w:lineRule="auto"/>
        <w:ind w:firstLine="720"/>
      </w:pPr>
      <w:r>
        <w:rPr>
          <w:rFonts w:ascii="Times New Roman" w:cs="Times New Roman" w:eastAsia="Times New Roman" w:hAnsi="Times New Roman"/>
          <w:color w:val="000000"/>
          <w:sz w:val="24"/>
          <w:szCs w:val="24"/>
        </w:rPr>
        <w:t xml:space="preserve">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Mercado cripto</w:t>
      </w:r>
    </w:p>
    <w:p>
      <w:pPr>
        <w:spacing w:after="0" w:line="480" w:lineRule="auto"/>
        <w:ind w:firstLine="720"/>
      </w:pPr>
      <w:r>
        <w:rPr>
          <w:rFonts w:ascii="Times New Roman" w:cs="Times New Roman" w:eastAsia="Times New Roman" w:hAnsi="Times New Roman"/>
          <w:color w:val="000000"/>
          <w:sz w:val="24"/>
          <w:szCs w:val="24"/>
        </w:rPr>
        <w:t xml:space="preserve">El mercado de criptoactivos se organiza en torno a </w:t>
      </w:r>
      <w:r>
        <w:rPr>
          <w:rFonts w:ascii="Times New Roman" w:cs="Times New Roman" w:eastAsia="Times New Roman" w:hAnsi="Times New Roman"/>
          <w:b/>
          <w:bCs/>
          <w:color w:val="000000"/>
          <w:sz w:val="24"/>
          <w:szCs w:val="24"/>
        </w:rPr>
        <w:t xml:space="preserve">exchanges centralizados</w:t>
      </w:r>
      <w:r>
        <w:rPr>
          <w:rFonts w:ascii="Times New Roman" w:cs="Times New Roman" w:eastAsia="Times New Roman" w:hAnsi="Times New Roman"/>
          <w:color w:val="000000"/>
          <w:sz w:val="24"/>
          <w:szCs w:val="24"/>
        </w:rPr>
        <w:t xml:space="preserve">,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pPr>
        <w:spacing w:after="0" w:line="480" w:lineRule="auto"/>
        <w:ind w:firstLine="720"/>
      </w:pPr>
      <w:r>
        <w:rPr>
          <w:rFonts w:ascii="Times New Roman" w:cs="Times New Roman" w:eastAsia="Times New Roman" w:hAnsi="Times New Roman"/>
          <w:b/>
          <w:bCs/>
          <w:color w:val="000000"/>
          <w:sz w:val="24"/>
          <w:szCs w:val="24"/>
        </w:rPr>
        <w:t xml:space="preserve">Decisión de fuente y su consecuencia.</w:t>
      </w:r>
      <w:r>
        <w:rPr>
          <w:rFonts w:ascii="Times New Roman" w:cs="Times New Roman" w:eastAsia="Times New Roman" w:hAnsi="Times New Roman"/>
          <w:color w:val="000000"/>
          <w:sz w:val="24"/>
          <w:szCs w:val="24"/>
        </w:rPr>
        <w:t xml:space="preserve"> Los precios de este trabajo provienen de la API pública de Binance. Hay que declararlo explícitamente porque condiciona lo que los resultados significan: son los precios de </w:t>
      </w:r>
      <w:r>
        <w:rPr>
          <w:rFonts w:ascii="Times New Roman" w:cs="Times New Roman" w:eastAsia="Times New Roman" w:hAnsi="Times New Roman"/>
          <w:b/>
          <w:bCs/>
          <w:color w:val="000000"/>
          <w:sz w:val="24"/>
          <w:szCs w:val="24"/>
        </w:rPr>
        <w:t xml:space="preserve">un</w:t>
      </w:r>
      <w:r>
        <w:rPr>
          <w:rFonts w:ascii="Times New Roman" w:cs="Times New Roman" w:eastAsia="Times New Roman" w:hAnsi="Times New Roman"/>
          <w:color w:val="000000"/>
          <w:sz w:val="24"/>
          <w:szCs w:val="24"/>
        </w:rP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pPr>
        <w:spacing w:after="0" w:line="480" w:lineRule="auto"/>
        <w:ind w:firstLine="720"/>
      </w:pPr>
      <w:r>
        <w:rPr>
          <w:rFonts w:ascii="Times New Roman" w:cs="Times New Roman" w:eastAsia="Times New Roman" w:hAnsi="Times New Roman"/>
          <w:b/>
          <w:bCs/>
          <w:color w:val="000000"/>
          <w:sz w:val="24"/>
          <w:szCs w:val="24"/>
        </w:rPr>
        <w:t xml:space="preserve">Ventana histórica común.</w:t>
      </w:r>
      <w:r>
        <w:rPr>
          <w:rFonts w:ascii="Times New Roman" w:cs="Times New Roman" w:eastAsia="Times New Roman" w:hAnsi="Times New Roman"/>
          <w:color w:val="000000"/>
          <w:sz w:val="24"/>
          <w:szCs w:val="24"/>
        </w:rPr>
        <w:t xml:space="preserve"> El panel del proyecto arranca el </w:t>
      </w:r>
      <w:r>
        <w:rPr>
          <w:rFonts w:ascii="Times New Roman" w:cs="Times New Roman" w:eastAsia="Times New Roman" w:hAnsi="Times New Roman"/>
          <w:b/>
          <w:bCs/>
          <w:color w:val="000000"/>
          <w:sz w:val="24"/>
          <w:szCs w:val="24"/>
        </w:rPr>
        <w:t xml:space="preserve">11 de agosto de 2020</w:t>
      </w:r>
      <w:r>
        <w:rPr>
          <w:rFonts w:ascii="Times New Roman" w:cs="Times New Roman" w:eastAsia="Times New Roman" w:hAnsi="Times New Roman"/>
          <w:color w:val="000000"/>
          <w:sz w:val="24"/>
          <w:szCs w:val="24"/>
        </w:rP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pPr>
        <w:spacing w:after="0" w:line="480" w:lineRule="auto"/>
        <w:ind w:firstLine="720"/>
      </w:pPr>
      <w:r>
        <w:rPr>
          <w:rFonts w:ascii="Times New Roman" w:cs="Times New Roman" w:eastAsia="Times New Roman" w:hAnsi="Times New Roman"/>
          <w:color w:val="000000"/>
          <w:sz w:val="24"/>
          <w:szCs w:val="24"/>
        </w:rPr>
        <w:t xml:space="preserve">El costo de esa decisión es cuantificable. Con velas diarias el panel queda en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para el período 11/08/2020 – 04/08/2026, mientras que la serie individual de LTC tiene 3 157: se sacrifica cerca de un tercio del historial para poder plantear el problema como multivariante. Con velas de 4 horas el mismo período produce </w:t>
      </w:r>
      <w:r>
        <w:rPr>
          <w:rFonts w:ascii="Times New Roman" w:cs="Times New Roman" w:eastAsia="Times New Roman" w:hAnsi="Times New Roman"/>
          <w:b/>
          <w:bCs/>
          <w:color w:val="000000"/>
          <w:sz w:val="24"/>
          <w:szCs w:val="24"/>
        </w:rPr>
        <w:t xml:space="preserve">13 114 observaciones</w:t>
      </w:r>
      <w:r>
        <w:rPr>
          <w:rFonts w:ascii="Times New Roman" w:cs="Times New Roman" w:eastAsia="Times New Roman" w:hAnsi="Times New Roman"/>
          <w:color w:val="000000"/>
          <w:sz w:val="24"/>
          <w:szCs w:val="24"/>
        </w:rPr>
        <w:t xml:space="preserve">, y por eso esa es la granularidad de trabajo. El requisito de simultaneidad se paga en historia, y la granularidad más fina es lo que devuelve el volumen de ejemplos necesario.</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cs="Courier New" w:eastAsia="Courier New" w:hAnsi="Courier New"/>
          <w:color w:val="000000"/>
          <w:sz w:val="22"/>
          <w:szCs w:val="22"/>
        </w:rPr>
        <w:t xml:space="preserve">docs/evidencias/spike-datos-4h.json</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Factores que afectan el precio</w:t>
      </w:r>
    </w:p>
    <w:p>
      <w:pPr>
        <w:spacing w:after="0" w:line="480" w:lineRule="auto"/>
        <w:ind w:firstLine="720"/>
      </w:pPr>
      <w:r>
        <w:rPr>
          <w:rFonts w:ascii="Times New Roman" w:cs="Times New Roman" w:eastAsia="Times New Roman" w:hAnsi="Times New Roman"/>
          <w:b/>
          <w:bCs/>
          <w:color w:val="000000"/>
          <w:sz w:val="24"/>
          <w:szCs w:val="24"/>
        </w:rPr>
        <w:t xml:space="preserve">Oferta y demanda con oferta programada.</w:t>
      </w:r>
      <w:r>
        <w:rPr>
          <w:rFonts w:ascii="Times New Roman" w:cs="Times New Roman" w:eastAsia="Times New Roman" w:hAnsi="Times New Roman"/>
          <w:color w:val="000000"/>
          <w:sz w:val="24"/>
          <w:szCs w:val="24"/>
        </w:rPr>
        <w:t xml:space="preserve"> LTC tiene un tope de emisión de 84 millones de unidades y un calendario de reducción de la recompensa por bloque —</w:t>
      </w:r>
      <w:r>
        <w:rPr>
          <w:rFonts w:ascii="Times New Roman" w:cs="Times New Roman" w:eastAsia="Times New Roman" w:hAnsi="Times New Roman"/>
          <w:i/>
          <w:iCs/>
          <w:color w:val="000000"/>
          <w:sz w:val="24"/>
          <w:szCs w:val="24"/>
        </w:rPr>
        <w:t xml:space="preserve">halving</w:t>
      </w:r>
      <w:r>
        <w:rPr>
          <w:rFonts w:ascii="Times New Roman" w:cs="Times New Roman" w:eastAsia="Times New Roman" w:hAnsi="Times New Roman"/>
          <w:color w:val="000000"/>
          <w:sz w:val="24"/>
          <w:szCs w:val="24"/>
        </w:rPr>
        <w:t xml:space="preserve">—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pPr>
        <w:spacing w:after="0" w:line="480" w:lineRule="auto"/>
        <w:ind w:firstLine="720"/>
      </w:pPr>
      <w:r>
        <w:rPr>
          <w:rFonts w:ascii="Times New Roman" w:cs="Times New Roman" w:eastAsia="Times New Roman" w:hAnsi="Times New Roman"/>
          <w:b/>
          <w:bCs/>
          <w:color w:val="000000"/>
          <w:sz w:val="24"/>
          <w:szCs w:val="24"/>
        </w:rPr>
        <w:t xml:space="preserve">Regulación.</w:t>
      </w:r>
      <w:r>
        <w:rPr>
          <w:rFonts w:ascii="Times New Roman" w:cs="Times New Roman" w:eastAsia="Times New Roman" w:hAnsi="Times New Roman"/>
          <w:color w:val="000000"/>
          <w:sz w:val="24"/>
          <w:szCs w:val="24"/>
        </w:rP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rFonts w:ascii="Times New Roman" w:cs="Times New Roman" w:eastAsia="Times New Roman" w:hAnsi="Times New Roman"/>
          <w:b/>
          <w:bCs/>
          <w:color w:val="000000"/>
          <w:sz w:val="24"/>
          <w:szCs w:val="24"/>
        </w:rPr>
        <w:t xml:space="preserve">exógenos a la serie</w:t>
      </w:r>
      <w:r>
        <w:rPr>
          <w:rFonts w:ascii="Times New Roman" w:cs="Times New Roman" w:eastAsia="Times New Roman" w:hAnsi="Times New Roman"/>
          <w:color w:val="000000"/>
          <w:sz w:val="24"/>
          <w:szCs w:val="24"/>
        </w:rPr>
        <w:t xml:space="preserve">. Ninguna característica construida a partir del histórico de precios puede anticiparlos, y conviene decirlo antes de que lo pregunten: hay una fracción irreducible de los puntos de inflexión que el modelo no puede predecir por construcción.</w:t>
      </w:r>
    </w:p>
    <w:p>
      <w:pPr>
        <w:spacing w:after="0" w:line="480" w:lineRule="auto"/>
        <w:ind w:firstLine="720"/>
      </w:pPr>
      <w:r>
        <w:rPr>
          <w:rFonts w:ascii="Times New Roman" w:cs="Times New Roman" w:eastAsia="Times New Roman" w:hAnsi="Times New Roman"/>
          <w:b/>
          <w:bCs/>
          <w:color w:val="000000"/>
          <w:sz w:val="24"/>
          <w:szCs w:val="24"/>
        </w:rPr>
        <w:t xml:space="preserve">Sentimiento y atención.</w:t>
      </w:r>
      <w:r>
        <w:rPr>
          <w:rFonts w:ascii="Times New Roman" w:cs="Times New Roman" w:eastAsia="Times New Roman" w:hAnsi="Times New Roman"/>
          <w:color w:val="000000"/>
          <w:sz w:val="24"/>
          <w:szCs w:val="24"/>
        </w:rP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pPr>
        <w:spacing w:after="0" w:line="480" w:lineRule="auto"/>
        <w:ind w:firstLine="720"/>
      </w:pPr>
      <w:r>
        <w:rPr>
          <w:rFonts w:ascii="Times New Roman" w:cs="Times New Roman" w:eastAsia="Times New Roman" w:hAnsi="Times New Roman"/>
          <w:b/>
          <w:bCs/>
          <w:color w:val="000000"/>
          <w:sz w:val="24"/>
          <w:szCs w:val="24"/>
        </w:rPr>
        <w:t xml:space="preserve">Flujos institucionales y liquidez.</w:t>
      </w:r>
      <w:r>
        <w:rPr>
          <w:rFonts w:ascii="Times New Roman" w:cs="Times New Roman" w:eastAsia="Times New Roman" w:hAnsi="Times New Roman"/>
          <w:color w:val="000000"/>
          <w:sz w:val="24"/>
          <w:szCs w:val="24"/>
        </w:rP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rFonts w:ascii="Times New Roman" w:cs="Times New Roman" w:eastAsia="Times New Roman" w:hAnsi="Times New Roman"/>
          <w:b/>
          <w:bCs/>
          <w:color w:val="000000"/>
          <w:sz w:val="24"/>
          <w:szCs w:val="24"/>
        </w:rPr>
        <w:t xml:space="preserve">cambia de régimen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Contagio entre activos.</w:t>
      </w:r>
      <w:r>
        <w:rPr>
          <w:rFonts w:ascii="Times New Roman" w:cs="Times New Roman" w:eastAsia="Times New Roman" w:hAnsi="Times New Roman"/>
          <w:color w:val="000000"/>
          <w:sz w:val="24"/>
          <w:szCs w:val="24"/>
        </w:rP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pPr>
        <w:spacing w:after="0" w:line="480" w:lineRule="auto"/>
        <w:ind w:firstLine="720"/>
      </w:pPr>
      <w:r>
        <w:rPr>
          <w:rFonts w:ascii="Times New Roman" w:cs="Times New Roman" w:eastAsia="Times New Roman" w:hAnsi="Times New Roman"/>
          <w:color w:val="000000"/>
          <w:sz w:val="24"/>
          <w:szCs w:val="24"/>
        </w:rP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regulatorio, y ADA como reflejo de la rotación de capital entre plataformas. La sección siguiente contrasta esa expectativa con lo que efectivamente miden nuestros datos.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Correlación y dependencia entre activos</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Matriz de correlación entre las seis criptomonedas, calculada sobre retornos diarios del panel 11/08/2020 – 04/08/2026 (n = 2 185)</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b/>
          <w:bCs/>
          <w:color w:val="000000"/>
          <w:sz w:val="24"/>
          <w:szCs w:val="24"/>
        </w:rPr>
        <w:t xml:space="preserve">Medido sobre retornos:</w:t>
      </w:r>
      <w:r>
        <w:rPr>
          <w:rFonts w:ascii="Times New Roman" w:cs="Times New Roman" w:eastAsia="Times New Roman" w:hAnsi="Times New Roman"/>
          <w:color w:val="000000"/>
          <w:sz w:val="24"/>
          <w:szCs w:val="24"/>
        </w:rPr>
        <w:t xml:space="preserve"> todas las parejas caen entre </w:t>
      </w:r>
      <w:r>
        <w:rPr>
          <w:rFonts w:ascii="Times New Roman" w:cs="Times New Roman" w:eastAsia="Times New Roman" w:hAnsi="Times New Roman"/>
          <w:b/>
          <w:bCs/>
          <w:color w:val="000000"/>
          <w:sz w:val="24"/>
          <w:szCs w:val="24"/>
        </w:rPr>
        <w:t xml:space="preserve">0,475 y 0,806</w:t>
      </w:r>
      <w:r>
        <w:rPr>
          <w:rFonts w:ascii="Times New Roman" w:cs="Times New Roman" w:eastAsia="Times New Roman" w:hAnsi="Times New Roman"/>
          <w:color w:val="000000"/>
          <w:sz w:val="24"/>
          <w:szCs w:val="24"/>
        </w:rPr>
        <w:t xml:space="preserve">, con una media fuera de la diagonal de </w:t>
      </w:r>
      <w:r>
        <w:rPr>
          <w:rFonts w:ascii="Times New Roman" w:cs="Times New Roman" w:eastAsia="Times New Roman" w:hAnsi="Times New Roman"/>
          <w:b/>
          <w:bCs/>
          <w:color w:val="000000"/>
          <w:sz w:val="24"/>
          <w:szCs w:val="24"/>
        </w:rPr>
        <w:t xml:space="preserve">0,625</w:t>
      </w:r>
      <w:r>
        <w:rPr>
          <w:rFonts w:ascii="Times New Roman" w:cs="Times New Roman" w:eastAsia="Times New Roman" w:hAnsi="Times New Roman"/>
          <w:color w:val="000000"/>
          <w:sz w:val="24"/>
          <w:szCs w:val="24"/>
        </w:rPr>
        <w:t xml:space="preserve">. LTC se correlaciona más con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y con </w:t>
      </w:r>
      <w:r>
        <w:rPr>
          <w:rFonts w:ascii="Times New Roman" w:cs="Times New Roman" w:eastAsia="Times New Roman" w:hAnsi="Times New Roman"/>
          <w:b/>
          <w:bCs/>
          <w:color w:val="000000"/>
          <w:sz w:val="24"/>
          <w:szCs w:val="24"/>
        </w:rPr>
        <w:t xml:space="preserve">BTC (0,715)</w:t>
      </w:r>
      <w:r>
        <w:rPr>
          <w:rFonts w:ascii="Times New Roman" w:cs="Times New Roman" w:eastAsia="Times New Roman" w:hAnsi="Times New Roman"/>
          <w:color w:val="000000"/>
          <w:sz w:val="24"/>
          <w:szCs w:val="24"/>
        </w:rPr>
        <w:t xml:space="preserve">, y menos con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M1 desarrolla en su sección la mecánica estadística de la correlación cruzada. Lo que sigue es la interpretación económica.</w:t>
      </w:r>
    </w:p>
    <w:p>
      <w:pPr>
        <w:spacing w:after="0" w:line="480" w:lineRule="auto"/>
        <w:ind w:firstLine="720"/>
      </w:pPr>
      <w:r>
        <w:rPr>
          <w:rFonts w:ascii="Times New Roman" w:cs="Times New Roman" w:eastAsia="Times New Roman" w:hAnsi="Times New Roman"/>
          <w:b/>
          <w:bCs/>
          <w:color w:val="000000"/>
          <w:sz w:val="24"/>
          <w:szCs w:val="24"/>
        </w:rPr>
        <w:t xml:space="preserve">Por qué ETH y BTC encabezan la lista.</w:t>
      </w:r>
      <w:r>
        <w:rPr>
          <w:rFonts w:ascii="Times New Roman" w:cs="Times New Roman" w:eastAsia="Times New Roman" w:hAnsi="Times New Roman"/>
          <w:color w:val="000000"/>
          <w:sz w:val="24"/>
          <w:szCs w:val="24"/>
        </w:rP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principal emisor de choques de retorno hacia el resto del mercado, de modo que un movimiento de BTC se propaga a LTC casi por definición. ETH aparece incluso ligeramente por encima porque comparte con LTC el estatus de activo de gran capitalización y alta liquidez, lo que lo convierte en destino habitual de los mismos flujos de entrada y salida del sector.</w:t>
      </w:r>
    </w:p>
    <w:p>
      <w:pPr>
        <w:spacing w:after="0" w:line="480" w:lineRule="auto"/>
        <w:ind w:firstLine="720"/>
      </w:pPr>
      <w:r>
        <w:rPr>
          <w:rFonts w:ascii="Times New Roman" w:cs="Times New Roman" w:eastAsia="Times New Roman" w:hAnsi="Times New Roman"/>
          <w:b/>
          <w:bCs/>
          <w:color w:val="000000"/>
          <w:sz w:val="24"/>
          <w:szCs w:val="24"/>
        </w:rPr>
        <w:t xml:space="preserve">Por qué SOL es la menos correlacionada.</w:t>
      </w:r>
      <w:r>
        <w:rPr>
          <w:rFonts w:ascii="Times New Roman" w:cs="Times New Roman" w:eastAsia="Times New Roman" w:hAnsi="Times New Roman"/>
          <w:color w:val="000000"/>
          <w:sz w:val="24"/>
          <w:szCs w:val="24"/>
        </w:rP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rFonts w:ascii="Times New Roman" w:cs="Times New Roman" w:eastAsia="Times New Roman" w:hAnsi="Times New Roman"/>
          <w:b/>
          <w:bCs/>
          <w:color w:val="000000"/>
          <w:sz w:val="24"/>
          <w:szCs w:val="24"/>
        </w:rPr>
        <w:t xml:space="preserve">menos redundante</w:t>
      </w:r>
      <w:r>
        <w:rPr>
          <w:rFonts w:ascii="Times New Roman" w:cs="Times New Roman" w:eastAsia="Times New Roman" w:hAnsi="Times New Roman"/>
          <w:color w:val="000000"/>
          <w:sz w:val="24"/>
          <w:szCs w:val="24"/>
        </w:rP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pPr>
        <w:spacing w:after="0" w:line="480" w:lineRule="auto"/>
        <w:ind w:firstLine="720"/>
      </w:pPr>
      <w:r>
        <w:rPr>
          <w:rFonts w:ascii="Times New Roman" w:cs="Times New Roman" w:eastAsia="Times New Roman" w:hAnsi="Times New Roman"/>
          <w:b/>
          <w:bCs/>
          <w:color w:val="000000"/>
          <w:sz w:val="24"/>
          <w:szCs w:val="24"/>
        </w:rPr>
        <w:t xml:space="preserve">Qué significa un mercado con correlaciones de 0,5 a 0,8.</w:t>
      </w:r>
      <w:r>
        <w:rPr>
          <w:rFonts w:ascii="Times New Roman" w:cs="Times New Roman" w:eastAsia="Times New Roman" w:hAnsi="Times New Roman"/>
          <w:color w:val="000000"/>
          <w:sz w:val="24"/>
          <w:szCs w:val="24"/>
        </w:rPr>
        <w:t xml:space="preserve"> Tres consecuencias: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La diversificación dentro del sector es limitada.</w:t>
      </w:r>
      <w:r>
        <w:rPr>
          <w:rFonts w:ascii="Times New Roman" w:cs="Times New Roman" w:eastAsia="Times New Roman" w:hAnsi="Times New Roman"/>
          <w:color w:val="000000"/>
          <w:sz w:val="24"/>
          <w:szCs w:val="24"/>
        </w:rP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rFonts w:ascii="Times New Roman" w:cs="Times New Roman" w:eastAsia="Times New Roman" w:hAnsi="Times New Roman"/>
          <w:b/>
          <w:bCs/>
          <w:color w:val="000000"/>
          <w:sz w:val="24"/>
          <w:szCs w:val="24"/>
        </w:rPr>
        <w:t xml:space="preserve">El contagio es rápido.</w:t>
      </w:r>
      <w:r>
        <w:rPr>
          <w:rFonts w:ascii="Times New Roman" w:cs="Times New Roman" w:eastAsia="Times New Roman" w:hAnsi="Times New Roman"/>
          <w:color w:val="000000"/>
          <w:sz w:val="24"/>
          <w:szCs w:val="24"/>
        </w:rPr>
        <w:t xml:space="preserve"> Con correlaciones de esa magnitud sobre retornos diarios, un choque en un activo se refleja en los demás dentro de la misma vela. 3. </w:t>
      </w:r>
      <w:r>
        <w:rPr>
          <w:rFonts w:ascii="Times New Roman" w:cs="Times New Roman" w:eastAsia="Times New Roman" w:hAnsi="Times New Roman"/>
          <w:b/>
          <w:bCs/>
          <w:color w:val="000000"/>
          <w:sz w:val="24"/>
          <w:szCs w:val="24"/>
        </w:rPr>
        <w:t xml:space="preserve">Hay información compartida, pero no toda la información lo es.</w:t>
      </w:r>
      <w:r>
        <w:rPr>
          <w:rFonts w:ascii="Times New Roman" w:cs="Times New Roman" w:eastAsia="Times New Roman" w:hAnsi="Times New Roman"/>
          <w:color w:val="000000"/>
          <w:sz w:val="24"/>
          <w:szCs w:val="24"/>
        </w:rP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pPr>
        <w:spacing w:after="0" w:line="480" w:lineRule="auto"/>
        <w:ind w:firstLine="720"/>
      </w:pPr>
      <w:r>
        <w:rPr>
          <w:rFonts w:ascii="Times New Roman" w:cs="Times New Roman" w:eastAsia="Times New Roman" w:hAnsi="Times New Roman"/>
          <w:b/>
          <w:bCs/>
          <w:color w:val="000000"/>
          <w:sz w:val="24"/>
          <w:szCs w:val="24"/>
        </w:rPr>
        <w:t xml:space="preserve">Una advertencia metodológica que conviene declarar nosotros.</w:t>
      </w:r>
      <w:r>
        <w:rPr>
          <w:rFonts w:ascii="Times New Roman" w:cs="Times New Roman" w:eastAsia="Times New Roman" w:hAnsi="Times New Roman"/>
          <w:color w:val="000000"/>
          <w:sz w:val="24"/>
          <w:szCs w:val="24"/>
        </w:rPr>
        <w:t xml:space="preserve"> Sobre precios en </w:t>
      </w:r>
      <w:r>
        <w:rPr>
          <w:rFonts w:ascii="Times New Roman" w:cs="Times New Roman" w:eastAsia="Times New Roman" w:hAnsi="Times New Roman"/>
          <w:b/>
          <w:bCs/>
          <w:color w:val="000000"/>
          <w:sz w:val="24"/>
          <w:szCs w:val="24"/>
        </w:rPr>
        <w:t xml:space="preserve">nivel</w:t>
      </w:r>
      <w:r>
        <w:rPr>
          <w:rFonts w:ascii="Times New Roman" w:cs="Times New Roman" w:eastAsia="Times New Roman" w:hAnsi="Times New Roman"/>
          <w:color w:val="000000"/>
          <w:sz w:val="24"/>
          <w:szCs w:val="24"/>
        </w:rPr>
        <w:t xml:space="preserve"> el rango de correlaciones se dispara a </w:t>
      </w:r>
      <w:r>
        <w:rPr>
          <w:rFonts w:ascii="Times New Roman" w:cs="Times New Roman" w:eastAsia="Times New Roman" w:hAnsi="Times New Roman"/>
          <w:b/>
          <w:bCs/>
          <w:color w:val="000000"/>
          <w:sz w:val="24"/>
          <w:szCs w:val="24"/>
        </w:rPr>
        <w:t xml:space="preserve">0,126 – 0,888</w:t>
      </w:r>
      <w:r>
        <w:rPr>
          <w:rFonts w:ascii="Times New Roman" w:cs="Times New Roman" w:eastAsia="Times New Roman" w:hAnsi="Times New Roman"/>
          <w:color w:val="000000"/>
          <w:sz w:val="24"/>
          <w:szCs w:val="24"/>
        </w:rPr>
        <w:t xml:space="preserve"> y el orden económico se desmorona: la pareja LTC–BTC, que sobre retornos es la segunda más fuerte (0,715), cae a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en nivel, mientras que LTC–ADA sube de 0,641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pPr>
        <w:spacing w:after="0" w:line="480" w:lineRule="auto"/>
        <w:ind w:firstLine="720"/>
      </w:pPr>
      <w:r>
        <w:rPr>
          <w:rFonts w:ascii="Times New Roman" w:cs="Times New Roman" w:eastAsia="Times New Roman" w:hAnsi="Times New Roman"/>
          <w:b/>
          <w:bCs/>
          <w:color w:val="000000"/>
          <w:sz w:val="24"/>
          <w:szCs w:val="24"/>
        </w:rPr>
        <w:t xml:space="preserve">Control sobre serie construida.</w:t>
      </w:r>
      <w:r>
        <w:rPr>
          <w:rFonts w:ascii="Times New Roman" w:cs="Times New Roman" w:eastAsia="Times New Roman" w:hAnsi="Times New Roman"/>
          <w:color w:val="000000"/>
          <w:sz w:val="24"/>
          <w:szCs w:val="24"/>
        </w:rPr>
        <w:t xml:space="preserve"> Sobre paneles sintéticos generados con correlación objetivo conocida, la medición recupera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cuando pedimos correlación baja y </w:t>
      </w:r>
      <w:r>
        <w:rPr>
          <w:rFonts w:ascii="Times New Roman" w:cs="Times New Roman" w:eastAsia="Times New Roman" w:hAnsi="Times New Roman"/>
          <w:b/>
          <w:bCs/>
          <w:color w:val="000000"/>
          <w:sz w:val="24"/>
          <w:szCs w:val="24"/>
        </w:rPr>
        <w:t xml:space="preserve">0,903</w:t>
      </w:r>
      <w:r>
        <w:rPr>
          <w:rFonts w:ascii="Times New Roman" w:cs="Times New Roman" w:eastAsia="Times New Roman" w:hAnsi="Times New Roman"/>
          <w:color w:val="000000"/>
          <w:sz w:val="24"/>
          <w:szCs w:val="24"/>
        </w:rPr>
        <w:t xml:space="preserve"> cuando pedimos correlación alta. Esto verifica que el procedimiento de medición hace lo que decimos que hace, antes de aplicarlo a datos donde nadie conoce la respuesta.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Definición de punto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Serie construida por nosotros mediante </w:t>
      </w:r>
      <w:r>
        <w:rPr>
          <w:rFonts w:ascii="Courier New" w:cs="Courier New" w:eastAsia="Courier New" w:hAnsi="Courier New"/>
          <w:i/>
          <w:iCs/>
          <w:color w:val="000000"/>
          <w:sz w:val="22"/>
          <w:szCs w:val="22"/>
        </w:rPr>
        <w:t xml:space="preserve">serie_zigzag()</w:t>
      </w:r>
      <w:r>
        <w:rPr>
          <w:rFonts w:ascii="Times New Roman" w:cs="Times New Roman" w:eastAsia="Times New Roman" w:hAnsi="Times New Roman"/>
          <w:i/>
          <w:iCs/>
          <w:color w:val="000000"/>
          <w:sz w:val="24"/>
          <w:szCs w:val="24"/>
        </w:rPr>
        <w:t xml:space="preserve">. Los giros marcados son exactamente los vértices que colocamos al generarla; </w:t>
      </w:r>
      <w:r>
        <w:rPr>
          <w:rFonts w:ascii="Times New Roman" w:cs="Times New Roman" w:eastAsia="Times New Roman" w:hAnsi="Times New Roman"/>
          <w:b/>
          <w:bCs/>
          <w:i/>
          <w:iCs/>
          <w:color w:val="000000"/>
          <w:sz w:val="24"/>
          <w:szCs w:val="24"/>
        </w:rPr>
        <w:t xml:space="preserve">no son datos de mercado</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color w:val="000000"/>
          <w:sz w:val="24"/>
          <w:szCs w:val="24"/>
        </w:rPr>
        <w:t xml:space="preserve">Intuitivamente, un máximo es el punto donde el precio deja de subir y empieza a bajar. El problema es que un precio sube y baja continuamente, a todas las escalas, de modo que la intuición no basta para construir una etiqueta.</w:t>
      </w:r>
    </w:p>
    <w:p>
      <w:pPr>
        <w:spacing w:after="0" w:line="480" w:lineRule="auto"/>
        <w:ind w:firstLine="720"/>
      </w:pPr>
      <w:r>
        <w:rPr>
          <w:rFonts w:ascii="Times New Roman" w:cs="Times New Roman" w:eastAsia="Times New Roman" w:hAnsi="Times New Roman"/>
          <w:b/>
          <w:bCs/>
          <w:color w:val="000000"/>
          <w:sz w:val="24"/>
          <w:szCs w:val="24"/>
        </w:rPr>
        <w:t xml:space="preserve">Un máximo no existe en términos absolutos: existe respecto de una ventana.</w:t>
      </w:r>
      <w:r>
        <w:rPr>
          <w:rFonts w:ascii="Times New Roman" w:cs="Times New Roman" w:eastAsia="Times New Roman" w:hAnsi="Times New Roman"/>
          <w:color w:val="000000"/>
          <w:sz w:val="24"/>
          <w:szCs w:val="24"/>
        </w:rPr>
        <w:t xml:space="preserve"> Considérese la siguiente serie, inventada para ilustrar el punto y sin ninguna relación con datos reales:</w:t>
      </w:r>
    </w:p>
    <w:p>
      <w:pPr>
        <w:spacing w:after="0" w:line="480" w:lineRule="auto"/>
        <w:ind w:firstLine="720"/>
      </w:pPr>
      <w:r>
        <w:rPr>
          <w:rFonts w:ascii="Times New Roman" w:cs="Times New Roman" w:eastAsia="Times New Roman" w:hAnsi="Times New Roman"/>
          <w:color w:val="000000"/>
          <w:sz w:val="24"/>
          <w:szCs w:val="24"/>
        </w:rPr>
        <w:t xml:space="preserve">Mirando un día a cada lado, el día 3 es un máximo: 105 supera a 102 y a 103. Mirando cinco días a cada lado deja de serlo, porque dentro de esa vecindad está el día 6 con 110. El día 3 no cambió; cambió la lupa. </w:t>
      </w:r>
      <w:r>
        <w:rPr>
          <w:rFonts w:ascii="Times New Roman" w:cs="Times New Roman" w:eastAsia="Times New Roman" w:hAnsi="Times New Roman"/>
          <w:b/>
          <w:bCs/>
          <w:color w:val="000000"/>
          <w:sz w:val="24"/>
          <w:szCs w:val="24"/>
        </w:rPr>
        <w:t xml:space="preserve">Las dos lecturas son correctas</w:t>
      </w:r>
      <w:r>
        <w:rPr>
          <w:rFonts w:ascii="Times New Roman" w:cs="Times New Roman" w:eastAsia="Times New Roman" w:hAnsi="Times New Roman"/>
          <w:color w:val="000000"/>
          <w:sz w:val="24"/>
          <w:szCs w:val="24"/>
        </w:rPr>
        <w:t xml:space="preserve">: el día 3 es un giro local pequeño y no es un giro estructural.</w:t>
      </w:r>
    </w:p>
    <w:p>
      <w:pPr>
        <w:spacing w:after="0" w:line="480" w:lineRule="auto"/>
        <w:ind w:firstLine="720"/>
      </w:pPr>
      <w:r>
        <w:rPr>
          <w:rFonts w:ascii="Times New Roman" w:cs="Times New Roman" w:eastAsia="Times New Roman" w:hAnsi="Times New Roman"/>
          <w:color w:val="000000"/>
          <w:sz w:val="24"/>
          <w:szCs w:val="24"/>
        </w:rPr>
        <w:t xml:space="preserve">De aquí se sigue lo esencial de esta sección: no estamos buscando la definición verdadera de máximo, porque no existe. Estamos </w:t>
      </w:r>
      <w:r>
        <w:rPr>
          <w:rFonts w:ascii="Times New Roman" w:cs="Times New Roman" w:eastAsia="Times New Roman" w:hAnsi="Times New Roman"/>
          <w:b/>
          <w:bCs/>
          <w:color w:val="000000"/>
          <w:sz w:val="24"/>
          <w:szCs w:val="24"/>
        </w:rPr>
        <w:t xml:space="preserve">eligiendo a qué escala trabaja el modelo</w:t>
      </w:r>
      <w:r>
        <w:rPr>
          <w:rFonts w:ascii="Times New Roman" w:cs="Times New Roman" w:eastAsia="Times New Roman" w:hAnsi="Times New Roman"/>
          <w:color w:val="000000"/>
          <w:sz w:val="24"/>
          <w:szCs w:val="24"/>
        </w:rPr>
        <w:t xml:space="preserve">, y esa elección hay que justificarla con datos en lugar de adoptarla por convención.</w:t>
      </w:r>
    </w:p>
    <w:p>
      <w:pPr>
        <w:spacing w:after="0" w:line="480" w:lineRule="auto"/>
        <w:ind w:firstLine="720"/>
      </w:pPr>
      <w:r>
        <w:rPr>
          <w:rFonts w:ascii="Times New Roman" w:cs="Times New Roman" w:eastAsia="Times New Roman" w:hAnsi="Times New Roman"/>
          <w:b/>
          <w:bCs/>
          <w:color w:val="000000"/>
          <w:sz w:val="24"/>
          <w:szCs w:val="24"/>
        </w:rPr>
        <w:t xml:space="preserve">Definición operativa adoptada.</w:t>
      </w:r>
      <w:r>
        <w:rPr>
          <w:rFonts w:ascii="Times New Roman" w:cs="Times New Roman" w:eastAsia="Times New Roman" w:hAnsi="Times New Roman"/>
          <w:color w:val="000000"/>
          <w:sz w:val="24"/>
          <w:szCs w:val="24"/>
        </w:rPr>
        <w:t xml:space="preserve"> El proyecto fija la etiqueta en un único lugar (</w:t>
      </w:r>
      <w:r>
        <w:rPr>
          <w:rFonts w:ascii="Courier New" w:cs="Courier New" w:eastAsia="Courier New" w:hAnsi="Courier New"/>
          <w:color w:val="000000"/>
          <w:sz w:val="22"/>
          <w:szCs w:val="22"/>
        </w:rPr>
        <w:t xml:space="preserve">contracts/labeling.py</w:t>
      </w:r>
      <w:r>
        <w:rPr>
          <w:rFonts w:ascii="Times New Roman" w:cs="Times New Roman" w:eastAsia="Times New Roman" w:hAnsi="Times New Roman"/>
          <w:color w:val="000000"/>
          <w:sz w:val="24"/>
          <w:szCs w:val="24"/>
        </w:rPr>
        <w:t xml:space="preserve">) y los cuatro módulos la consumen:</w:t>
      </w:r>
    </w:p>
    <w:p>
      <w:pPr>
        <w:spacing w:after="0" w:line="480" w:lineRule="auto"/>
        <w:ind w:left="720"/>
      </w:pPr>
      <w:r>
        <w:rPr>
          <w:rFonts w:ascii="Times New Roman" w:cs="Times New Roman" w:eastAsia="Times New Roman" w:hAnsi="Times New Roman"/>
          <w:color w:val="000000"/>
          <w:sz w:val="24"/>
          <w:szCs w:val="24"/>
        </w:rPr>
        <w:t xml:space="preserve">Una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si su precio de cierre es estrictamente mayor que el de todas las velas entre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si es estrictamente menor que todas ellas. En cualquier otro caso es </w:t>
      </w:r>
      <w:r>
        <w:rPr>
          <w:rFonts w:ascii="Times New Roman" w:cs="Times New Roman" w:eastAsia="Times New Roman" w:hAnsi="Times New Roman"/>
          <w:b/>
          <w:bCs/>
          <w:color w:val="000000"/>
          <w:sz w:val="24"/>
          <w:szCs w:val="24"/>
        </w:rPr>
        <w:t xml:space="preserve">Zona de 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Dos precisiones que no son cosméticas. Primera: la exigencia de desigualdad </w:t>
      </w:r>
      <w:r>
        <w:rPr>
          <w:rFonts w:ascii="Times New Roman" w:cs="Times New Roman" w:eastAsia="Times New Roman" w:hAnsi="Times New Roman"/>
          <w:b/>
          <w:bCs/>
          <w:color w:val="000000"/>
          <w:sz w:val="24"/>
          <w:szCs w:val="24"/>
        </w:rPr>
        <w:t xml:space="preserve">estricta</w:t>
      </w:r>
      <w:r>
        <w:rPr>
          <w:rFonts w:ascii="Times New Roman" w:cs="Times New Roman" w:eastAsia="Times New Roman" w:hAnsi="Times New Roman"/>
          <w:color w:val="000000"/>
          <w:sz w:val="24"/>
          <w:szCs w:val="24"/>
        </w:rPr>
        <w:t xml:space="preserve"> contra las 2w vecinas —y no simplemente ser igual al máximo de la ventana— es lo que garantiza la propiedad aritmética del párrafo siguiente; admitiendo empates, la propiedad se pierde. Segunda: las primeras y últimas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de la serie quedan </w:t>
      </w:r>
      <w:r>
        <w:rPr>
          <w:rFonts w:ascii="Times New Roman" w:cs="Times New Roman" w:eastAsia="Times New Roman" w:hAnsi="Times New Roman"/>
          <w:b/>
          <w:bCs/>
          <w:color w:val="000000"/>
          <w:sz w:val="24"/>
          <w:szCs w:val="24"/>
        </w:rPr>
        <w:t xml:space="preserve">sin etiqueta</w:t>
      </w:r>
      <w:r>
        <w:rPr>
          <w:rFonts w:ascii="Times New Roman" w:cs="Times New Roman" w:eastAsia="Times New Roman" w:hAnsi="Times New Roman"/>
          <w:color w:val="000000"/>
          <w:sz w:val="24"/>
          <w:szCs w:val="24"/>
        </w:rPr>
        <w:t xml:space="preserve">, no etiquetadas como Continuidad. No tienen ventana completa, así que su clase es desconocida, y desconocida no es lo mismo que neutra: contarlas como Continuidad inflaría artificialmente la clase mayoritaria.</w:t>
      </w:r>
    </w:p>
    <w:p>
      <w:pPr>
        <w:spacing w:after="0" w:line="480" w:lineRule="auto"/>
        <w:ind w:firstLine="720"/>
      </w:pPr>
      <w:r>
        <w:rPr>
          <w:rFonts w:ascii="Times New Roman" w:cs="Times New Roman" w:eastAsia="Times New Roman" w:hAnsi="Times New Roman"/>
          <w:b/>
          <w:bCs/>
          <w:color w:val="000000"/>
          <w:sz w:val="24"/>
          <w:szCs w:val="24"/>
        </w:rPr>
        <w:t xml:space="preserve">Propiedad aritmética: la cota superior del desbalance.</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La demostración es inmediata: si lo estuvieran, cada uno caería dentro de la ventana del otro y, por definición, cada uno tendría que ser estrictamente mayor que el otro, lo cual es imposible. Por lo tanto,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y lo mismo vale para Mínimo.</w:t>
      </w:r>
    </w:p>
    <w:p>
      <w:pPr>
        <w:spacing w:after="0" w:line="480" w:lineRule="auto"/>
        <w:ind w:firstLine="720"/>
      </w:pPr>
      <w:r>
        <w:rPr>
          <w:rFonts w:ascii="Times New Roman" w:cs="Times New Roman" w:eastAsia="Times New Roman" w:hAnsi="Times New Roman"/>
          <w:color w:val="000000"/>
          <w:sz w:val="24"/>
          <w:szCs w:val="24"/>
        </w:rPr>
        <w:t xml:space="preserve">Esto es aritmética, no una medición, y tiene una consecuencia que condiciona todo el proyecto: el desbalance de clases </w:t>
      </w:r>
      <w:r>
        <w:rPr>
          <w:rFonts w:ascii="Times New Roman" w:cs="Times New Roman" w:eastAsia="Times New Roman" w:hAnsi="Times New Roman"/>
          <w:b/>
          <w:bCs/>
          <w:color w:val="000000"/>
          <w:sz w:val="24"/>
          <w:szCs w:val="24"/>
        </w:rPr>
        <w:t xml:space="preserve">está garantizado por la definición de la etiqueta</w:t>
      </w:r>
      <w:r>
        <w:rPr>
          <w:rFonts w:ascii="Times New Roman" w:cs="Times New Roman" w:eastAsia="Times New Roman" w:hAnsi="Times New Roman"/>
          <w:color w:val="000000"/>
          <w:sz w:val="24"/>
          <w:szCs w:val="24"/>
        </w:rPr>
        <w:t xml:space="preserve">, no es un accidente de los datos.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los máximos no pueden superar el 16,7 % de las observaciones;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el 12,5 %. Nuestra medición sobre LTC queda muy por debajo de la cota, como corresponde a un límite superior:</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Balance de clases por combinación de granularidad y ventana, con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Medido con </w:t>
      </w:r>
      <w:r>
        <w:rPr>
          <w:rFonts w:ascii="Courier New" w:cs="Courier New" w:eastAsia="Courier New" w:hAnsi="Courier New"/>
          <w:i/>
          <w:iCs/>
          <w:color w:val="000000"/>
          <w:sz w:val="22"/>
          <w:szCs w:val="22"/>
        </w:rPr>
        <w:t xml:space="preserve">scripts/spike_datos.py</w:t>
      </w:r>
      <w:r>
        <w:rPr>
          <w:rFonts w:ascii="Times New Roman" w:cs="Times New Roman" w:eastAsia="Times New Roman" w:hAnsi="Times New Roman"/>
          <w:i/>
          <w:iCs/>
          <w:color w:val="000000"/>
          <w:sz w:val="24"/>
          <w:szCs w:val="24"/>
        </w:rPr>
        <w:t xml:space="preserve"> el 5 de agosto de 2026 sobre el panel 11/08/2020 – 05/08/2026</w:t>
      </w:r>
    </w:p>
    <w:tbl>
      <w:tblPr>
        <w:tblW w:type="dxa" w:w="9360"/>
        <w:tblBorders>
          <w:top w:val="none"/>
          <w:left w:val="none"/>
          <w:bottom w:val="none"/>
          <w:right w:val="none"/>
          <w:insideH w:val="none"/>
          <w:insideV w:val="none"/>
        </w:tblBorders>
      </w:tblPr>
      <w:tblGrid>
        <w:gridCol w:w="1337"/>
        <w:gridCol w:w="1337"/>
        <w:gridCol w:w="1337"/>
        <w:gridCol w:w="1337"/>
        <w:gridCol w:w="1337"/>
        <w:gridCol w:w="1337"/>
        <w:gridCol w:w="1338"/>
      </w:tblGrid>
      <w:tr>
        <w:trPr>
          <w:tblHeader/>
        </w:trPr>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Courier New" w:cs="Courier New" w:eastAsia="Courier New" w:hAnsi="Courier New"/>
                <w:color w:val="000000"/>
                <w:sz w:val="20"/>
                <w:szCs w:val="20"/>
              </w:rPr>
              <w:t xml:space="preserve">w</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Cota teórica por clase extrema</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Mínimo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Continuidad</w:t>
            </w:r>
          </w:p>
        </w:tc>
        <w:tc>
          <w:tcPr>
            <w:tcW w:type="dxa" w:w="133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Clase minoritaria en entrenamiento</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10,46 %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79,17 %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149</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4,47 %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90,93 %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3,51 %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93,12 %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53</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80,19 %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884</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6,15 %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87,45 %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557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4,63 %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420</w:t>
            </w:r>
          </w:p>
        </w:tc>
      </w:tr>
      <w:tr>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93,38 %</w:t>
            </w:r>
          </w:p>
        </w:tc>
        <w:tc>
          <w:tcPr>
            <w:tcW w:type="dxa" w:w="1338"/>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299</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spike-datos-1d.json</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spike-datos-4h.json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lectura de la tabla explica una decisión de diseño del proyecto. El criterio se fijó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medir: elegir el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más grande que deje al menos 300 ejemplos de la clase minoritaria en el conjunto de entrenamiento —un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grande detecta giros más significativos, y el piso de 300 garantiza que el modelo tenga de dónde aprender—. Con velas diarias </w:t>
      </w:r>
      <w:r>
        <w:rPr>
          <w:rFonts w:ascii="Times New Roman" w:cs="Times New Roman" w:eastAsia="Times New Roman" w:hAnsi="Times New Roman"/>
          <w:b/>
          <w:bCs/>
          <w:color w:val="000000"/>
          <w:sz w:val="24"/>
          <w:szCs w:val="24"/>
        </w:rPr>
        <w:t xml:space="preserve">ninguna combinación cumple el criterio</w:t>
      </w:r>
      <w:r>
        <w:rPr>
          <w:rFonts w:ascii="Times New Roman" w:cs="Times New Roman" w:eastAsia="Times New Roman" w:hAnsi="Times New Roman"/>
          <w:color w:val="000000"/>
          <w:sz w:val="24"/>
          <w:szCs w:val="24"/>
        </w:rPr>
        <w:t xml:space="preserve">: la mejor deja 149 ejemplos, la mitad del piso. Con velas de 4 horas,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es el mayor que lo cumple, con 420. Esa es la razón por la que el panel de trabajo es el de 4 horas, y es una razón medida, no una preferencia.</w:t>
      </w:r>
    </w:p>
    <w:p>
      <w:pPr>
        <w:spacing w:after="0" w:line="480" w:lineRule="auto"/>
        <w:ind w:firstLine="720"/>
      </w:pPr>
      <w:r>
        <w:rPr>
          <w:rFonts w:ascii="Times New Roman" w:cs="Times New Roman" w:eastAsia="Times New Roman" w:hAnsi="Times New Roman"/>
          <w:b/>
          <w:bCs/>
          <w:color w:val="000000"/>
          <w:sz w:val="24"/>
          <w:szCs w:val="24"/>
        </w:rPr>
        <w:t xml:space="preserve">El horizonte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 independiente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mientras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 un giro,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con cuánta anticipación</w:t>
      </w:r>
      <w:r>
        <w:rPr>
          <w:rFonts w:ascii="Times New Roman" w:cs="Times New Roman" w:eastAsia="Times New Roman" w:hAnsi="Times New Roman"/>
          <w:color w:val="000000"/>
          <w:sz w:val="24"/>
          <w:szCs w:val="24"/>
        </w:rPr>
        <w:t xml:space="preserve"> se anuncia. El modelo observa la información disponible hasta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responde qué etiqueta corresponderá a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latencia real del sistema.</w:t>
      </w:r>
      <w:r>
        <w:rPr>
          <w:rFonts w:ascii="Times New Roman" w:cs="Times New Roman" w:eastAsia="Times New Roman" w:hAnsi="Times New Roman"/>
          <w:color w:val="000000"/>
          <w:sz w:val="24"/>
          <w:szCs w:val="24"/>
        </w:rPr>
        <w:t xml:space="preserve"> Aquí hay un punto que conviene declarar antes de que lo pregunten. Para saber si la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de modo que su etiqueta </w:t>
      </w:r>
      <w:r>
        <w:rPr>
          <w:rFonts w:ascii="Times New Roman" w:cs="Times New Roman" w:eastAsia="Times New Roman" w:hAnsi="Times New Roman"/>
          <w:b/>
          <w:bCs/>
          <w:color w:val="000000"/>
          <w:sz w:val="24"/>
          <w:szCs w:val="24"/>
        </w:rPr>
        <w:t xml:space="preserve">no se conoce hasta </w:t>
      </w:r>
      <w:r>
        <w:rPr>
          <w:rFonts w:ascii="Courier New" w:cs="Courier New" w:eastAsia="Courier New" w:hAnsi="Courier New"/>
          <w:b/>
          <w:bCs/>
          <w:color w:val="000000"/>
          <w:sz w:val="22"/>
          <w:szCs w:val="22"/>
        </w:rPr>
        <w:t xml:space="preserve">t+w</w:t>
      </w:r>
      <w:r>
        <w:rPr>
          <w:rFonts w:ascii="Times New Roman" w:cs="Times New Roman" w:eastAsia="Times New Roman" w:hAnsi="Times New Roman"/>
          <w:color w:val="000000"/>
          <w:sz w:val="24"/>
          <w:szCs w:val="24"/>
        </w:rPr>
        <w:t xml:space="preserve">. Si estamos parados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predecimos la etiqueta de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esa etiqueta no existirá hasta </w:t>
      </w:r>
      <w:r>
        <w:rPr>
          <w:rFonts w:ascii="Courier New" w:cs="Courier New" w:eastAsia="Courier New" w:hAnsi="Courier New"/>
          <w:color w:val="000000"/>
          <w:sz w:val="22"/>
          <w:szCs w:val="22"/>
        </w:rPr>
        <w:t xml:space="preserve">t+h+w</w:t>
      </w:r>
      <w:r>
        <w:rPr>
          <w:rFonts w:ascii="Times New Roman" w:cs="Times New Roman" w:eastAsia="Times New Roman" w:hAnsi="Times New Roman"/>
          <w:color w:val="000000"/>
          <w:sz w:val="24"/>
          <w:szCs w:val="24"/>
        </w:rPr>
        <w:t xml:space="preserve">. La anticipación efectiva del sistema es por lo tanto de </w:t>
      </w:r>
      <w:r>
        <w:rPr>
          <w:rFonts w:ascii="Courier New" w:cs="Courier New" w:eastAsia="Courier New" w:hAnsi="Courier New"/>
          <w:b/>
          <w:bCs/>
          <w:color w:val="000000"/>
          <w:sz w:val="22"/>
          <w:szCs w:val="22"/>
        </w:rPr>
        <w:t xml:space="preserve">h+w</w:t>
      </w:r>
      <w:r>
        <w:rPr>
          <w:rFonts w:ascii="Times New Roman" w:cs="Times New Roman" w:eastAsia="Times New Roman" w:hAnsi="Times New Roman"/>
          <w:b/>
          <w:bCs/>
          <w:color w:val="000000"/>
          <w:sz w:val="24"/>
          <w:szCs w:val="24"/>
        </w:rPr>
        <w:t xml:space="preserve"> velas, no de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color w:val="000000"/>
          <w:sz w:val="24"/>
          <w:szCs w:val="24"/>
        </w:rPr>
        <w:t xml:space="preserve">, y reportar solo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sería engañoso. El proyecto expone esta cantidad como una función explícita (</w:t>
      </w:r>
      <w:r>
        <w:rPr>
          <w:rFonts w:ascii="Courier New" w:cs="Courier New" w:eastAsia="Courier New" w:hAnsi="Courier New"/>
          <w:color w:val="000000"/>
          <w:sz w:val="22"/>
          <w:szCs w:val="22"/>
        </w:rPr>
        <w:t xml:space="preserve">latencia_real(w, h)</w:t>
      </w:r>
      <w:r>
        <w:rPr>
          <w:rFonts w:ascii="Times New Roman" w:cs="Times New Roman" w:eastAsia="Times New Roman" w:hAnsi="Times New Roman"/>
          <w:color w:val="000000"/>
          <w:sz w:val="24"/>
          <w:szCs w:val="24"/>
        </w:rPr>
        <w:t xml:space="preserve">) para que el número entre al informe calculado y no estimado.</w:t>
      </w:r>
    </w:p>
    <w:p>
      <w:pPr>
        <w:spacing w:after="0" w:line="480" w:lineRule="auto"/>
        <w:ind w:firstLine="720"/>
      </w:pPr>
      <w:r>
        <w:rPr>
          <w:rFonts w:ascii="Times New Roman" w:cs="Times New Roman" w:eastAsia="Times New Roman" w:hAnsi="Times New Roman"/>
          <w:color w:val="000000"/>
          <w:sz w:val="24"/>
          <w:szCs w:val="24"/>
        </w:rP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rFonts w:ascii="Times New Roman" w:cs="Times New Roman" w:eastAsia="Times New Roman" w:hAnsi="Times New Roman"/>
          <w:b/>
          <w:bCs/>
          <w:color w:val="000000"/>
          <w:sz w:val="24"/>
          <w:szCs w:val="24"/>
        </w:rPr>
        <w:t xml:space="preserve">no se manifiesta como un error</w:t>
      </w:r>
      <w:r>
        <w:rPr>
          <w:rFonts w:ascii="Times New Roman" w:cs="Times New Roman" w:eastAsia="Times New Roman" w:hAnsi="Times New Roman"/>
          <w:color w:val="000000"/>
          <w:sz w:val="24"/>
          <w:szCs w:val="24"/>
        </w:rP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cada frontera de la partición temporal (Bergmeir &amp; Benítez, 2012).</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encontrar puntos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Últimas 250 velas diarias de LTC con los giros detectados por el criterio de ventana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color w:val="000000"/>
          <w:sz w:val="24"/>
          <w:szCs w:val="24"/>
        </w:rPr>
        <w:t xml:space="preserve">Existen dos enfoques, y contrastarlos aclara qué estamos haciendo y qué estamos dejando fuera.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8.1 Estructura de mercado (HH, HL, LH, LL)</w:t>
      </w:r>
    </w:p>
    <w:p>
      <w:pPr>
        <w:spacing w:after="0" w:line="480" w:lineRule="auto"/>
        <w:ind w:firstLine="720"/>
      </w:pPr>
      <w:r>
        <w:rPr>
          <w:rFonts w:ascii="Times New Roman" w:cs="Times New Roman" w:eastAsia="Times New Roman" w:hAnsi="Times New Roman"/>
          <w:color w:val="000000"/>
          <w:sz w:val="24"/>
          <w:szCs w:val="24"/>
        </w:rPr>
        <w:t xml:space="preserve">Es el enfoque clásico del análisis técnico y el que muestra la figura del enunciado. Se identifican máximos y mínimos sucesivos y se clasifican como </w:t>
      </w:r>
      <w:r>
        <w:rPr>
          <w:rFonts w:ascii="Times New Roman" w:cs="Times New Roman" w:eastAsia="Times New Roman" w:hAnsi="Times New Roman"/>
          <w:i/>
          <w:iCs/>
          <w:color w:val="000000"/>
          <w:sz w:val="24"/>
          <w:szCs w:val="24"/>
        </w:rPr>
        <w:t xml:space="preserve">higher high</w:t>
      </w:r>
      <w:r>
        <w:rPr>
          <w:rFonts w:ascii="Times New Roman" w:cs="Times New Roman" w:eastAsia="Times New Roman" w:hAnsi="Times New Roman"/>
          <w:color w:val="000000"/>
          <w:sz w:val="24"/>
          <w:szCs w:val="24"/>
        </w:rPr>
        <w:t xml:space="preserve"> (HH), </w:t>
      </w:r>
      <w:r>
        <w:rPr>
          <w:rFonts w:ascii="Times New Roman" w:cs="Times New Roman" w:eastAsia="Times New Roman" w:hAnsi="Times New Roman"/>
          <w:i/>
          <w:iCs/>
          <w:color w:val="000000"/>
          <w:sz w:val="24"/>
          <w:szCs w:val="24"/>
        </w:rPr>
        <w:t xml:space="preserve">higher low</w:t>
      </w:r>
      <w:r>
        <w:rPr>
          <w:rFonts w:ascii="Times New Roman" w:cs="Times New Roman" w:eastAsia="Times New Roman" w:hAnsi="Times New Roman"/>
          <w:color w:val="000000"/>
          <w:sz w:val="24"/>
          <w:szCs w:val="24"/>
        </w:rPr>
        <w:t xml:space="preserve"> (HL), </w:t>
      </w:r>
      <w:r>
        <w:rPr>
          <w:rFonts w:ascii="Times New Roman" w:cs="Times New Roman" w:eastAsia="Times New Roman" w:hAnsi="Times New Roman"/>
          <w:i/>
          <w:iCs/>
          <w:color w:val="000000"/>
          <w:sz w:val="24"/>
          <w:szCs w:val="24"/>
        </w:rPr>
        <w:t xml:space="preserve">lower high</w:t>
      </w:r>
      <w:r>
        <w:rPr>
          <w:rFonts w:ascii="Times New Roman" w:cs="Times New Roman" w:eastAsia="Times New Roman" w:hAnsi="Times New Roman"/>
          <w:color w:val="000000"/>
          <w:sz w:val="24"/>
          <w:szCs w:val="24"/>
        </w:rPr>
        <w:t xml:space="preserve"> (LH) y </w:t>
      </w:r>
      <w:r>
        <w:rPr>
          <w:rFonts w:ascii="Times New Roman" w:cs="Times New Roman" w:eastAsia="Times New Roman" w:hAnsi="Times New Roman"/>
          <w:i/>
          <w:iCs/>
          <w:color w:val="000000"/>
          <w:sz w:val="24"/>
          <w:szCs w:val="24"/>
        </w:rPr>
        <w:t xml:space="preserve">lower low</w:t>
      </w:r>
      <w:r>
        <w:rPr>
          <w:rFonts w:ascii="Times New Roman" w:cs="Times New Roman" w:eastAsia="Times New Roman" w:hAnsi="Times New Roman"/>
          <w:color w:val="000000"/>
          <w:sz w:val="24"/>
          <w:szCs w:val="24"/>
        </w:rP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pPr>
        <w:spacing w:after="0" w:line="480" w:lineRule="auto"/>
        <w:ind w:firstLine="720"/>
      </w:pPr>
      <w:r>
        <w:rPr>
          <w:rFonts w:ascii="Times New Roman" w:cs="Times New Roman" w:eastAsia="Times New Roman" w:hAnsi="Times New Roman"/>
          <w:color w:val="000000"/>
          <w:sz w:val="24"/>
          <w:szCs w:val="24"/>
        </w:rPr>
        <w:t xml:space="preserve">Su virtud es que incorpora el contexto de la tendencia: no pregunta solo si un punto es un extremo local, sino si ese extremo rompe una estructura. Su limitación es decisiva para un trabajo cuantitativo: </w:t>
      </w:r>
      <w:r>
        <w:rPr>
          <w:rFonts w:ascii="Times New Roman" w:cs="Times New Roman" w:eastAsia="Times New Roman" w:hAnsi="Times New Roman"/>
          <w:b/>
          <w:bCs/>
          <w:color w:val="000000"/>
          <w:sz w:val="24"/>
          <w:szCs w:val="24"/>
        </w:rPr>
        <w:t xml:space="preserve">depende del criterio del observador</w:t>
      </w:r>
      <w:r>
        <w:rPr>
          <w:rFonts w:ascii="Times New Roman" w:cs="Times New Roman" w:eastAsia="Times New Roman" w:hAnsi="Times New Roman"/>
          <w:color w:val="000000"/>
          <w:sz w:val="24"/>
          <w:szCs w:val="24"/>
        </w:rPr>
        <w:t xml:space="preserve">.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8.2 Criterio automático de ventana</w:t>
      </w:r>
    </w:p>
    <w:p>
      <w:pPr>
        <w:spacing w:after="0" w:line="480" w:lineRule="auto"/>
        <w:ind w:firstLine="720"/>
      </w:pPr>
      <w:r>
        <w:rPr>
          <w:rFonts w:ascii="Times New Roman" w:cs="Times New Roman" w:eastAsia="Times New Roman" w:hAnsi="Times New Roman"/>
          <w:color w:val="000000"/>
          <w:sz w:val="24"/>
          <w:szCs w:val="24"/>
        </w:rPr>
        <w:t xml:space="preserve">Es el que adopta el proyecto y el que quedó definido en la sección 7. Sus ventajas son las que le faltan al anterior: es </w:t>
      </w:r>
      <w:r>
        <w:rPr>
          <w:rFonts w:ascii="Times New Roman" w:cs="Times New Roman" w:eastAsia="Times New Roman" w:hAnsi="Times New Roman"/>
          <w:b/>
          <w:bCs/>
          <w:color w:val="000000"/>
          <w:sz w:val="24"/>
          <w:szCs w:val="24"/>
        </w:rPr>
        <w:t xml:space="preserve">reproducible</w:t>
      </w:r>
      <w:r>
        <w:rPr>
          <w:rFonts w:ascii="Times New Roman" w:cs="Times New Roman" w:eastAsia="Times New Roman" w:hAnsi="Times New Roman"/>
          <w:color w:val="000000"/>
          <w:sz w:val="24"/>
          <w:szCs w:val="24"/>
        </w:rPr>
        <w:t xml:space="preserve"> —la misma serie produce siempre las mismas etiquetas—, es </w:t>
      </w:r>
      <w:r>
        <w:rPr>
          <w:rFonts w:ascii="Times New Roman" w:cs="Times New Roman" w:eastAsia="Times New Roman" w:hAnsi="Times New Roman"/>
          <w:b/>
          <w:bCs/>
          <w:color w:val="000000"/>
          <w:sz w:val="24"/>
          <w:szCs w:val="24"/>
        </w:rPr>
        <w:t xml:space="preserve">auditable</w:t>
      </w:r>
      <w:r>
        <w:rPr>
          <w:rFonts w:ascii="Times New Roman" w:cs="Times New Roman" w:eastAsia="Times New Roman" w:hAnsi="Times New Roman"/>
          <w:color w:val="000000"/>
          <w:sz w:val="24"/>
          <w:szCs w:val="24"/>
        </w:rPr>
        <w:t xml:space="preserve"> —cabe en una función con pruebas— y es </w:t>
      </w:r>
      <w:r>
        <w:rPr>
          <w:rFonts w:ascii="Times New Roman" w:cs="Times New Roman" w:eastAsia="Times New Roman" w:hAnsi="Times New Roman"/>
          <w:b/>
          <w:bCs/>
          <w:color w:val="000000"/>
          <w:sz w:val="24"/>
          <w:szCs w:val="24"/>
        </w:rPr>
        <w:t xml:space="preserve">explícito</w:t>
      </w:r>
      <w:r>
        <w:rPr>
          <w:rFonts w:ascii="Times New Roman" w:cs="Times New Roman" w:eastAsia="Times New Roman" w:hAnsi="Times New Roman"/>
          <w:color w:val="000000"/>
          <w:sz w:val="24"/>
          <w:szCs w:val="24"/>
        </w:rPr>
        <w:t xml:space="preserve"> en su escala, porque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está a la vista.</w:t>
      </w:r>
    </w:p>
    <w:p>
      <w:pPr>
        <w:spacing w:after="0" w:line="480" w:lineRule="auto"/>
        <w:ind w:firstLine="720"/>
      </w:pPr>
      <w:r>
        <w:rPr>
          <w:rFonts w:ascii="Times New Roman" w:cs="Times New Roman" w:eastAsia="Times New Roman" w:hAnsi="Times New Roman"/>
          <w:color w:val="000000"/>
          <w:sz w:val="24"/>
          <w:szCs w:val="24"/>
        </w:rPr>
        <w:t xml:space="preserve">Su costo es que exige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y que ignora el contexto de tendencia: trata por igual un máximo en medio de una tendencia alcista y uno que marca su final. Es un intercambio consciente, y la elección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con criterio medido (Tabla 2) es lo que impide que se convierta en arbitrariedad.</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8.3 Validación del detector sobre una serie donde conocemos la respuesta</w:t>
      </w:r>
    </w:p>
    <w:p>
      <w:pPr>
        <w:spacing w:after="0" w:line="480" w:lineRule="auto"/>
        <w:ind w:firstLine="720"/>
      </w:pPr>
      <w:r>
        <w:rPr>
          <w:rFonts w:ascii="Times New Roman" w:cs="Times New Roman" w:eastAsia="Times New Roman" w:hAnsi="Times New Roman"/>
          <w:color w:val="000000"/>
          <w:sz w:val="24"/>
          <w:szCs w:val="24"/>
        </w:rPr>
        <w:t xml:space="preserve">El argumento que sostiene todo lo demás es el siguiente: </w:t>
      </w:r>
      <w:r>
        <w:rPr>
          <w:rFonts w:ascii="Times New Roman" w:cs="Times New Roman" w:eastAsia="Times New Roman" w:hAnsi="Times New Roman"/>
          <w:b/>
          <w:bCs/>
          <w:color w:val="000000"/>
          <w:sz w:val="24"/>
          <w:szCs w:val="24"/>
        </w:rPr>
        <w:t xml:space="preserve">antes de creerle al detector sobre datos donde nadie sabe la verdad, hay que verificar que encuentra lo que tiene que encontrar sobre una serie donde la verdad la pusimos nosotros.</w:t>
      </w:r>
    </w:p>
    <w:p>
      <w:pPr>
        <w:spacing w:after="0" w:line="480" w:lineRule="auto"/>
        <w:ind w:firstLine="720"/>
      </w:pPr>
      <w:r>
        <w:rPr>
          <w:rFonts w:ascii="Times New Roman" w:cs="Times New Roman" w:eastAsia="Times New Roman" w:hAnsi="Times New Roman"/>
          <w:color w:val="000000"/>
          <w:sz w:val="24"/>
          <w:szCs w:val="24"/>
        </w:rPr>
        <w:t xml:space="preserve">Sobre la serie construida de la Figura 10 —lineal a tramos, con vértices colocados por construcción— el detector encontró </w:t>
      </w:r>
      <w:r>
        <w:rPr>
          <w:rFonts w:ascii="Times New Roman" w:cs="Times New Roman" w:eastAsia="Times New Roman" w:hAnsi="Times New Roman"/>
          <w:b/>
          <w:bCs/>
          <w:color w:val="000000"/>
          <w:sz w:val="24"/>
          <w:szCs w:val="24"/>
        </w:rPr>
        <w:t xml:space="preserve">18 de 18</w:t>
      </w:r>
      <w:r>
        <w:rPr>
          <w:rFonts w:ascii="Times New Roman" w:cs="Times New Roman" w:eastAsia="Times New Roman" w:hAnsi="Times New Roman"/>
          <w:color w:val="000000"/>
          <w:sz w:val="24"/>
          <w:szCs w:val="24"/>
        </w:rPr>
        <w:t xml:space="preserve"> vértices, exactamente y sin ningún falso positivo. Esta comprobación no dice nada sobre el mercado: dice que la implementación del etiquetador es correcta, y eso es una condición previa a cualquier otra afirmación del proyecto.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8.4 A qué nivel de ruido se rompe el etiquetado</w:t>
      </w:r>
    </w:p>
    <w:p>
      <w:pPr>
        <w:spacing w:after="0" w:line="480" w:lineRule="auto"/>
        <w:ind w:firstLine="720"/>
      </w:pPr>
      <w:r>
        <w:rPr>
          <w:rFonts w:ascii="Times New Roman" w:cs="Times New Roman" w:eastAsia="Times New Roman" w:hAnsi="Times New Roman"/>
          <w:color w:val="000000"/>
          <w:sz w:val="24"/>
          <w:szCs w:val="24"/>
        </w:rPr>
        <w:t xml:space="preserve">La comprobación anterior deja abierta la pregunta incómoda: </w:t>
      </w:r>
      <w:r>
        <w:rPr>
          <w:rFonts w:ascii="Times New Roman" w:cs="Times New Roman" w:eastAsia="Times New Roman" w:hAnsi="Times New Roman"/>
          <w:i/>
          <w:iCs/>
          <w:color w:val="000000"/>
          <w:sz w:val="24"/>
          <w:szCs w:val="24"/>
        </w:rPr>
        <w:t xml:space="preserve">¿cómo saben que sus etiquetas no son ruido?</w:t>
      </w:r>
      <w:r>
        <w:rPr>
          <w:rFonts w:ascii="Times New Roman" w:cs="Times New Roman" w:eastAsia="Times New Roman" w:hAnsi="Times New Roman"/>
          <w:color w:val="000000"/>
          <w:sz w:val="24"/>
          <w:szCs w:val="24"/>
        </w:rPr>
        <w:t xml:space="preserve"> Una serie lineal a tramos sin ruido es un caso fácil. La pregunta relevante es cuánto ruido tolera el detector antes de empezar a inventar giros que no existen. Es una medición que se puede hacer, y la hicimos (issue S1-M2-01).</w:t>
      </w:r>
    </w:p>
    <w:p>
      <w:pPr>
        <w:spacing w:after="0" w:line="480" w:lineRule="auto"/>
        <w:ind w:firstLine="720"/>
      </w:pPr>
      <w:r>
        <w:rPr>
          <w:rFonts w:ascii="Times New Roman" w:cs="Times New Roman" w:eastAsia="Times New Roman" w:hAnsi="Times New Roman"/>
          <w:b/>
          <w:bCs/>
          <w:color w:val="000000"/>
          <w:sz w:val="24"/>
          <w:szCs w:val="24"/>
        </w:rPr>
        <w:t xml:space="preserve">Diseño del experimento.</w:t>
      </w:r>
      <w:r>
        <w:rPr>
          <w:rFonts w:ascii="Times New Roman" w:cs="Times New Roman" w:eastAsia="Times New Roman" w:hAnsi="Times New Roman"/>
          <w:color w:val="000000"/>
          <w:sz w:val="24"/>
          <w:szCs w:val="24"/>
        </w:rPr>
        <w:t xml:space="preserve"> Se generan series de 800 velas con </w:t>
      </w:r>
      <w:r>
        <w:rPr>
          <w:rFonts w:ascii="Courier New" w:cs="Courier New" w:eastAsia="Courier New" w:hAnsi="Courier New"/>
          <w:color w:val="000000"/>
          <w:sz w:val="22"/>
          <w:szCs w:val="22"/>
        </w:rPr>
        <w:t xml:space="preserve">serie_zigzag(w = 7)</w:t>
      </w:r>
      <w:r>
        <w:rPr>
          <w:rFonts w:ascii="Times New Roman" w:cs="Times New Roman" w:eastAsia="Times New Roman" w:hAnsi="Times New Roman"/>
          <w:color w:val="000000"/>
          <w:sz w:val="24"/>
          <w:szCs w:val="24"/>
        </w:rPr>
        <w:t xml:space="preserve">, con los vértices colocados por construcción, y se les suma ruido gaussiano de desviación estándar creciente. La verdad de referencia se toma de los vértices de la serie </w:t>
      </w:r>
      <w:r>
        <w:rPr>
          <w:rFonts w:ascii="Times New Roman" w:cs="Times New Roman" w:eastAsia="Times New Roman" w:hAnsi="Times New Roman"/>
          <w:b/>
          <w:bCs/>
          <w:color w:val="000000"/>
          <w:sz w:val="24"/>
          <w:szCs w:val="24"/>
        </w:rPr>
        <w:t xml:space="preserve">limpia</w:t>
      </w:r>
      <w:r>
        <w:rPr>
          <w:rFonts w:ascii="Times New Roman" w:cs="Times New Roman" w:eastAsia="Times New Roman" w:hAnsi="Times New Roman"/>
          <w:color w:val="000000"/>
          <w:sz w:val="24"/>
          <w:szCs w:val="24"/>
        </w:rPr>
        <w:t xml:space="preserve">, no de la salida del etiquetador —de lo contrario la prueba compararía la función consigo misma y pasaría siempre—, y la detección se evalúa sobre la serie </w:t>
      </w:r>
      <w:r>
        <w:rPr>
          <w:rFonts w:ascii="Times New Roman" w:cs="Times New Roman" w:eastAsia="Times New Roman" w:hAnsi="Times New Roman"/>
          <w:b/>
          <w:bCs/>
          <w:color w:val="000000"/>
          <w:sz w:val="24"/>
          <w:szCs w:val="24"/>
        </w:rPr>
        <w:t xml:space="preserve">ruidosa</w:t>
      </w:r>
      <w:r>
        <w:rPr>
          <w:rFonts w:ascii="Times New Roman" w:cs="Times New Roman" w:eastAsia="Times New Roman" w:hAnsi="Times New Roman"/>
          <w:color w:val="000000"/>
          <w:sz w:val="24"/>
          <w:szCs w:val="24"/>
        </w:rPr>
        <w:t xml:space="preserve">. Ambas comparten vértices y alturas por construcción, lo que hace válida la comparación. Cada nivel de ruido se promedia sobre </w:t>
      </w:r>
      <w:r>
        <w:rPr>
          <w:rFonts w:ascii="Times New Roman" w:cs="Times New Roman" w:eastAsia="Times New Roman" w:hAnsi="Times New Roman"/>
          <w:b/>
          <w:bCs/>
          <w:color w:val="000000"/>
          <w:sz w:val="24"/>
          <w:szCs w:val="24"/>
        </w:rPr>
        <w:t xml:space="preserve">diez semillas</w:t>
      </w:r>
      <w:r>
        <w:rPr>
          <w:rFonts w:ascii="Times New Roman" w:cs="Times New Roman" w:eastAsia="Times New Roman" w:hAnsi="Times New Roman"/>
          <w:color w:val="000000"/>
          <w:sz w:val="24"/>
          <w:szCs w:val="24"/>
        </w:rPr>
        <w:t xml:space="preserve">, porque una sola serie no distingue el efecto del ruido del azar de esa serie concreta. En total, 498 giros verdaderos por nivel.</w:t>
      </w:r>
    </w:p>
    <w:p>
      <w:pPr>
        <w:spacing w:after="0" w:line="480" w:lineRule="auto"/>
        <w:ind w:firstLine="720"/>
      </w:pPr>
      <w:r>
        <w:rPr>
          <w:rFonts w:ascii="Times New Roman" w:cs="Times New Roman" w:eastAsia="Times New Roman" w:hAnsi="Times New Roman"/>
          <w:b/>
          <w:bCs/>
          <w:color w:val="000000"/>
          <w:sz w:val="24"/>
          <w:szCs w:val="24"/>
        </w:rPr>
        <w:t xml:space="preserve">Cómo se expresa el ruido.</w:t>
      </w:r>
      <w:r>
        <w:rPr>
          <w:rFonts w:ascii="Times New Roman" w:cs="Times New Roman" w:eastAsia="Times New Roman" w:hAnsi="Times New Roman"/>
          <w:color w:val="000000"/>
          <w:sz w:val="24"/>
          <w:szCs w:val="24"/>
        </w:rPr>
        <w:t xml:space="preserve"> No en unidades absolutas, sino </w:t>
      </w:r>
      <w:r>
        <w:rPr>
          <w:rFonts w:ascii="Times New Roman" w:cs="Times New Roman" w:eastAsia="Times New Roman" w:hAnsi="Times New Roman"/>
          <w:b/>
          <w:bCs/>
          <w:color w:val="000000"/>
          <w:sz w:val="24"/>
          <w:szCs w:val="24"/>
        </w:rPr>
        <w:t xml:space="preserve">relativo al cambio típico de precio entre dos velas consecutivas</w:t>
      </w:r>
      <w:r>
        <w:rPr>
          <w:rFonts w:ascii="Times New Roman" w:cs="Times New Roman" w:eastAsia="Times New Roman" w:hAnsi="Times New Roman"/>
          <w:color w:val="000000"/>
          <w:sz w:val="24"/>
          <w:szCs w:val="24"/>
        </w:rPr>
        <w:t xml:space="preserve"> de la serie limpia. Un σ de 0,5 es enorme en una serie que se mueve 0,2 por vela e irrelevante en una que se mueve 20; el cociente es lo que hace la medición comparable con cualquier otra serie.</w:t>
      </w:r>
    </w:p>
    <w:p>
      <w:pPr>
        <w:spacing w:after="0" w:line="480" w:lineRule="auto"/>
        <w:ind w:firstLine="720"/>
      </w:pPr>
      <w:r>
        <w:rPr>
          <w:rFonts w:ascii="Times New Roman" w:cs="Times New Roman" w:eastAsia="Times New Roman" w:hAnsi="Times New Roman"/>
          <w:b/>
          <w:bCs/>
          <w:color w:val="000000"/>
          <w:sz w:val="24"/>
          <w:szCs w:val="24"/>
        </w:rPr>
        <w:t xml:space="preserve">Se miden dos cosas distintas a propósito.</w:t>
      </w:r>
      <w:r>
        <w:rPr>
          <w:rFonts w:ascii="Times New Roman" w:cs="Times New Roman" w:eastAsia="Times New Roman" w:hAnsi="Times New Roman"/>
          <w:color w:val="000000"/>
          <w:sz w:val="24"/>
          <w:szCs w:val="24"/>
        </w:rPr>
        <w:t xml:space="preserve"> Perder un giro no es lo mismo que detectarlo corrido una vela. Por eso se reportan la detección </w:t>
      </w:r>
      <w:r>
        <w:rPr>
          <w:rFonts w:ascii="Times New Roman" w:cs="Times New Roman" w:eastAsia="Times New Roman" w:hAnsi="Times New Roman"/>
          <w:b/>
          <w:bCs/>
          <w:color w:val="000000"/>
          <w:sz w:val="24"/>
          <w:szCs w:val="24"/>
        </w:rPr>
        <w:t xml:space="preserve">exacta</w:t>
      </w:r>
      <w:r>
        <w:rPr>
          <w:rFonts w:ascii="Times New Roman" w:cs="Times New Roman" w:eastAsia="Times New Roman" w:hAnsi="Times New Roman"/>
          <w:color w:val="000000"/>
          <w:sz w:val="24"/>
          <w:szCs w:val="24"/>
        </w:rPr>
        <w:t xml:space="preserve"> —el giro cae en la vela precisa— y la detección </w:t>
      </w:r>
      <w:r>
        <w:rPr>
          <w:rFonts w:ascii="Times New Roman" w:cs="Times New Roman" w:eastAsia="Times New Roman" w:hAnsi="Times New Roman"/>
          <w:b/>
          <w:bCs/>
          <w:color w:val="000000"/>
          <w:sz w:val="24"/>
          <w:szCs w:val="24"/>
        </w:rPr>
        <w:t xml:space="preserve">con tolerancia de una vela</w:t>
      </w:r>
      <w:r>
        <w:rPr>
          <w:rFonts w:ascii="Times New Roman" w:cs="Times New Roman" w:eastAsia="Times New Roman" w:hAnsi="Times New Roman"/>
          <w:color w:val="000000"/>
          <w:sz w:val="24"/>
          <w:szCs w:val="24"/>
        </w:rPr>
        <w:t xml:space="preserve">. Una sola métrica no puede separar los dos fallos, y la diferencia entre ambas resultó ser el hallazgo principal.</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Sensibilidad del etiquetador al ruido. Serie construida de 800 velas, </w:t>
      </w:r>
      <w:r>
        <w:rPr>
          <w:rFonts w:ascii="Courier New" w:cs="Courier New" w:eastAsia="Courier New" w:hAnsi="Courier New"/>
          <w:i/>
          <w:iCs/>
          <w:color w:val="000000"/>
          <w:sz w:val="22"/>
          <w:szCs w:val="22"/>
        </w:rPr>
        <w:t xml:space="preserve">w = 7</w:t>
      </w:r>
      <w:r>
        <w:rPr>
          <w:rFonts w:ascii="Times New Roman" w:cs="Times New Roman" w:eastAsia="Times New Roman" w:hAnsi="Times New Roman"/>
          <w:i/>
          <w:iCs/>
          <w:color w:val="000000"/>
          <w:sz w:val="24"/>
          <w:szCs w:val="24"/>
        </w:rPr>
        <w:t xml:space="preserve">, promedio de 10 semillas por nivel (498 giros verdaderos en cada uno). La fila σ = 0,70 proviene del barrido fino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σ</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Ruido relativo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(tolerancia 1 vela)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(vela exacta)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falsos por giro verdadero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0,25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0,70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0,960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0,150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0,669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0,325</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0,467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m2-ruido-etiquetado.json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-m src.sintetico.sensibilidad</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120" w:line="480" w:lineRule="auto"/>
      </w:pPr>
      <w:r>
        <w:rPr>
          <w:rFonts w:ascii="Times New Roman" w:cs="Times New Roman" w:eastAsia="Times New Roman" w:hAnsi="Times New Roman"/>
          <w:i/>
          <w:iCs/>
          <w:color w:val="000000"/>
          <w:sz w:val="24"/>
          <w:szCs w:val="24"/>
        </w:rPr>
        <w:t xml:space="preserve">Izquierda: fracción de giros verdaderos recuperados, con y sin tolerancia de una vela. Derecha: giros falsos por giro verdadero. </w:t>
      </w:r>
      <w:r>
        <w:rPr>
          <w:rFonts w:ascii="Times New Roman" w:cs="Times New Roman" w:eastAsia="Times New Roman" w:hAnsi="Times New Roman"/>
          <w:b/>
          <w:bCs/>
          <w:i/>
          <w:iCs/>
          <w:color w:val="000000"/>
          <w:sz w:val="24"/>
          <w:szCs w:val="24"/>
        </w:rPr>
        <w:t xml:space="preserve">Serie construida por nosotros; no es Litecoin.</w:t>
      </w:r>
    </w:p>
    <w:p>
      <w:pPr>
        <w:spacing w:after="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181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13</w:t>
      </w:r>
    </w:p>
    <w:p>
      <w:pPr>
        <w:keepNext/>
        <w:spacing w:after="120" w:line="480" w:lineRule="auto"/>
      </w:pPr>
      <w:r>
        <w:rPr>
          <w:rFonts w:ascii="Times New Roman" w:cs="Times New Roman" w:eastAsia="Times New Roman" w:hAnsi="Times New Roman"/>
          <w:i/>
          <w:iCs/>
          <w:color w:val="000000"/>
          <w:sz w:val="24"/>
          <w:szCs w:val="24"/>
        </w:rPr>
        <w:t xml:space="preserve">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3</w:t>
      </w:r>
    </w:p>
    <w:p>
      <w:pPr>
        <w:spacing w:after="120"/>
        <w:jc w:val="center"/>
      </w:pPr>
      <w:r>
        <w:drawing>
          <wp:inline distT="0" distB="0" distL="0" distR="0">
            <wp:extent cx="5715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053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Tres resultados, en orden de importancia:</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El umbral de aparición de giros falsos está en un ruido relativo de 0,50.</w:t>
      </w:r>
      <w:r>
        <w:rPr>
          <w:rFonts w:ascii="Times New Roman" w:cs="Times New Roman" w:eastAsia="Times New Roman" w:hAnsi="Times New Roman"/>
          <w:color w:val="000000"/>
          <w:sz w:val="24"/>
          <w:szCs w:val="24"/>
        </w:rPr>
        <w:t xml:space="preserve"> Hasta un σ equivalente al 36 % del movimiento típico por vela, el detector recupera los 498 giros verdaderos sin inventar ni uno solo. El primer falso positivo aparece cuando σ alcanza aproximadamente </w:t>
      </w:r>
      <w:r>
        <w:rPr>
          <w:rFonts w:ascii="Times New Roman" w:cs="Times New Roman" w:eastAsia="Times New Roman" w:hAnsi="Times New Roman"/>
          <w:b/>
          <w:bCs/>
          <w:color w:val="000000"/>
          <w:sz w:val="24"/>
          <w:szCs w:val="24"/>
        </w:rPr>
        <w:t xml:space="preserve">la mitad del movimiento por vela</w:t>
      </w:r>
      <w:r>
        <w:rPr>
          <w:rFonts w:ascii="Times New Roman" w:cs="Times New Roman" w:eastAsia="Times New Roman" w:hAnsi="Times New Roman"/>
          <w:color w:val="000000"/>
          <w:sz w:val="24"/>
          <w:szCs w:val="24"/>
        </w:rPr>
        <w:t xml:space="preserve">. Ese es el número que responde la pregunta del título. 2. </w:t>
      </w:r>
      <w:r>
        <w:rPr>
          <w:rFonts w:ascii="Times New Roman" w:cs="Times New Roman" w:eastAsia="Times New Roman" w:hAnsi="Times New Roman"/>
          <w:b/>
          <w:bCs/>
          <w:color w:val="000000"/>
          <w:sz w:val="24"/>
          <w:szCs w:val="24"/>
        </w:rPr>
        <w:t xml:space="preserve">La detección exacta se degrada mucho antes que la detección del giro.</w:t>
      </w:r>
      <w:r>
        <w:rPr>
          <w:rFonts w:ascii="Times New Roman" w:cs="Times New Roman" w:eastAsia="Times New Roman" w:hAnsi="Times New Roman"/>
          <w:color w:val="000000"/>
          <w:sz w:val="24"/>
          <w:szCs w:val="24"/>
        </w:rPr>
        <w:t xml:space="preserve"> Con un ruido relativo de 0,36 el detector sigue encontrando el 100 % de los giros, pero solo el 94,4 % cae en la vela exacta. Con ruido relativo 0,72 encuentra el 96,0 % de los giros y acierta la vela en apenas el 72,9 % de los casos. </w:t>
      </w:r>
      <w:r>
        <w:rPr>
          <w:rFonts w:ascii="Times New Roman" w:cs="Times New Roman" w:eastAsia="Times New Roman" w:hAnsi="Times New Roman"/>
          <w:b/>
          <w:bCs/>
          <w:color w:val="000000"/>
          <w:sz w:val="24"/>
          <w:szCs w:val="24"/>
        </w:rPr>
        <w:t xml:space="preserve">El fallo dominante en régimen de ruido moderado no es perder giros: es correrlos de lugar.</w:t>
      </w:r>
      <w:r>
        <w:rPr>
          <w:rFonts w:ascii="Times New Roman" w:cs="Times New Roman" w:eastAsia="Times New Roman" w:hAnsi="Times New Roman"/>
          <w:color w:val="000000"/>
          <w:sz w:val="24"/>
          <w:szCs w:val="24"/>
        </w:rPr>
        <w:t xml:space="preserve"> Tiene una implicación directa para el proyecto: evaluar el modelo exigiendo la vela exacta puede penalizar como error lo que es un desplazamiento de una vela, y conviene tenerlo presente al leer la matriz de confusión. 3. </w:t>
      </w:r>
      <w:r>
        <w:rPr>
          <w:rFonts w:ascii="Times New Roman" w:cs="Times New Roman" w:eastAsia="Times New Roman" w:hAnsi="Times New Roman"/>
          <w:b/>
          <w:bCs/>
          <w:color w:val="000000"/>
          <w:sz w:val="24"/>
          <w:szCs w:val="24"/>
        </w:rPr>
        <w:t xml:space="preserve">La degradación es gradual, no catastrófica.</w:t>
      </w:r>
      <w:r>
        <w:rPr>
          <w:rFonts w:ascii="Times New Roman" w:cs="Times New Roman" w:eastAsia="Times New Roman" w:hAnsi="Times New Roman"/>
          <w:color w:val="000000"/>
          <w:sz w:val="24"/>
          <w:szCs w:val="24"/>
        </w:rP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rFonts w:ascii="Times New Roman" w:cs="Times New Roman" w:eastAsia="Times New Roman" w:hAnsi="Times New Roman"/>
          <w:b/>
          <w:bCs/>
          <w:color w:val="000000"/>
          <w:sz w:val="24"/>
          <w:szCs w:val="24"/>
        </w:rPr>
        <w:t xml:space="preserve">una sola vez en los 3 486 giros evaluados</w:t>
      </w:r>
      <w:r>
        <w:rPr>
          <w:rFonts w:ascii="Times New Roman" w:cs="Times New Roman" w:eastAsia="Times New Roman" w:hAnsi="Times New Roman"/>
          <w:color w:val="000000"/>
          <w:sz w:val="24"/>
          <w:szCs w:val="24"/>
        </w:rPr>
        <w:t xml:space="preserve">, y solo en el nivel de ruido más alto.</w:t>
      </w:r>
    </w:p>
    <w:p>
      <w:pPr>
        <w:spacing w:after="0" w:line="480" w:lineRule="auto"/>
        <w:ind w:firstLine="720"/>
      </w:pPr>
      <w:r>
        <w:rPr>
          <w:rFonts w:ascii="Times New Roman" w:cs="Times New Roman" w:eastAsia="Times New Roman" w:hAnsi="Times New Roman"/>
          <w:b/>
          <w:bCs/>
          <w:color w:val="000000"/>
          <w:sz w:val="24"/>
          <w:szCs w:val="24"/>
        </w:rPr>
        <w:t xml:space="preserve">Cómo hay que leer esto.</w:t>
      </w:r>
      <w:r>
        <w:rPr>
          <w:rFonts w:ascii="Times New Roman" w:cs="Times New Roman" w:eastAsia="Times New Roman" w:hAnsi="Times New Roman"/>
          <w:color w:val="000000"/>
          <w:sz w:val="24"/>
          <w:szCs w:val="24"/>
        </w:rPr>
        <w:t xml:space="preserve"> La serie es lineal a tramos con ruido gaussiano: </w:t>
      </w:r>
      <w:r>
        <w:rPr>
          <w:rFonts w:ascii="Times New Roman" w:cs="Times New Roman" w:eastAsia="Times New Roman" w:hAnsi="Times New Roman"/>
          <w:b/>
          <w:bCs/>
          <w:color w:val="000000"/>
          <w:sz w:val="24"/>
          <w:szCs w:val="24"/>
        </w:rPr>
        <w:t xml:space="preserve">no es Litecoin</w:t>
      </w:r>
      <w:r>
        <w:rPr>
          <w:rFonts w:ascii="Times New Roman" w:cs="Times New Roman" w:eastAsia="Times New Roman" w:hAnsi="Times New Roman"/>
          <w:color w:val="000000"/>
          <w:sz w:val="24"/>
          <w:szCs w:val="24"/>
        </w:rPr>
        <w:t xml:space="preserve">. No tiene heterocedasticidad, ni colas pesadas, ni saltos, y su relación señal-ruido la fijamos nosotros. Estos números </w:t>
      </w:r>
      <w:r>
        <w:rPr>
          <w:rFonts w:ascii="Times New Roman" w:cs="Times New Roman" w:eastAsia="Times New Roman" w:hAnsi="Times New Roman"/>
          <w:b/>
          <w:bCs/>
          <w:color w:val="000000"/>
          <w:sz w:val="24"/>
          <w:szCs w:val="24"/>
        </w:rPr>
        <w:t xml:space="preserve">caracterizan al etiquetador</w:t>
      </w:r>
      <w:r>
        <w:rPr>
          <w:rFonts w:ascii="Times New Roman" w:cs="Times New Roman" w:eastAsia="Times New Roman" w:hAnsi="Times New Roman"/>
          <w:color w:val="000000"/>
          <w:sz w:val="24"/>
          <w:szCs w:val="24"/>
        </w:rPr>
        <w:t xml:space="preserve">,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S1-M2-06</w:t>
      </w:r>
    </w:p>
    <w:p>
      <w:pPr>
        <w:spacing w:after="0" w:line="480" w:lineRule="auto"/>
        <w:ind w:firstLine="720"/>
      </w:pPr>
      <w:r>
        <w:rPr>
          <w:rFonts w:ascii="Times New Roman" w:cs="Times New Roman" w:eastAsia="Times New Roman" w:hAnsi="Times New Roman"/>
          <w:color w:val="000000"/>
          <w:sz w:val="24"/>
          <w:szCs w:val="24"/>
        </w:rPr>
        <w:t xml:space="preserve">Es el noveno punto del bloque de criptoactivos del enunciado. Va en archivo aparte porque tiene evidencia propia y da para una sección completa.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problema que hay que explicar antes que nada</w:t>
      </w:r>
    </w:p>
    <w:p>
      <w:pPr>
        <w:keepNext/>
        <w:spacing w:after="0" w:before="240" w:line="480" w:lineRule="auto"/>
      </w:pPr>
      <w:r>
        <w:rPr>
          <w:rFonts w:ascii="Times New Roman" w:cs="Times New Roman" w:eastAsia="Times New Roman" w:hAnsi="Times New Roman"/>
          <w:b/>
          <w:bCs/>
          <w:color w:val="000000"/>
          <w:sz w:val="24"/>
          <w:szCs w:val="24"/>
        </w:rPr>
        <w:t xml:space="preserve">Figura 14</w:t>
      </w:r>
    </w:p>
    <w:p>
      <w:pPr>
        <w:keepNext/>
        <w:spacing w:after="120" w:line="480" w:lineRule="auto"/>
      </w:pPr>
      <w:r>
        <w:rPr>
          <w:rFonts w:ascii="Times New Roman" w:cs="Times New Roman" w:eastAsia="Times New Roman" w:hAnsi="Times New Roman"/>
          <w:i/>
          <w:iCs/>
          <w:color w:val="000000"/>
          <w:sz w:val="24"/>
          <w:szCs w:val="24"/>
        </w:rPr>
        <w:t xml:space="preserve">Distribución de las tres clases en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sobre velas diarias (n = 2 175 velas con etiqueta definida)</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Balance de clases sobre la serie completa,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Zona de Continuidad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1 891</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clases están desbalanceadas </w:t>
      </w:r>
      <w:r>
        <w:rPr>
          <w:rFonts w:ascii="Times New Roman" w:cs="Times New Roman" w:eastAsia="Times New Roman" w:hAnsi="Times New Roman"/>
          <w:b/>
          <w:bCs/>
          <w:color w:val="000000"/>
          <w:sz w:val="24"/>
          <w:szCs w:val="24"/>
        </w:rPr>
        <w:t xml:space="preserve">por construcción, no por accidente de los datos</w:t>
      </w:r>
      <w:r>
        <w:rPr>
          <w:rFonts w:ascii="Times New Roman" w:cs="Times New Roman" w:eastAsia="Times New Roman" w:hAnsi="Times New Roman"/>
          <w:color w:val="000000"/>
          <w:sz w:val="24"/>
          <w:szCs w:val="24"/>
        </w:rPr>
        <w:t xml:space="preserve">. Como se demostró en la sección 7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—cada uno caería en la ventana del otro y cada uno tendría que ser estrictamente mayor que el otro—, de modo que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esa cota aritmética es del 16,67 % por clase extrema, y la medición sobre LTC da 6,58 %: bastante por debajo, como corresponde a un límite superior.</w:t>
      </w:r>
    </w:p>
    <w:p>
      <w:pPr>
        <w:spacing w:after="0" w:line="480" w:lineRule="auto"/>
        <w:ind w:firstLine="720"/>
      </w:pPr>
      <w:r>
        <w:rPr>
          <w:rFonts w:ascii="Times New Roman" w:cs="Times New Roman" w:eastAsia="Times New Roman" w:hAnsi="Times New Roman"/>
          <w:color w:val="000000"/>
          <w:sz w:val="24"/>
          <w:szCs w:val="24"/>
        </w:rPr>
        <w:t xml:space="preserve">La distinción importa porque cambia qué se puede hacer al respecto. Un desbalance accidental —una muestra mal recogida— se corrige recogiendo mejor. Este desbalance </w:t>
      </w:r>
      <w:r>
        <w:rPr>
          <w:rFonts w:ascii="Times New Roman" w:cs="Times New Roman" w:eastAsia="Times New Roman" w:hAnsi="Times New Roman"/>
          <w:b/>
          <w:bCs/>
          <w:color w:val="000000"/>
          <w:sz w:val="24"/>
          <w:szCs w:val="24"/>
        </w:rPr>
        <w:t xml:space="preserve">no se puede corregir sin cambiar la definición del problema</w:t>
      </w:r>
      <w:r>
        <w:rPr>
          <w:rFonts w:ascii="Times New Roman" w:cs="Times New Roman" w:eastAsia="Times New Roman" w:hAnsi="Times New Roman"/>
          <w:color w:val="000000"/>
          <w:sz w:val="24"/>
          <w:szCs w:val="24"/>
        </w:rPr>
        <w:t xml:space="preserve">: bajar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produciría más ejemplos extremos, pero serían giros más pequeños, es decir, otro problema.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 elegir simultáneamente la escala del fenómeno y el grado de desbalance, y las dos cosas se deciden juntas o no se deciden.</w:t>
      </w:r>
    </w:p>
    <w:p>
      <w:pPr>
        <w:spacing w:after="0" w:line="480" w:lineRule="auto"/>
        <w:ind w:firstLine="720"/>
      </w:pPr>
      <w:r>
        <w:rPr>
          <w:rFonts w:ascii="Times New Roman" w:cs="Times New Roman" w:eastAsia="Times New Roman" w:hAnsi="Times New Roman"/>
          <w:color w:val="000000"/>
          <w:sz w:val="24"/>
          <w:szCs w:val="24"/>
        </w:rPr>
        <w:t xml:space="preserve">La consecuencia práctica es que el desbalance no es un obstáculo que haya que quitar antes de medir: es una propiedad permanente del problema, y las métricas tienen que elegirse sabiendo que va a estar ahí en todas las evaluaciones (He &amp; Garcia, 2009).</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Por qué la exactitud no sirve: medido, no argumentado</w:t>
      </w:r>
    </w:p>
    <w:p>
      <w:pPr>
        <w:keepNext/>
        <w:spacing w:after="0" w:before="240" w:line="480" w:lineRule="auto"/>
      </w:pPr>
      <w:r>
        <w:rPr>
          <w:rFonts w:ascii="Times New Roman" w:cs="Times New Roman" w:eastAsia="Times New Roman" w:hAnsi="Times New Roman"/>
          <w:b/>
          <w:bCs/>
          <w:color w:val="000000"/>
          <w:sz w:val="24"/>
          <w:szCs w:val="24"/>
        </w:rPr>
        <w:t xml:space="preserve">Figura 15</w:t>
      </w:r>
    </w:p>
    <w:p>
      <w:pPr>
        <w:keepNext/>
        <w:spacing w:after="120" w:line="480" w:lineRule="auto"/>
      </w:pPr>
      <w:r>
        <w:rPr>
          <w:rFonts w:ascii="Times New Roman" w:cs="Times New Roman" w:eastAsia="Times New Roman" w:hAnsi="Times New Roman"/>
          <w:i/>
          <w:iCs/>
          <w:color w:val="000000"/>
          <w:sz w:val="24"/>
          <w:szCs w:val="24"/>
        </w:rPr>
        <w:t xml:space="preserve">Matriz de confusión del </w:t>
      </w:r>
      <w:r>
        <w:rPr>
          <w:rFonts w:ascii="Times New Roman" w:cs="Times New Roman" w:eastAsia="Times New Roman" w:hAnsi="Times New Roman"/>
          <w:i/>
          <w:iCs/>
          <w:color w:val="000000"/>
          <w:sz w:val="24"/>
          <w:szCs w:val="24"/>
        </w:rPr>
        <w:t xml:space="preserve">baseline</w:t>
      </w:r>
      <w:r>
        <w:rPr>
          <w:rFonts w:ascii="Times New Roman" w:cs="Times New Roman" w:eastAsia="Times New Roman" w:hAnsi="Times New Roman"/>
          <w:i/>
          <w:iCs/>
          <w:color w:val="000000"/>
          <w:sz w:val="24"/>
          <w:szCs w:val="24"/>
        </w:rPr>
        <w:t xml:space="preserve"> trivial —el modelo que siempre responde "Zona de Continuidad"— sobre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 serie completa de LTC, </w:t>
      </w:r>
      <w:r>
        <w:rPr>
          <w:rFonts w:ascii="Courier New" w:cs="Courier New" w:eastAsia="Courier New" w:hAnsi="Courier New"/>
          <w:b/>
          <w:bCs/>
          <w:color w:val="000000"/>
          <w:sz w:val="22"/>
          <w:szCs w:val="22"/>
        </w:rPr>
        <w:t xml:space="preserve">w = 5</w:t>
      </w:r>
      <w:r>
        <w:rPr>
          <w:rFonts w:ascii="Times New Roman" w:cs="Times New Roman" w:eastAsia="Times New Roman" w:hAnsi="Times New Roman"/>
          <w:b/>
          <w:bCs/>
          <w:color w:val="000000"/>
          <w:sz w:val="24"/>
          <w:szCs w:val="24"/>
        </w:rPr>
        <w:t xml:space="preserve">, velas diarias (n = 2 175):</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Rendimiento del baseline trivial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Baseline trivial</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Exactitud</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0,869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0,310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Precisión direccional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Máximo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Mínimo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Continuidad</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0,930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Este es el resultado más importante de la sección y conviene decirlo sin rodeos.</w:t>
      </w:r>
    </w:p>
    <w:p>
      <w:pPr>
        <w:spacing w:after="0" w:line="480" w:lineRule="auto"/>
        <w:ind w:firstLine="720"/>
      </w:pPr>
      <w:r>
        <w:rPr>
          <w:rFonts w:ascii="Times New Roman" w:cs="Times New Roman" w:eastAsia="Times New Roman" w:hAnsi="Times New Roman"/>
          <w:color w:val="000000"/>
          <w:sz w:val="24"/>
          <w:szCs w:val="24"/>
        </w:rPr>
        <w:t xml:space="preserve">Un modelo que </w:t>
      </w:r>
      <w:r>
        <w:rPr>
          <w:rFonts w:ascii="Times New Roman" w:cs="Times New Roman" w:eastAsia="Times New Roman" w:hAnsi="Times New Roman"/>
          <w:b/>
          <w:bCs/>
          <w:color w:val="000000"/>
          <w:sz w:val="24"/>
          <w:szCs w:val="24"/>
        </w:rPr>
        <w:t xml:space="preserve">no detecta ni un solo punto de inflexión</w:t>
      </w:r>
      <w:r>
        <w:rPr>
          <w:rFonts w:ascii="Times New Roman" w:cs="Times New Roman" w:eastAsia="Times New Roman" w:hAnsi="Times New Roman"/>
          <w:color w:val="000000"/>
          <w:sz w:val="24"/>
          <w:szCs w:val="24"/>
        </w:rPr>
        <w:t xml:space="preserve"> —que es literalmente lo único que este proyecto tiene que hacer— alcanza un </w:t>
      </w:r>
      <w:r>
        <w:rPr>
          <w:rFonts w:ascii="Times New Roman" w:cs="Times New Roman" w:eastAsia="Times New Roman" w:hAnsi="Times New Roman"/>
          <w:b/>
          <w:bCs/>
          <w:color w:val="000000"/>
          <w:sz w:val="24"/>
          <w:szCs w:val="24"/>
        </w:rPr>
        <w:t xml:space="preserve">86,9 % de exactitud</w:t>
      </w:r>
      <w:r>
        <w:rPr>
          <w:rFonts w:ascii="Times New Roman" w:cs="Times New Roman" w:eastAsia="Times New Roman" w:hAnsi="Times New Roman"/>
          <w:color w:val="000000"/>
          <w:sz w:val="24"/>
          <w:szCs w:val="24"/>
        </w:rPr>
        <w:t xml:space="preserve">. Si el informe reportara exactitud, ese modelo parecería razonablemente bueno. Es la trampa completa del desbalance en un solo número: la clase mayoritaria es tan dominante que ignorarla todo el resto sale barato.</w:t>
      </w:r>
    </w:p>
    <w:p>
      <w:pPr>
        <w:spacing w:after="0" w:line="480" w:lineRule="auto"/>
        <w:ind w:firstLine="720"/>
      </w:pPr>
      <w:r>
        <w:rPr>
          <w:rFonts w:ascii="Times New Roman" w:cs="Times New Roman" w:eastAsia="Times New Roman" w:hAnsi="Times New Roman"/>
          <w:color w:val="000000"/>
          <w:sz w:val="24"/>
          <w:szCs w:val="24"/>
        </w:rPr>
        <w:t xml:space="preserve">Las otras dos métricas lo desenmascaran de inmediato: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F1 macro = 0,310.</w:t>
      </w:r>
      <w:r>
        <w:rPr>
          <w:rFonts w:ascii="Times New Roman" w:cs="Times New Roman" w:eastAsia="Times New Roman" w:hAnsi="Times New Roman"/>
          <w:color w:val="000000"/>
          <w:sz w:val="24"/>
          <w:szCs w:val="24"/>
        </w:rPr>
        <w:t xml:space="preserve"> Como promedia las tres clases con igual peso, los ceros de Máximo y Mínimo arrastran el promedio hacia abajo. El 0,310 es esencialmente 0,930 / 3.</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 direccional = 0,000.</w:t>
      </w:r>
      <w:r>
        <w:rPr>
          <w:rFonts w:ascii="Times New Roman" w:cs="Times New Roman" w:eastAsia="Times New Roman" w:hAnsi="Times New Roman"/>
          <w:color w:val="000000"/>
          <w:sz w:val="24"/>
          <w:szCs w:val="24"/>
        </w:rPr>
        <w:t xml:space="preserve"> De los 284 puntos de inflexión reales de la serie no acertó ninguno, porque no anunció ninguno.</w:t>
      </w:r>
    </w:p>
    <w:p>
      <w:pPr>
        <w:spacing w:after="0" w:line="480" w:lineRule="auto"/>
        <w:ind w:firstLine="720"/>
      </w:pPr>
      <w:r>
        <w:rPr>
          <w:rFonts w:ascii="Times New Roman" w:cs="Times New Roman" w:eastAsia="Times New Roman" w:hAnsi="Times New Roman"/>
          <w:color w:val="000000"/>
          <w:sz w:val="24"/>
          <w:szCs w:val="24"/>
        </w:rPr>
        <w:t xml:space="preserve">Es exactamente el tipo de resultado que conviene poner nosotros en el informe antes de que lo pregunten en la exposición.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2.1 Un contraste que lo deja más claro todavía</w:t>
      </w:r>
    </w:p>
    <w:p>
      <w:pPr>
        <w:spacing w:after="0" w:line="480" w:lineRule="auto"/>
        <w:ind w:firstLine="720"/>
      </w:pPr>
      <w:r>
        <w:rPr>
          <w:rFonts w:ascii="Times New Roman" w:cs="Times New Roman" w:eastAsia="Times New Roman" w:hAnsi="Times New Roman"/>
          <w:color w:val="000000"/>
          <w:sz w:val="24"/>
          <w:szCs w:val="24"/>
        </w:rPr>
        <w:t xml:space="preserve">La exactitud no solo infla al modelo inútil: </w:t>
      </w:r>
      <w:r>
        <w:rPr>
          <w:rFonts w:ascii="Times New Roman" w:cs="Times New Roman" w:eastAsia="Times New Roman" w:hAnsi="Times New Roman"/>
          <w:b/>
          <w:bCs/>
          <w:color w:val="000000"/>
          <w:sz w:val="24"/>
          <w:szCs w:val="24"/>
        </w:rPr>
        <w:t xml:space="preserve">puede ordenar los modelos al revés</w:t>
      </w:r>
      <w:r>
        <w:rPr>
          <w:rFonts w:ascii="Times New Roman" w:cs="Times New Roman" w:eastAsia="Times New Roman" w:hAnsi="Times New Roman"/>
          <w:color w:val="000000"/>
          <w:sz w:val="24"/>
          <w:szCs w:val="24"/>
        </w:rPr>
        <w:t xml:space="preserve">. Para mostrarlo se midieron los tres baselines obligatorios (RF-V2) sobre el </w:t>
      </w:r>
      <w:r>
        <w:rPr>
          <w:rFonts w:ascii="Times New Roman" w:cs="Times New Roman" w:eastAsia="Times New Roman" w:hAnsi="Times New Roman"/>
          <w:b/>
          <w:bCs/>
          <w:color w:val="000000"/>
          <w:sz w:val="24"/>
          <w:szCs w:val="24"/>
        </w:rPr>
        <w:t xml:space="preserve">bloque de prueba</w:t>
      </w:r>
      <w:r>
        <w:rPr>
          <w:rFonts w:ascii="Times New Roman" w:cs="Times New Roman" w:eastAsia="Times New Roman" w:hAnsi="Times New Roman"/>
          <w:color w:val="000000"/>
          <w:sz w:val="24"/>
          <w:szCs w:val="24"/>
        </w:rPr>
        <w:t xml:space="preserve"> —el último 15 % cronológico de la serie, con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la frontera—, que es la partición contra la que se evaluarán los modelos reales:</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Los tres baselines sobre el bloque de prueba (11/09/2025 – 04/08/2026),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1170"/>
        <w:gridCol w:w="1170"/>
        <w:gridCol w:w="1170"/>
        <w:gridCol w:w="1170"/>
        <w:gridCol w:w="1170"/>
        <w:gridCol w:w="1170"/>
        <w:gridCol w:w="1170"/>
        <w:gridCol w:w="1170"/>
      </w:tblGrid>
      <w:tr>
        <w:trPr>
          <w:tblHeader/>
        </w:trPr>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Exactitud</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Continuidad</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Trivial (siempre Continuidad)</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Mayoritario</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Aleatorio (semilla 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0,716</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0,065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0,835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docs/evidencias/m2-baselines.json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Léase la tabla por columnas y el punto salta a la vista. </w:t>
      </w:r>
      <w:r>
        <w:rPr>
          <w:rFonts w:ascii="Times New Roman" w:cs="Times New Roman" w:eastAsia="Times New Roman" w:hAnsi="Times New Roman"/>
          <w:b/>
          <w:bCs/>
          <w:color w:val="000000"/>
          <w:sz w:val="24"/>
          <w:szCs w:val="24"/>
        </w:rPr>
        <w:t xml:space="preserve">Por exactitud, el baseline trivial le gana al aleatorio por 14 puntos porcentuales. Por F1 macro, el aleatorio le gana al trivial.</w:t>
      </w:r>
      <w:r>
        <w:rPr>
          <w:rFonts w:ascii="Times New Roman" w:cs="Times New Roman" w:eastAsia="Times New Roman" w:hAnsi="Times New Roman"/>
          <w:color w:val="000000"/>
          <w:sz w:val="24"/>
          <w:szCs w:val="24"/>
        </w:rPr>
        <w:t xml:space="preserve"> Las dos métricas ordenan los mismos dos modelos en sentidos opuestos.</w:t>
      </w:r>
    </w:p>
    <w:p>
      <w:pPr>
        <w:spacing w:after="0" w:line="480" w:lineRule="auto"/>
        <w:ind w:firstLine="720"/>
      </w:pPr>
      <w:r>
        <w:rPr>
          <w:rFonts w:ascii="Times New Roman" w:cs="Times New Roman" w:eastAsia="Times New Roman" w:hAnsi="Times New Roman"/>
          <w:color w:val="000000"/>
          <w:sz w:val="24"/>
          <w:szCs w:val="24"/>
        </w:rP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rFonts w:ascii="Times New Roman" w:cs="Times New Roman" w:eastAsia="Times New Roman" w:hAnsi="Times New Roman"/>
          <w:b/>
          <w:bCs/>
          <w:color w:val="000000"/>
          <w:sz w:val="24"/>
          <w:szCs w:val="24"/>
        </w:rPr>
        <w:t xml:space="preserve">Si la métrica de decisión del proyecto fuera la exactitud, el proyecto premiaría al modelo que no hace nada.</w:t>
      </w:r>
    </w:p>
    <w:p>
      <w:pPr>
        <w:spacing w:after="0" w:line="480" w:lineRule="auto"/>
        <w:ind w:firstLine="720"/>
      </w:pPr>
      <w:r>
        <w:rPr>
          <w:rFonts w:ascii="Times New Roman" w:cs="Times New Roman" w:eastAsia="Times New Roman" w:hAnsi="Times New Roman"/>
          <w:color w:val="000000"/>
          <w:sz w:val="24"/>
          <w:szCs w:val="24"/>
        </w:rPr>
        <w:t xml:space="preserve">Dos observaciones más sobre la tabla, por honestidad:</w:t>
      </w:r>
    </w:p>
    <w:p>
      <w:pPr>
        <w:spacing w:after="0" w:line="480" w:lineRule="auto"/>
        <w:ind w:left="720"/>
      </w:pPr>
      <w:r>
        <w:rPr>
          <w:rFonts w:ascii="Times New Roman" w:cs="Times New Roman" w:eastAsia="Times New Roman" w:hAnsi="Times New Roman"/>
          <w:color w:val="000000"/>
          <w:sz w:val="24"/>
          <w:szCs w:val="24"/>
        </w:rPr>
        <w:t xml:space="preserve">• El baseline </w:t>
      </w:r>
      <w:r>
        <w:rPr>
          <w:rFonts w:ascii="Times New Roman" w:cs="Times New Roman" w:eastAsia="Times New Roman" w:hAnsi="Times New Roman"/>
          <w:b/>
          <w:bCs/>
          <w:color w:val="000000"/>
          <w:sz w:val="24"/>
          <w:szCs w:val="24"/>
        </w:rPr>
        <w:t xml:space="preserve">mayoritario da exactamente lo mismo que el trivial</w:t>
      </w:r>
      <w:r>
        <w:rPr>
          <w:rFonts w:ascii="Times New Roman" w:cs="Times New Roman" w:eastAsia="Times New Roman" w:hAnsi="Times New Roman"/>
          <w:color w:val="000000"/>
          <w:sz w:val="24"/>
          <w:szCs w:val="24"/>
        </w:rPr>
        <w:t xml:space="preserve">, y no es casualidad: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la clase más frecuente en entrenamiento es Continuidad, así que ambos aprenden a responder lo mismo. Se mantienen separados porque si alguna combinación de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cambiara la clase dominante, el mayoritario lo reflejaría y el trivial no.</w:t>
      </w:r>
    </w:p>
    <w:p>
      <w:pPr>
        <w:spacing w:after="0" w:line="480" w:lineRule="auto"/>
        <w:ind w:left="720"/>
      </w:pPr>
      <w:r>
        <w:rPr>
          <w:rFonts w:ascii="Times New Roman" w:cs="Times New Roman" w:eastAsia="Times New Roman" w:hAnsi="Times New Roman"/>
          <w:color w:val="000000"/>
          <w:sz w:val="24"/>
          <w:szCs w:val="24"/>
        </w:rPr>
        <w:t xml:space="preserve">• El baseline aleatorio tiene </w:t>
      </w:r>
      <w:r>
        <w:rPr>
          <w:rFonts w:ascii="Times New Roman" w:cs="Times New Roman" w:eastAsia="Times New Roman" w:hAnsi="Times New Roman"/>
          <w:b/>
          <w:bCs/>
          <w:color w:val="000000"/>
          <w:sz w:val="24"/>
          <w:szCs w:val="24"/>
        </w:rPr>
        <w:t xml:space="preserve">F1 de Máximo igual a 0,000</w:t>
      </w:r>
      <w:r>
        <w:rPr>
          <w:rFonts w:ascii="Times New Roman" w:cs="Times New Roman" w:eastAsia="Times New Roman" w:hAnsi="Times New Roman"/>
          <w:color w:val="000000"/>
          <w:sz w:val="24"/>
          <w:szCs w:val="24"/>
        </w:rPr>
        <w:t xml:space="preserve">: acertó algún mínimo por azar, pero ningún máximo. Con 24 máximos reales en 320 velas, ese resultado es esperable y recuerda que un número obtenido de una sola semilla tiene varianza.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Las métricas que sí usamos</w:t>
      </w:r>
    </w:p>
    <w:p>
      <w:pPr>
        <w:spacing w:after="0" w:line="480" w:lineRule="auto"/>
        <w:ind w:firstLine="720"/>
      </w:pPr>
      <w:r>
        <w:rPr>
          <w:rFonts w:ascii="Times New Roman" w:cs="Times New Roman" w:eastAsia="Times New Roman" w:hAnsi="Times New Roman"/>
          <w:color w:val="000000"/>
          <w:sz w:val="24"/>
          <w:szCs w:val="24"/>
        </w:rPr>
        <w:t xml:space="preserve">Todas provienen de una única función compartida, </w:t>
      </w:r>
      <w:r>
        <w:rPr>
          <w:rFonts w:ascii="Courier New" w:cs="Courier New" w:eastAsia="Courier New" w:hAnsi="Courier New"/>
          <w:color w:val="000000"/>
          <w:sz w:val="22"/>
          <w:szCs w:val="22"/>
        </w:rPr>
        <w:t xml:space="preserve">contracts/metrics.py::evaluar</w:t>
      </w:r>
      <w:r>
        <w:rPr>
          <w:rFonts w:ascii="Times New Roman" w:cs="Times New Roman" w:eastAsia="Times New Roman" w:hAnsi="Times New Roman"/>
          <w:color w:val="000000"/>
          <w:sz w:val="24"/>
          <w:szCs w:val="24"/>
        </w:rP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3.1 F1-Score por clase</w:t>
      </w:r>
    </w:p>
    <w:p>
      <w:pPr>
        <w:spacing w:after="0" w:line="480" w:lineRule="auto"/>
        <w:ind w:firstLine="720"/>
      </w:pPr>
      <w:r>
        <w:rPr>
          <w:rFonts w:ascii="Times New Roman" w:cs="Times New Roman" w:eastAsia="Times New Roman" w:hAnsi="Times New Roman"/>
          <w:color w:val="000000"/>
          <w:sz w:val="24"/>
          <w:szCs w:val="24"/>
        </w:rPr>
        <w:t xml:space="preserve">El F1 combina dos preguntas distintas sobre una misma clase: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w:t>
      </w:r>
      <w:r>
        <w:rPr>
          <w:rFonts w:ascii="Times New Roman" w:cs="Times New Roman" w:eastAsia="Times New Roman" w:hAnsi="Times New Roman"/>
          <w:color w:val="000000"/>
          <w:sz w:val="24"/>
          <w:szCs w:val="24"/>
        </w:rPr>
        <w:t xml:space="preserve"> de todos los giros que el modelo anunció, ¿cuántos eran de verdad giros? Mide cuánto cuesta creerle cuando habla.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i/>
          <w:iCs/>
          <w:color w:val="000000"/>
          <w:sz w:val="24"/>
          <w:szCs w:val="24"/>
        </w:rPr>
        <w:t xml:space="preserve">Exhaustividad (</w:t>
      </w:r>
      <w:r>
        <w:rPr>
          <w:rFonts w:ascii="Times New Roman" w:cs="Times New Roman" w:eastAsia="Times New Roman" w:hAnsi="Times New Roman"/>
          <w:color w:val="000000"/>
          <w:sz w:val="24"/>
          <w:szCs w:val="24"/>
        </w:rPr>
        <w:t xml:space="preserve">recall</w:t>
      </w:r>
      <w:r>
        <w:rPr>
          <w:rFonts w:ascii="Times New Roman" w:cs="Times New Roman" w:eastAsia="Times New Roman" w:hAnsi="Times New Roman"/>
          <w:i/>
          <w:iCs/>
          <w:color w:val="000000"/>
          <w:sz w:val="24"/>
          <w:szCs w:val="24"/>
        </w:rPr>
        <w:t xml:space="preserve">):</w:t>
      </w:r>
      <w:r>
        <w:rPr>
          <w:rFonts w:ascii="Times New Roman" w:cs="Times New Roman" w:eastAsia="Times New Roman" w:hAnsi="Times New Roman"/>
          <w:color w:val="000000"/>
          <w:sz w:val="24"/>
          <w:szCs w:val="24"/>
        </w:rPr>
        <w:t xml:space="preserve">* de todos los giros que de verdad ocurrieron, ¿cuántos anunció? Mide cuánto se pierde.</w:t>
      </w:r>
    </w:p>
    <w:p>
      <w:pPr>
        <w:spacing w:after="0" w:line="480" w:lineRule="auto"/>
        <w:ind w:firstLine="720"/>
      </w:pPr>
      <w:r>
        <w:rPr>
          <w:rFonts w:ascii="Times New Roman" w:cs="Times New Roman" w:eastAsia="Times New Roman" w:hAnsi="Times New Roman"/>
          <w:color w:val="000000"/>
          <w:sz w:val="24"/>
          <w:szCs w:val="24"/>
        </w:rPr>
        <w:t xml:space="preserve">El F1 es su </w:t>
      </w:r>
      <w:r>
        <w:rPr>
          <w:rFonts w:ascii="Times New Roman" w:cs="Times New Roman" w:eastAsia="Times New Roman" w:hAnsi="Times New Roman"/>
          <w:b/>
          <w:bCs/>
          <w:color w:val="000000"/>
          <w:sz w:val="24"/>
          <w:szCs w:val="24"/>
        </w:rPr>
        <w:t xml:space="preserve">media armónica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F1 = 2·P·R / (P+R)</w:t>
      </w:r>
      <w:r>
        <w:rPr>
          <w:rFonts w:ascii="Times New Roman" w:cs="Times New Roman" w:eastAsia="Times New Roman" w:hAnsi="Times New Roman"/>
          <w:color w:val="000000"/>
          <w:sz w:val="24"/>
          <w:szCs w:val="24"/>
        </w:rPr>
        <w:t xml:space="preserve">. Se usa la media armónica y no la aritmética porque la armónica está dominada por el término más pequeño y por lo tanto </w:t>
      </w:r>
      <w:r>
        <w:rPr>
          <w:rFonts w:ascii="Times New Roman" w:cs="Times New Roman" w:eastAsia="Times New Roman" w:hAnsi="Times New Roman"/>
          <w:b/>
          <w:bCs/>
          <w:color w:val="000000"/>
          <w:sz w:val="24"/>
          <w:szCs w:val="24"/>
        </w:rPr>
        <w:t xml:space="preserve">castiga el desequilibrio entre las dos</w:t>
      </w:r>
      <w:r>
        <w:rPr>
          <w:rFonts w:ascii="Times New Roman" w:cs="Times New Roman" w:eastAsia="Times New Roman" w:hAnsi="Times New Roman"/>
          <w:color w:val="000000"/>
          <w:sz w:val="24"/>
          <w:szCs w:val="24"/>
        </w:rPr>
        <w:t xml:space="preserve">.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pPr>
        <w:spacing w:after="0" w:line="480" w:lineRule="auto"/>
        <w:ind w:firstLine="720"/>
      </w:pPr>
      <w:r>
        <w:rPr>
          <w:rFonts w:ascii="Times New Roman" w:cs="Times New Roman" w:eastAsia="Times New Roman" w:hAnsi="Times New Roman"/>
          <w:color w:val="000000"/>
          <w:sz w:val="24"/>
          <w:szCs w:val="24"/>
        </w:rPr>
        <w:t xml:space="preserve">Reportarlo </w:t>
      </w:r>
      <w:r>
        <w:rPr>
          <w:rFonts w:ascii="Times New Roman" w:cs="Times New Roman" w:eastAsia="Times New Roman" w:hAnsi="Times New Roman"/>
          <w:b/>
          <w:bCs/>
          <w:color w:val="000000"/>
          <w:sz w:val="24"/>
          <w:szCs w:val="24"/>
        </w:rPr>
        <w:t xml:space="preserve">por clase</w:t>
      </w:r>
      <w:r>
        <w:rPr>
          <w:rFonts w:ascii="Times New Roman" w:cs="Times New Roman" w:eastAsia="Times New Roman" w:hAnsi="Times New Roman"/>
          <w:color w:val="000000"/>
          <w:sz w:val="24"/>
          <w:szCs w:val="24"/>
        </w:rPr>
        <w:t xml:space="preserve"> y no solo agregado es indispensable aquí, porque las tres clases tienen dificultades muy distintas: Continuidad es fácil por abundancia, y Máximo y Mínimo son el objetivo real del trabajo. En la Tabla 5 se ve que el número agregado esconde dos ceros.</w:t>
      </w:r>
    </w:p>
    <w:p>
      <w:pPr>
        <w:spacing w:after="0" w:line="480" w:lineRule="auto"/>
        <w:ind w:firstLine="720"/>
      </w:pPr>
      <w:r>
        <w:rPr>
          <w:rFonts w:ascii="Times New Roman" w:cs="Times New Roman" w:eastAsia="Times New Roman" w:hAnsi="Times New Roman"/>
          <w:color w:val="000000"/>
          <w:sz w:val="24"/>
          <w:szCs w:val="24"/>
        </w:rPr>
        <w:t xml:space="preserve">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pPr>
        <w:spacing w:after="0" w:line="480" w:lineRule="auto"/>
        <w:ind w:firstLine="720"/>
      </w:pPr>
      <w:r>
        <w:rPr>
          <w:rFonts w:ascii="Times New Roman" w:cs="Times New Roman" w:eastAsia="Times New Roman" w:hAnsi="Times New Roman"/>
          <w:b/>
          <w:bCs/>
          <w:color w:val="000000"/>
          <w:sz w:val="24"/>
          <w:szCs w:val="24"/>
        </w:rPr>
        <w:t xml:space="preserve">Una limitación del F1 que conviene declarar nosotros.</w:t>
      </w:r>
      <w:r>
        <w:rPr>
          <w:rFonts w:ascii="Times New Roman" w:cs="Times New Roman" w:eastAsia="Times New Roman" w:hAnsi="Times New Roman"/>
          <w:color w:val="000000"/>
          <w:sz w:val="24"/>
          <w:szCs w:val="24"/>
        </w:rP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3.2 F1 macro, y por qué no ponderado</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es el promedio simple de los tres F1 por clase. El </w:t>
      </w:r>
      <w:r>
        <w:rPr>
          <w:rFonts w:ascii="Times New Roman" w:cs="Times New Roman" w:eastAsia="Times New Roman" w:hAnsi="Times New Roman"/>
          <w:b/>
          <w:bCs/>
          <w:color w:val="000000"/>
          <w:sz w:val="24"/>
          <w:szCs w:val="24"/>
        </w:rPr>
        <w:t xml:space="preserve">F1 ponderado</w:t>
      </w:r>
      <w:r>
        <w:rPr>
          <w:rFonts w:ascii="Times New Roman" w:cs="Times New Roman" w:eastAsia="Times New Roman" w:hAnsi="Times New Roman"/>
          <w:color w:val="000000"/>
          <w:sz w:val="24"/>
          <w:szCs w:val="24"/>
        </w:rPr>
        <w:t xml:space="preserve"> promedia pesando cada clase por su frecuencia.</w:t>
      </w:r>
    </w:p>
    <w:p>
      <w:pPr>
        <w:spacing w:after="0" w:line="480" w:lineRule="auto"/>
        <w:ind w:firstLine="720"/>
      </w:pPr>
      <w:r>
        <w:rPr>
          <w:rFonts w:ascii="Times New Roman" w:cs="Times New Roman" w:eastAsia="Times New Roman" w:hAnsi="Times New Roman"/>
          <w:color w:val="000000"/>
          <w:sz w:val="24"/>
          <w:szCs w:val="24"/>
        </w:rPr>
        <w:t xml:space="preserve">La elección es macro y es deliberada. Con la distribución de la Tabla 4, el ponderado le daría a Continuidad un peso del 87 % del total, de modo que </w:t>
      </w:r>
      <w:r>
        <w:rPr>
          <w:rFonts w:ascii="Times New Roman" w:cs="Times New Roman" w:eastAsia="Times New Roman" w:hAnsi="Times New Roman"/>
          <w:b/>
          <w:bCs/>
          <w:color w:val="000000"/>
          <w:sz w:val="24"/>
          <w:szCs w:val="24"/>
        </w:rPr>
        <w:t xml:space="preserve">premiaría acertar precisamente la clase que un modelo inútil acierta bien</w:t>
      </w:r>
      <w:r>
        <w:rPr>
          <w:rFonts w:ascii="Times New Roman" w:cs="Times New Roman" w:eastAsia="Times New Roman" w:hAnsi="Times New Roman"/>
          <w:color w:val="000000"/>
          <w:sz w:val="24"/>
          <w:szCs w:val="24"/>
        </w:rPr>
        <w:t xml:space="preserve">. El baseline trivial tendría un F1 ponderado de aproximadamente 0,81 —el 87 % de 0,930— frente a su F1 macro de 0,310. La misma predicción, dos números que cuentan historias opuestas.</w:t>
      </w:r>
    </w:p>
    <w:p>
      <w:pPr>
        <w:spacing w:after="0" w:line="480" w:lineRule="auto"/>
        <w:ind w:firstLine="720"/>
      </w:pPr>
      <w:r>
        <w:rPr>
          <w:rFonts w:ascii="Times New Roman" w:cs="Times New Roman" w:eastAsia="Times New Roman" w:hAnsi="Times New Roman"/>
          <w:color w:val="000000"/>
          <w:sz w:val="24"/>
          <w:szCs w:val="24"/>
        </w:rPr>
        <w:t xml:space="preserve">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pPr>
        <w:spacing w:after="0" w:line="480" w:lineRule="auto"/>
        <w:ind w:firstLine="720"/>
      </w:pPr>
      <w:r>
        <w:rPr>
          <w:rFonts w:ascii="Times New Roman" w:cs="Times New Roman" w:eastAsia="Times New Roman" w:hAnsi="Times New Roman"/>
          <w:color w:val="000000"/>
          <w:sz w:val="24"/>
          <w:szCs w:val="24"/>
        </w:rPr>
        <w:t xml:space="preserve">Hay además un argumento formal contra los promedios ponderados por prevalencia. Farhadpour et al. (2024) muestran que, en clasificación multiclase de etiqueta única, el F1 micro-promediado es </w:t>
      </w:r>
      <w:r>
        <w:rPr>
          <w:rFonts w:ascii="Times New Roman" w:cs="Times New Roman" w:eastAsia="Times New Roman" w:hAnsi="Times New Roman"/>
          <w:b/>
          <w:bCs/>
          <w:color w:val="000000"/>
          <w:sz w:val="24"/>
          <w:szCs w:val="24"/>
        </w:rPr>
        <w:t xml:space="preserve">matemáticamente idéntico a la exactitud global</w:t>
      </w:r>
      <w:r>
        <w:rPr>
          <w:rFonts w:ascii="Times New Roman" w:cs="Times New Roman" w:eastAsia="Times New Roman" w:hAnsi="Times New Roman"/>
          <w:color w:val="000000"/>
          <w:sz w:val="24"/>
          <w:szCs w:val="24"/>
        </w:rPr>
        <w:t xml:space="preserve">,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5 le demuestra a la exactitud. El macro es la única de las tres variantes que puede ordenar los modelos por lo que nos importa.</w:t>
      </w:r>
    </w:p>
    <w:p>
      <w:pPr>
        <w:spacing w:after="0" w:line="480" w:lineRule="auto"/>
        <w:ind w:firstLine="720"/>
      </w:pPr>
      <w:r>
        <w:rPr>
          <w:rFonts w:ascii="Times New Roman" w:cs="Times New Roman" w:eastAsia="Times New Roman" w:hAnsi="Times New Roman"/>
          <w:b/>
          <w:bCs/>
          <w:color w:val="000000"/>
          <w:sz w:val="24"/>
          <w:szCs w:val="24"/>
        </w:rPr>
        <w:t xml:space="preserve">Lo que hay que declarar como costo:</w:t>
      </w:r>
      <w:r>
        <w:rPr>
          <w:rFonts w:ascii="Times New Roman" w:cs="Times New Roman" w:eastAsia="Times New Roman" w:hAnsi="Times New Roman"/>
          <w:color w:val="000000"/>
          <w:sz w:val="24"/>
          <w:szCs w:val="24"/>
        </w:rP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cs="Courier New" w:eastAsia="Courier New" w:hAnsi="Courier New"/>
          <w:color w:val="000000"/>
          <w:sz w:val="22"/>
          <w:szCs w:val="22"/>
        </w:rPr>
        <w:t xml:space="preserve">DELTA_F1_DECISIVO = 0,02</w:t>
      </w:r>
      <w:r>
        <w:rPr>
          <w:rFonts w:ascii="Times New Roman" w:cs="Times New Roman" w:eastAsia="Times New Roman" w:hAnsi="Times New Roman"/>
          <w:color w:val="000000"/>
          <w:sz w:val="24"/>
          <w:szCs w:val="24"/>
        </w:rPr>
        <w:t xml:space="preserve">) fijado antes de medir, en lugar de declarar ganador a cualquier diferencia positiva.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3.3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Definición adoptada:</w:t>
      </w:r>
      <w:r>
        <w:rPr>
          <w:rFonts w:ascii="Times New Roman" w:cs="Times New Roman" w:eastAsia="Times New Roman" w:hAnsi="Times New Roman"/>
          <w:color w:val="000000"/>
          <w:sz w:val="24"/>
          <w:szCs w:val="24"/>
        </w:rPr>
        <w:t xml:space="preserve"> de todas las velas que de verdad fueron Máximo o Mínimo, qué fracción se anunció con el tipo correcto. Las velas de Continuidad se ignoran, porque acertar "aquí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Esta definición es nuestra y hay que decirlo.</w:t>
      </w:r>
      <w:r>
        <w:rPr>
          <w:rFonts w:ascii="Times New Roman" w:cs="Times New Roman" w:eastAsia="Times New Roman" w:hAnsi="Times New Roman"/>
          <w:color w:val="000000"/>
          <w:sz w:val="24"/>
          <w:szCs w:val="24"/>
        </w:rP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explicar cómo se resolvió suma en el criterio de análisis de la rúbrica; dejarla tapada, resta.</w:t>
      </w:r>
    </w:p>
    <w:p>
      <w:pPr>
        <w:spacing w:after="0" w:line="480" w:lineRule="auto"/>
        <w:ind w:firstLine="720"/>
      </w:pPr>
      <w:r>
        <w:rPr>
          <w:rFonts w:ascii="Times New Roman" w:cs="Times New Roman" w:eastAsia="Times New Roman" w:hAnsi="Times New Roman"/>
          <w:color w:val="000000"/>
          <w:sz w:val="24"/>
          <w:szCs w:val="24"/>
        </w:rPr>
        <w:t xml:space="preserve">Dos propiedades de la implementación que conviene explicar: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Devuelve </w:t>
      </w:r>
      <w:r>
        <w:rPr>
          <w:rFonts w:ascii="Courier New" w:cs="Courier New" w:eastAsia="Courier New" w:hAnsi="Courier New"/>
          <w:b/>
          <w:bCs/>
          <w:color w:val="000000"/>
          <w:sz w:val="22"/>
          <w:szCs w:val="22"/>
        </w:rPr>
        <w:t xml:space="preserve">NaN</w:t>
      </w:r>
      <w:r>
        <w:rPr>
          <w:rFonts w:ascii="Times New Roman" w:cs="Times New Roman" w:eastAsia="Times New Roman" w:hAnsi="Times New Roman"/>
          <w:b/>
          <w:bCs/>
          <w:color w:val="000000"/>
          <w:sz w:val="24"/>
          <w:szCs w:val="24"/>
        </w:rPr>
        <w:t xml:space="preserve">, no 0,0, cuando en el período evaluado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en realidad es ausencia de evidencia.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Es ciega a los falsos positivos.</w:t>
      </w:r>
      <w:r>
        <w:rPr>
          <w:rFonts w:ascii="Times New Roman" w:cs="Times New Roman" w:eastAsia="Times New Roman" w:hAnsi="Times New Roman"/>
          <w:color w:val="000000"/>
          <w:sz w:val="24"/>
          <w:szCs w:val="24"/>
        </w:rP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rFonts w:ascii="Times New Roman" w:cs="Times New Roman" w:eastAsia="Times New Roman" w:hAnsi="Times New Roman"/>
          <w:b/>
          <w:bCs/>
          <w:color w:val="000000"/>
          <w:sz w:val="24"/>
          <w:szCs w:val="24"/>
        </w:rPr>
        <w:t xml:space="preserve">nunca se reporta sola</w:t>
      </w:r>
      <w:r>
        <w:rPr>
          <w:rFonts w:ascii="Times New Roman" w:cs="Times New Roman" w:eastAsia="Times New Roman" w:hAnsi="Times New Roman"/>
          <w:color w:val="000000"/>
          <w:sz w:val="24"/>
          <w:szCs w:val="24"/>
        </w:rPr>
        <w:t xml:space="preserve">: acompaña al F1 macro, que sí penaliza los falsos positivos. Es una métrica que responde "cuando hay un giro, ¿le acertamos al tipo?", y esa pregunta solo tiene sentido junto a "¿cuántas veces lo anuncia cuando no lo hay?".</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3.4 Matriz de confusión</w:t>
      </w:r>
    </w:p>
    <w:p>
      <w:pPr>
        <w:spacing w:after="0" w:line="480" w:lineRule="auto"/>
        <w:ind w:firstLine="720"/>
      </w:pPr>
      <w:r>
        <w:rPr>
          <w:rFonts w:ascii="Times New Roman" w:cs="Times New Roman" w:eastAsia="Times New Roman" w:hAnsi="Times New Roman"/>
          <w:color w:val="000000"/>
          <w:sz w:val="24"/>
          <w:szCs w:val="24"/>
        </w:rPr>
        <w:t xml:space="preserve">Es la única de las cuatro que muestra </w:t>
      </w:r>
      <w:r>
        <w:rPr>
          <w:rFonts w:ascii="Times New Roman" w:cs="Times New Roman" w:eastAsia="Times New Roman" w:hAnsi="Times New Roman"/>
          <w:b/>
          <w:bCs/>
          <w:color w:val="000000"/>
          <w:sz w:val="24"/>
          <w:szCs w:val="24"/>
        </w:rPr>
        <w:t xml:space="preserve">qué tipo</w:t>
      </w:r>
      <w:r>
        <w:rPr>
          <w:rFonts w:ascii="Times New Roman" w:cs="Times New Roman" w:eastAsia="Times New Roman" w:hAnsi="Times New Roman"/>
          <w:color w:val="000000"/>
          <w:sz w:val="24"/>
          <w:szCs w:val="24"/>
        </w:rPr>
        <w:t xml:space="preserve"> de error comete el modelo, y en este problema los tipos de error no son equivalentes: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extremo con Continuidad</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detección</w:t>
      </w:r>
      <w:r>
        <w:rPr>
          <w:rFonts w:ascii="Times New Roman" w:cs="Times New Roman" w:eastAsia="Times New Roman" w:hAnsi="Times New Roman"/>
          <w:color w:val="000000"/>
          <w:sz w:val="24"/>
          <w:szCs w:val="24"/>
        </w:rPr>
        <w:t xml:space="preserve">: el sistema se quedó callado cuando había algo que anunciar. Cuesta una oportunidad.</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Máximo con un Mínimo</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dirección</w:t>
      </w:r>
      <w:r>
        <w:rPr>
          <w:rFonts w:ascii="Times New Roman" w:cs="Times New Roman" w:eastAsia="Times New Roman" w:hAnsi="Times New Roman"/>
          <w:color w:val="000000"/>
          <w:sz w:val="24"/>
          <w:szCs w:val="24"/>
        </w:rPr>
        <w:t xml:space="preserve">: el sistema anunció lo contrario de lo que pasaba. En una aplicación real, esa es la diferencia entre no operar y operar en el sentido equivocado.</w:t>
      </w:r>
    </w:p>
    <w:p>
      <w:pPr>
        <w:spacing w:after="0" w:line="480" w:lineRule="auto"/>
        <w:ind w:firstLine="720"/>
      </w:pPr>
      <w:r>
        <w:rPr>
          <w:rFonts w:ascii="Times New Roman" w:cs="Times New Roman" w:eastAsia="Times New Roman" w:hAnsi="Times New Roman"/>
          <w:color w:val="000000"/>
          <w:sz w:val="24"/>
          <w:szCs w:val="24"/>
        </w:rPr>
        <w:t xml:space="preserve">Ningún número agregado distingue esos dos casos; la matriz sí. En la Figura 15 se ve que el baseline trivial concentra todos sus errores en la columna de Continuidad: 24 máximos y 22 mínimos clasificados como "no pasa nada". No comete ni un solo error de dirección, porque nunca anuncia dirección alguna.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3.5 Exactitud</w:t>
      </w:r>
    </w:p>
    <w:p>
      <w:pPr>
        <w:spacing w:after="0" w:line="480" w:lineRule="auto"/>
        <w:ind w:firstLine="720"/>
      </w:pPr>
      <w:r>
        <w:rPr>
          <w:rFonts w:ascii="Times New Roman" w:cs="Times New Roman" w:eastAsia="Times New Roman" w:hAnsi="Times New Roman"/>
          <w:color w:val="000000"/>
          <w:sz w:val="24"/>
          <w:szCs w:val="24"/>
        </w:rPr>
        <w:t xml:space="preserve">Se reporta, pero </w:t>
      </w:r>
      <w:r>
        <w:rPr>
          <w:rFonts w:ascii="Times New Roman" w:cs="Times New Roman" w:eastAsia="Times New Roman" w:hAnsi="Times New Roman"/>
          <w:b/>
          <w:bCs/>
          <w:color w:val="000000"/>
          <w:sz w:val="24"/>
          <w:szCs w:val="24"/>
        </w:rPr>
        <w:t xml:space="preserve">solo para mostrar por qué no sirve</w:t>
      </w:r>
      <w:r>
        <w:rPr>
          <w:rFonts w:ascii="Times New Roman" w:cs="Times New Roman" w:eastAsia="Times New Roman" w:hAnsi="Times New Roman"/>
          <w:color w:val="000000"/>
          <w:sz w:val="24"/>
          <w:szCs w:val="24"/>
        </w:rPr>
        <w:t xml:space="preserve">. Las Tablas 5 y 3 son el argumento completo, y tenerlo medido en el informe es más convincente que argumentarlo.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Una advertencia sobre cómo leer la matriz de confusión de este problema</w:t>
      </w:r>
    </w:p>
    <w:p>
      <w:pPr>
        <w:spacing w:after="0" w:line="480" w:lineRule="auto"/>
        <w:ind w:firstLine="720"/>
      </w:pPr>
      <w:r>
        <w:rPr>
          <w:rFonts w:ascii="Times New Roman" w:cs="Times New Roman" w:eastAsia="Times New Roman" w:hAnsi="Times New Roman"/>
          <w:color w:val="000000"/>
          <w:sz w:val="24"/>
          <w:szCs w:val="24"/>
        </w:rPr>
        <w:t xml:space="preserve">La medición de sensibilidad al ruido de la sección 8.4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arrojó un resultado que condiciona la lectura de todas las métricas anteriores: </w:t>
      </w:r>
      <w:r>
        <w:rPr>
          <w:rFonts w:ascii="Times New Roman" w:cs="Times New Roman" w:eastAsia="Times New Roman" w:hAnsi="Times New Roman"/>
          <w:b/>
          <w:bCs/>
          <w:color w:val="000000"/>
          <w:sz w:val="24"/>
          <w:szCs w:val="24"/>
        </w:rPr>
        <w:t xml:space="preserve">el modo de fallo dominante del etiquetado bajo ruido no es perder giros, es correrlos una vela de lugar</w:t>
      </w:r>
      <w:r>
        <w:rPr>
          <w:rFonts w:ascii="Times New Roman" w:cs="Times New Roman" w:eastAsia="Times New Roman" w:hAnsi="Times New Roman"/>
          <w:color w:val="000000"/>
          <w:sz w:val="24"/>
          <w:szCs w:val="24"/>
        </w:rPr>
        <w:t xml:space="preserve">. Con un ruido equivalente al 72 % del movimiento típico por vela, el detector encuentra el 96,0 % de los giros verdaderos pero solo el 72,9 % cae en la vela exacta.</w:t>
      </w:r>
    </w:p>
    <w:p>
      <w:pPr>
        <w:spacing w:after="0" w:line="480" w:lineRule="auto"/>
        <w:ind w:firstLine="720"/>
      </w:pPr>
      <w:r>
        <w:rPr>
          <w:rFonts w:ascii="Times New Roman" w:cs="Times New Roman" w:eastAsia="Times New Roman" w:hAnsi="Times New Roman"/>
          <w:color w:val="000000"/>
          <w:sz w:val="24"/>
          <w:szCs w:val="24"/>
        </w:rP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rFonts w:ascii="Times New Roman" w:cs="Times New Roman" w:eastAsia="Times New Roman" w:hAnsi="Times New Roman"/>
          <w:b/>
          <w:bCs/>
          <w:color w:val="000000"/>
          <w:sz w:val="24"/>
          <w:szCs w:val="24"/>
        </w:rPr>
        <w:t xml:space="preserve">Conviene tenerlo presente al interpretar los resultados y decirlo explícitamente en el informe</w:t>
      </w:r>
      <w:r>
        <w:rPr>
          <w:rFonts w:ascii="Times New Roman" w:cs="Times New Roman" w:eastAsia="Times New Roman" w:hAnsi="Times New Roman"/>
          <w:color w:val="000000"/>
          <w:sz w:val="24"/>
          <w:szCs w:val="24"/>
        </w:rPr>
        <w:t xml:space="preserve">, porque la diferencia entre "el modelo no detecta los giros" y "el modelo los detecta con un desfase de una vela" es enorme en términos prácticos y nula en términos de F1.</w:t>
      </w:r>
    </w:p>
    <w:p>
      <w:pPr>
        <w:spacing w:after="0" w:line="480" w:lineRule="auto"/>
        <w:ind w:firstLine="720"/>
      </w:pPr>
      <w:r>
        <w:rPr>
          <w:rFonts w:ascii="Times New Roman" w:cs="Times New Roman" w:eastAsia="Times New Roman" w:hAnsi="Times New Roman"/>
          <w:color w:val="000000"/>
          <w:sz w:val="24"/>
          <w:szCs w:val="24"/>
        </w:rPr>
        <w:t xml:space="preserve">No proponemos cambiar las métricas: el enunciado pide estas y la comparación entre modelos tiene que hacerse sobre una definición fija. Lo que proponemos es </w:t>
      </w:r>
      <w:r>
        <w:rPr>
          <w:rFonts w:ascii="Times New Roman" w:cs="Times New Roman" w:eastAsia="Times New Roman" w:hAnsi="Times New Roman"/>
          <w:b/>
          <w:bCs/>
          <w:color w:val="000000"/>
          <w:sz w:val="24"/>
          <w:szCs w:val="24"/>
        </w:rPr>
        <w:t xml:space="preserve">reportar además, como análisis complementario, la distribución del desfase temporal de las detecciones</w:t>
      </w:r>
      <w:r>
        <w:rPr>
          <w:rFonts w:ascii="Times New Roman" w:cs="Times New Roman" w:eastAsia="Times New Roman" w:hAnsi="Times New Roman"/>
          <w:color w:val="000000"/>
          <w:sz w:val="24"/>
          <w:szCs w:val="24"/>
        </w:rPr>
        <w:t xml:space="preserve">, que es información que las cuatro métricas oficiales no pueden expresar.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El baseline como piso obligatorio</w:t>
      </w:r>
    </w:p>
    <w:p>
      <w:pPr>
        <w:spacing w:after="0" w:line="480" w:lineRule="auto"/>
        <w:ind w:firstLine="720"/>
      </w:pPr>
      <w:r>
        <w:rPr>
          <w:rFonts w:ascii="Times New Roman" w:cs="Times New Roman" w:eastAsia="Times New Roman" w:hAnsi="Times New Roman"/>
          <w:color w:val="000000"/>
          <w:sz w:val="24"/>
          <w:szCs w:val="24"/>
        </w:rPr>
        <w:t xml:space="preserve">El criterio de decisión del proyecto, fijado antes de ver ningún resultado:</w:t>
      </w:r>
    </w:p>
    <w:p>
      <w:pPr>
        <w:spacing w:after="0" w:line="480" w:lineRule="auto"/>
        <w:ind w:left="720"/>
      </w:pPr>
      <w:r>
        <w:rPr>
          <w:rFonts w:ascii="Times New Roman" w:cs="Times New Roman" w:eastAsia="Times New Roman" w:hAnsi="Times New Roman"/>
          <w:b/>
          <w:bCs/>
          <w:color w:val="000000"/>
          <w:sz w:val="24"/>
          <w:szCs w:val="24"/>
        </w:rPr>
        <w:t xml:space="preserve">Todo modelo se compara contra los tres baselines, y si no supera al mejor de ellos en F1 macro por al menos </w:t>
      </w:r>
      <w:r>
        <w:rPr>
          <w:rFonts w:ascii="Courier New" w:cs="Courier New" w:eastAsia="Courier New" w:hAnsi="Courier New"/>
          <w:b/>
          <w:bCs/>
          <w:color w:val="000000"/>
          <w:sz w:val="22"/>
          <w:szCs w:val="22"/>
        </w:rPr>
        <w:t xml:space="preserve">DELTA_F1_DECISIVO = 0,02</w:t>
      </w:r>
      <w:r>
        <w:rPr>
          <w:rFonts w:ascii="Times New Roman" w:cs="Times New Roman" w:eastAsia="Times New Roman" w:hAnsi="Times New Roman"/>
          <w:b/>
          <w:bCs/>
          <w:color w:val="000000"/>
          <w:sz w:val="24"/>
          <w:szCs w:val="24"/>
        </w:rPr>
        <w:t xml:space="preserve">, no aporta nada</w:t>
      </w:r>
      <w:r>
        <w:rPr>
          <w:rFonts w:ascii="Times New Roman" w:cs="Times New Roman" w:eastAsia="Times New Roman" w:hAnsi="Times New Roman"/>
          <w:color w:val="000000"/>
          <w:sz w:val="24"/>
          <w:szCs w:val="24"/>
        </w:rPr>
        <w:t xml:space="preserve"> —por mucho que su exactitud impresione en una lámina.</w:t>
      </w:r>
    </w:p>
    <w:p>
      <w:pPr>
        <w:spacing w:after="0" w:line="480" w:lineRule="auto"/>
        <w:ind w:firstLine="720"/>
      </w:pPr>
      <w:r>
        <w:rPr>
          <w:rFonts w:ascii="Times New Roman" w:cs="Times New Roman" w:eastAsia="Times New Roman" w:hAnsi="Times New Roman"/>
          <w:color w:val="000000"/>
          <w:sz w:val="24"/>
          <w:szCs w:val="24"/>
        </w:rPr>
        <w:t xml:space="preserve">Los tres baselines existen porque cada uno descarta una explicación alternativa distinta del resultado de un modelo: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Trivial</w:t>
      </w:r>
      <w:r>
        <w:rPr>
          <w:rFonts w:ascii="Times New Roman" w:cs="Times New Roman" w:eastAsia="Times New Roman" w:hAnsi="Times New Roman"/>
          <w:color w:val="000000"/>
          <w:sz w:val="24"/>
          <w:szCs w:val="24"/>
        </w:rPr>
        <w:t xml:space="preserve"> (siempre Continuidad): descarta que el modelo esté simplemente explotando el desbalance.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Mayoritario</w:t>
      </w:r>
      <w:r>
        <w:rPr>
          <w:rFonts w:ascii="Times New Roman" w:cs="Times New Roman" w:eastAsia="Times New Roman" w:hAnsi="Times New Roman"/>
          <w:color w:val="000000"/>
          <w:sz w:val="24"/>
          <w:szCs w:val="24"/>
        </w:rPr>
        <w:t xml:space="preserve"> (la clase más frecuente del entrenamiento): descarta lo mismo sin asumir de antemano cuál es la clase dominante, de modo que sigue siendo válido si se cambia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Aleatorio</w:t>
      </w:r>
      <w:r>
        <w:rPr>
          <w:rFonts w:ascii="Times New Roman" w:cs="Times New Roman" w:eastAsia="Times New Roman" w:hAnsi="Times New Roman"/>
          <w:color w:val="000000"/>
          <w:sz w:val="24"/>
          <w:szCs w:val="24"/>
        </w:rPr>
        <w:t xml:space="preserve"> (respetando las frecuencias de clase): descarta que los aciertos del modelo sobre las clases raras se expliquen por la frecuencia con que las anuncia. Es el más exigente de los tres en F1 macro, como muestra la Tabla 6, y por eso es el que hay que superar.</w:t>
      </w:r>
    </w:p>
    <w:p>
      <w:pPr>
        <w:spacing w:after="0" w:line="480" w:lineRule="auto"/>
        <w:ind w:firstLine="720"/>
      </w:pPr>
      <w:r>
        <w:rPr>
          <w:rFonts w:ascii="Times New Roman" w:cs="Times New Roman" w:eastAsia="Times New Roman" w:hAnsi="Times New Roman"/>
          <w:color w:val="000000"/>
          <w:sz w:val="24"/>
          <w:szCs w:val="24"/>
        </w:rPr>
        <w:t xml:space="preserve">Que el aleatorio resulte ser el piso más alto en F1 macro (0,320 contra 0,308 del trivial) es en sí mismo un resultado útil: </w:t>
      </w:r>
      <w:r>
        <w:rPr>
          <w:rFonts w:ascii="Times New Roman" w:cs="Times New Roman" w:eastAsia="Times New Roman" w:hAnsi="Times New Roman"/>
          <w:b/>
          <w:bCs/>
          <w:color w:val="000000"/>
          <w:sz w:val="24"/>
          <w:szCs w:val="24"/>
        </w:rPr>
        <w:t xml:space="preserve">fija la vara en el número correcto</w:t>
      </w:r>
      <w:r>
        <w:rPr>
          <w:rFonts w:ascii="Times New Roman" w:cs="Times New Roman" w:eastAsia="Times New Roman" w:hAnsi="Times New Roman"/>
          <w:color w:val="000000"/>
          <w:sz w:val="24"/>
          <w:szCs w:val="24"/>
        </w:rPr>
        <w:t xml:space="preserve">. Un modelo que reportara un F1 macro de 0,31 habría superado al baseline trivial y no habría demostrado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marco teórico desarrollado permite extraer cuatro conclusiones que condicionan de manera directa el diseño del modelo, y que se enuncian aquí porque no son consecuencia de la literatura consultada sino de las mediciones realizadas sobre los datos del proyecto.</w:t>
      </w:r>
    </w:p>
    <w:p>
      <w:pPr>
        <w:spacing w:after="0" w:line="480" w:lineRule="auto"/>
        <w:ind w:firstLine="720"/>
      </w:pPr>
      <w:r>
        <w:rPr>
          <w:rFonts w:ascii="Times New Roman" w:cs="Times New Roman" w:eastAsia="Times New Roman" w:hAnsi="Times New Roman"/>
          <w:b/>
          <w:bCs/>
          <w:color w:val="000000"/>
          <w:sz w:val="24"/>
          <w:szCs w:val="24"/>
        </w:rPr>
        <w:t xml:space="preserve">Primera. La transformación a retornos no es una convención, sino una consecuencia medida.</w:t>
      </w:r>
      <w:r>
        <w:rPr>
          <w:rFonts w:ascii="Times New Roman" w:cs="Times New Roman" w:eastAsia="Times New Roman" w:hAnsi="Times New Roman"/>
          <w:color w:val="000000"/>
          <w:sz w:val="24"/>
          <w:szCs w:val="24"/>
        </w:rP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pPr>
        <w:spacing w:after="0" w:line="480" w:lineRule="auto"/>
        <w:ind w:firstLine="720"/>
      </w:pPr>
      <w:r>
        <w:rPr>
          <w:rFonts w:ascii="Times New Roman" w:cs="Times New Roman" w:eastAsia="Times New Roman" w:hAnsi="Times New Roman"/>
          <w:b/>
          <w:bCs/>
          <w:color w:val="000000"/>
          <w:sz w:val="24"/>
          <w:szCs w:val="24"/>
        </w:rPr>
        <w:t xml:space="preserve">Segunda. La ausencia de autocorrelación lineal en los retornos justifica el enfoque del proyecto.</w:t>
      </w:r>
      <w:r>
        <w:rPr>
          <w:rFonts w:ascii="Times New Roman" w:cs="Times New Roman" w:eastAsia="Times New Roman" w:hAnsi="Times New Roman"/>
          <w:color w:val="000000"/>
          <w:sz w:val="24"/>
          <w:szCs w:val="24"/>
        </w:rP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pPr>
        <w:spacing w:after="0" w:line="480" w:lineRule="auto"/>
        <w:ind w:firstLine="720"/>
      </w:pPr>
      <w:r>
        <w:rPr>
          <w:rFonts w:ascii="Times New Roman" w:cs="Times New Roman" w:eastAsia="Times New Roman" w:hAnsi="Times New Roman"/>
          <w:b/>
          <w:bCs/>
          <w:color w:val="000000"/>
          <w:sz w:val="24"/>
          <w:szCs w:val="24"/>
        </w:rPr>
        <w:t xml:space="preserve">Tercera. La dependencia entre criptoactivos existe, pero debe medirse sobre retornos.</w:t>
      </w:r>
      <w:r>
        <w:rPr>
          <w:rFonts w:ascii="Times New Roman" w:cs="Times New Roman" w:eastAsia="Times New Roman" w:hAnsi="Times New Roman"/>
          <w:color w:val="000000"/>
          <w:sz w:val="24"/>
          <w:szCs w:val="24"/>
        </w:rP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es lo que justifica que el problema se plantee como multivariante: si Litecoin se moviera de forma independiente, las cinco variables de apoyo serían redundantes.</w:t>
      </w:r>
    </w:p>
    <w:p>
      <w:pPr>
        <w:spacing w:after="0" w:line="480" w:lineRule="auto"/>
        <w:ind w:firstLine="720"/>
      </w:pPr>
      <w:r>
        <w:rPr>
          <w:rFonts w:ascii="Times New Roman" w:cs="Times New Roman" w:eastAsia="Times New Roman" w:hAnsi="Times New Roman"/>
          <w:b/>
          <w:bCs/>
          <w:color w:val="000000"/>
          <w:sz w:val="24"/>
          <w:szCs w:val="24"/>
        </w:rPr>
        <w:t xml:space="preserve">Cuarta. El desbalance de clases es estructural y determina la elección de las métricas.</w:t>
      </w:r>
      <w:r>
        <w:rPr>
          <w:rFonts w:ascii="Times New Roman" w:cs="Times New Roman" w:eastAsia="Times New Roman" w:hAnsi="Times New Roman"/>
          <w:color w:val="000000"/>
          <w:sz w:val="24"/>
          <w:szCs w:val="24"/>
        </w:rPr>
        <w:t xml:space="preserve"> Puesto que dos máximos no pueden situarse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observaciones de distancia, a lo sumo una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color w:val="000000"/>
          <w:sz w:val="24"/>
          <w:szCs w:val="24"/>
        </w:rPr>
        <w:t xml:space="preserve">Tres advertencias que conviene explicitar, y que se retomarán en las entregas siguientes.</w:t>
      </w:r>
    </w:p>
    <w:p>
      <w:pPr>
        <w:spacing w:after="0" w:line="480" w:lineRule="auto"/>
        <w:ind w:firstLine="720"/>
      </w:pPr>
      <w:r>
        <w:rPr>
          <w:rFonts w:ascii="Times New Roman" w:cs="Times New Roman" w:eastAsia="Times New Roman" w:hAnsi="Times New Roman"/>
          <w:color w:val="000000"/>
          <w:sz w:val="24"/>
          <w:szCs w:val="24"/>
        </w:rP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la escala del fenómeno estudiado es una elección metodológica y no una propiedad del mercado.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Trabajo siguiente</w:t>
      </w:r>
    </w:p>
    <w:p>
      <w:pPr>
        <w:spacing w:after="0" w:line="480" w:lineRule="auto"/>
        <w:ind w:firstLine="720"/>
      </w:pPr>
      <w:r>
        <w:rPr>
          <w:rFonts w:ascii="Times New Roman" w:cs="Times New Roman" w:eastAsia="Times New Roman" w:hAnsi="Times New Roman"/>
          <w:color w:val="000000"/>
          <w:sz w:val="24"/>
          <w:szCs w:val="24"/>
        </w:rP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de inflexión se documentan en esa entrega, por corresponder a la etapa de extracción de datos del procedimiento.</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Auer, R., &amp; Claessens, S. (2018). Regulating cryptocurrencies: Assessing market reactions. </w:t>
      </w:r>
      <w:r>
        <w:rPr>
          <w:rFonts w:ascii="Times New Roman" w:cs="Times New Roman" w:eastAsia="Times New Roman" w:hAnsi="Times New Roman"/>
          <w:i/>
          <w:iCs/>
          <w:color w:val="000000"/>
          <w:sz w:val="24"/>
          <w:szCs w:val="24"/>
        </w:rPr>
        <w:t xml:space="preserve">BIS Quarterly Review</w:t>
      </w:r>
      <w:r>
        <w:rPr>
          <w:rFonts w:ascii="Times New Roman" w:cs="Times New Roman" w:eastAsia="Times New Roman" w:hAnsi="Times New Roman"/>
          <w:color w:val="000000"/>
          <w:sz w:val="24"/>
          <w:szCs w:val="24"/>
        </w:rPr>
        <w:t xml:space="preserve">, septiembre, 51–65.</w:t>
      </w:r>
    </w:p>
    <w:p>
      <w:pPr>
        <w:spacing w:after="0" w:line="480" w:lineRule="auto"/>
        <w:ind w:left="720" w:hanging="720"/>
      </w:pPr>
      <w:r>
        <w:rPr>
          <w:rFonts w:ascii="Times New Roman" w:cs="Times New Roman" w:eastAsia="Times New Roman" w:hAnsi="Times New Roman"/>
          <w:color w:val="000000"/>
          <w:sz w:val="24"/>
          <w:szCs w:val="24"/>
        </w:rPr>
        <w:t xml:space="preserve">Baur, D. G., Hong, K., &amp; Lee, A. D. (2018). Bitcoin: Medium of exchange or speculative assets? </w:t>
      </w:r>
      <w:r>
        <w:rPr>
          <w:rFonts w:ascii="Times New Roman" w:cs="Times New Roman" w:eastAsia="Times New Roman" w:hAnsi="Times New Roman"/>
          <w:i/>
          <w:iCs/>
          <w:color w:val="000000"/>
          <w:sz w:val="24"/>
          <w:szCs w:val="24"/>
        </w:rPr>
        <w:t xml:space="preserve">Journal of International Financial Markets, Institutions and Money, 54</w:t>
      </w:r>
      <w:r>
        <w:rPr>
          <w:rFonts w:ascii="Times New Roman" w:cs="Times New Roman" w:eastAsia="Times New Roman" w:hAnsi="Times New Roman"/>
          <w:color w:val="000000"/>
          <w:sz w:val="24"/>
          <w:szCs w:val="24"/>
        </w:rPr>
        <w:t xml:space="preserve">, 177–189. https://doi.org/10.1016/j.intfin.2017.12.004</w:t>
      </w:r>
    </w:p>
    <w:p>
      <w:pPr>
        <w:spacing w:after="0" w:line="480" w:lineRule="auto"/>
        <w:ind w:left="720" w:hanging="720"/>
      </w:pPr>
      <w:r>
        <w:rPr>
          <w:rFonts w:ascii="Times New Roman" w:cs="Times New Roman" w:eastAsia="Times New Roman" w:hAnsi="Times New Roman"/>
          <w:color w:val="000000"/>
          <w:sz w:val="24"/>
          <w:szCs w:val="24"/>
        </w:rPr>
        <w:t xml:space="preserve">Bergmeir, C., &amp; Benítez, J. M. (2012). On the use of cross-validation for time series predictor evaluation. </w:t>
      </w:r>
      <w:r>
        <w:rPr>
          <w:rFonts w:ascii="Times New Roman" w:cs="Times New Roman" w:eastAsia="Times New Roman" w:hAnsi="Times New Roman"/>
          <w:i/>
          <w:iCs/>
          <w:color w:val="000000"/>
          <w:sz w:val="24"/>
          <w:szCs w:val="24"/>
        </w:rPr>
        <w:t xml:space="preserve">Information Sciences, 191</w:t>
      </w:r>
      <w:r>
        <w:rPr>
          <w:rFonts w:ascii="Times New Roman" w:cs="Times New Roman" w:eastAsia="Times New Roman" w:hAnsi="Times New Roman"/>
          <w:color w:val="000000"/>
          <w:sz w:val="24"/>
          <w:szCs w:val="24"/>
        </w:rPr>
        <w:t xml:space="preserve">, 192–213. https://doi.org/10.1016/j.ins.2011.12.028</w:t>
      </w:r>
    </w:p>
    <w:p>
      <w:pPr>
        <w:spacing w:after="0" w:line="480" w:lineRule="auto"/>
        <w:ind w:left="720" w:hanging="720"/>
      </w:pPr>
      <w:r>
        <w:rPr>
          <w:rFonts w:ascii="Times New Roman" w:cs="Times New Roman" w:eastAsia="Times New Roman" w:hAnsi="Times New Roman"/>
          <w:color w:val="000000"/>
          <w:sz w:val="24"/>
          <w:szCs w:val="24"/>
        </w:rPr>
        <w:t xml:space="preserve">Blaskowitz, O., &amp; Herwartz, H. (2011). On economic evaluation of directional forecasts. </w:t>
      </w:r>
      <w:r>
        <w:rPr>
          <w:rFonts w:ascii="Times New Roman" w:cs="Times New Roman" w:eastAsia="Times New Roman" w:hAnsi="Times New Roman"/>
          <w:i/>
          <w:iCs/>
          <w:color w:val="000000"/>
          <w:sz w:val="24"/>
          <w:szCs w:val="24"/>
        </w:rPr>
        <w:t xml:space="preserve">International Journal of Forecasting, 27</w:t>
      </w:r>
      <w:r>
        <w:rPr>
          <w:rFonts w:ascii="Times New Roman" w:cs="Times New Roman" w:eastAsia="Times New Roman" w:hAnsi="Times New Roman"/>
          <w:color w:val="000000"/>
          <w:sz w:val="24"/>
          <w:szCs w:val="24"/>
        </w:rPr>
        <w:t xml:space="preserve">(4), 1058–1065. https://doi.org/10.1016/j.ijforecast.2010.07.002</w:t>
      </w:r>
    </w:p>
    <w:p>
      <w:pPr>
        <w:spacing w:after="0" w:line="480" w:lineRule="auto"/>
        <w:ind w:left="720" w:hanging="720"/>
      </w:pPr>
      <w:r>
        <w:rPr>
          <w:rFonts w:ascii="Times New Roman" w:cs="Times New Roman" w:eastAsia="Times New Roman" w:hAnsi="Times New Roman"/>
          <w:color w:val="000000"/>
          <w:sz w:val="24"/>
          <w:szCs w:val="24"/>
        </w:rPr>
        <w:t xml:space="preserve">Böhme, R., Christin, N., Edelman, B., &amp; Moore, T. (2015). Bitcoin: Economics, technology, and governance. </w:t>
      </w:r>
      <w:r>
        <w:rPr>
          <w:rFonts w:ascii="Times New Roman" w:cs="Times New Roman" w:eastAsia="Times New Roman" w:hAnsi="Times New Roman"/>
          <w:i/>
          <w:iCs/>
          <w:color w:val="000000"/>
          <w:sz w:val="24"/>
          <w:szCs w:val="24"/>
        </w:rPr>
        <w:t xml:space="preserve">Journal of Economic Perspectives, 29</w:t>
      </w:r>
      <w:r>
        <w:rPr>
          <w:rFonts w:ascii="Times New Roman" w:cs="Times New Roman" w:eastAsia="Times New Roman" w:hAnsi="Times New Roman"/>
          <w:color w:val="000000"/>
          <w:sz w:val="24"/>
          <w:szCs w:val="24"/>
        </w:rPr>
        <w:t xml:space="preserve">(2), 213–238. https://doi.org/10.1257/jep.29.2.213</w:t>
      </w:r>
    </w:p>
    <w:p>
      <w:pPr>
        <w:spacing w:after="0" w:line="480" w:lineRule="auto"/>
        <w:ind w:left="720" w:hanging="720"/>
      </w:pPr>
      <w:r>
        <w:rPr>
          <w:rFonts w:ascii="Times New Roman" w:cs="Times New Roman" w:eastAsia="Times New Roman" w:hAnsi="Times New Roman"/>
          <w:color w:val="000000"/>
          <w:sz w:val="24"/>
          <w:szCs w:val="24"/>
        </w:rPr>
        <w:t xml:space="preserve">Box, G. E. P., &amp; Pierce, D. A. (1970). Distribution of residual autocorrelations in autoregressive-integrated moving average time series models. </w:t>
      </w:r>
      <w:r>
        <w:rPr>
          <w:rFonts w:ascii="Times New Roman" w:cs="Times New Roman" w:eastAsia="Times New Roman" w:hAnsi="Times New Roman"/>
          <w:i/>
          <w:iCs/>
          <w:color w:val="000000"/>
          <w:sz w:val="24"/>
          <w:szCs w:val="24"/>
        </w:rPr>
        <w:t xml:space="preserve">Journal of the American Statistical Association, 65</w:t>
      </w:r>
      <w:r>
        <w:rPr>
          <w:rFonts w:ascii="Times New Roman" w:cs="Times New Roman" w:eastAsia="Times New Roman" w:hAnsi="Times New Roman"/>
          <w:color w:val="000000"/>
          <w:sz w:val="24"/>
          <w:szCs w:val="24"/>
        </w:rPr>
        <w:t xml:space="preserve">(332), 1509–1526. https://doi.org/10.1080/01621459.1970.10481180</w:t>
      </w:r>
    </w:p>
    <w:p>
      <w:pPr>
        <w:spacing w:after="0" w:line="480" w:lineRule="auto"/>
        <w:ind w:left="720" w:hanging="720"/>
      </w:pPr>
      <w:r>
        <w:rPr>
          <w:rFonts w:ascii="Times New Roman" w:cs="Times New Roman" w:eastAsia="Times New Roman" w:hAnsi="Times New Roman"/>
          <w:color w:val="000000"/>
          <w:sz w:val="24"/>
          <w:szCs w:val="24"/>
        </w:rPr>
        <w:t xml:space="preserve">Box, G. E. P., Jenkins, G. M., Reinsel, G. C., &amp; Ljung, G. M. (2015). </w:t>
      </w:r>
      <w:r>
        <w:rPr>
          <w:rFonts w:ascii="Times New Roman" w:cs="Times New Roman" w:eastAsia="Times New Roman" w:hAnsi="Times New Roman"/>
          <w:i/>
          <w:iCs/>
          <w:color w:val="000000"/>
          <w:sz w:val="24"/>
          <w:szCs w:val="24"/>
        </w:rPr>
        <w:t xml:space="preserve">Time series analysis: Forecasting and control</w:t>
      </w:r>
      <w:r>
        <w:rPr>
          <w:rFonts w:ascii="Times New Roman" w:cs="Times New Roman" w:eastAsia="Times New Roman" w:hAnsi="Times New Roman"/>
          <w:color w:val="000000"/>
          <w:sz w:val="24"/>
          <w:szCs w:val="24"/>
        </w:rPr>
        <w:t xml:space="preserve"> (5th ed.). John Wiley &amp; Sons.</w:t>
      </w:r>
    </w:p>
    <w:p>
      <w:pPr>
        <w:spacing w:after="0" w:line="480" w:lineRule="auto"/>
        <w:ind w:left="720" w:hanging="720"/>
      </w:pPr>
      <w:r>
        <w:rPr>
          <w:rFonts w:ascii="Times New Roman" w:cs="Times New Roman" w:eastAsia="Times New Roman" w:hAnsi="Times New Roman"/>
          <w:color w:val="000000"/>
          <w:sz w:val="24"/>
          <w:szCs w:val="24"/>
        </w:rPr>
        <w:t xml:space="preserve">Caporale, G. M., &amp; Zekokh, T. (2019). Modelling volatility of cryptocurrencies using Markov-Switching GARCH models. </w:t>
      </w:r>
      <w:r>
        <w:rPr>
          <w:rFonts w:ascii="Times New Roman" w:cs="Times New Roman" w:eastAsia="Times New Roman" w:hAnsi="Times New Roman"/>
          <w:i/>
          <w:iCs/>
          <w:color w:val="000000"/>
          <w:sz w:val="24"/>
          <w:szCs w:val="24"/>
        </w:rPr>
        <w:t xml:space="preserve">Research in International Business and Finance, 48</w:t>
      </w:r>
      <w:r>
        <w:rPr>
          <w:rFonts w:ascii="Times New Roman" w:cs="Times New Roman" w:eastAsia="Times New Roman" w:hAnsi="Times New Roman"/>
          <w:color w:val="000000"/>
          <w:sz w:val="24"/>
          <w:szCs w:val="24"/>
        </w:rPr>
        <w:t xml:space="preserve">, 143–155. https://doi.org/10.1016/j.ribaf.2018.12.009</w:t>
      </w:r>
    </w:p>
    <w:p>
      <w:pPr>
        <w:spacing w:after="0" w:line="480" w:lineRule="auto"/>
        <w:ind w:left="720" w:hanging="720"/>
      </w:pPr>
      <w:r>
        <w:rPr>
          <w:rFonts w:ascii="Times New Roman" w:cs="Times New Roman" w:eastAsia="Times New Roman" w:hAnsi="Times New Roman"/>
          <w:color w:val="000000"/>
          <w:sz w:val="24"/>
          <w:szCs w:val="24"/>
        </w:rPr>
        <w:t xml:space="preserve">Chicco, D., &amp; Jurman, G. (2020). The advantages of the Matthews correlation coefficient (MCC) over F1 score and accuracy in binary classification evaluation. </w:t>
      </w:r>
      <w:r>
        <w:rPr>
          <w:rFonts w:ascii="Times New Roman" w:cs="Times New Roman" w:eastAsia="Times New Roman" w:hAnsi="Times New Roman"/>
          <w:i/>
          <w:iCs/>
          <w:color w:val="000000"/>
          <w:sz w:val="24"/>
          <w:szCs w:val="24"/>
        </w:rPr>
        <w:t xml:space="preserve">BMC Genomics, 21</w:t>
      </w:r>
      <w:r>
        <w:rPr>
          <w:rFonts w:ascii="Times New Roman" w:cs="Times New Roman" w:eastAsia="Times New Roman" w:hAnsi="Times New Roman"/>
          <w:color w:val="000000"/>
          <w:sz w:val="24"/>
          <w:szCs w:val="24"/>
        </w:rPr>
        <w:t xml:space="preserve">(1), Artículo 6. https://doi.org/10.1186/s12864-019-6413-7</w:t>
      </w:r>
    </w:p>
    <w:p>
      <w:pPr>
        <w:spacing w:after="0" w:line="480" w:lineRule="auto"/>
        <w:ind w:left="720" w:hanging="720"/>
      </w:pPr>
      <w:r>
        <w:rPr>
          <w:rFonts w:ascii="Times New Roman" w:cs="Times New Roman" w:eastAsia="Times New Roman" w:hAnsi="Times New Roman"/>
          <w:color w:val="000000"/>
          <w:sz w:val="24"/>
          <w:szCs w:val="24"/>
        </w:rPr>
        <w:t xml:space="preserve">Dickey, D. A., &amp; Fuller, W. A. (1979). Distribution of the estimators for autoregressive time series with a unit root. </w:t>
      </w:r>
      <w:r>
        <w:rPr>
          <w:rFonts w:ascii="Times New Roman" w:cs="Times New Roman" w:eastAsia="Times New Roman" w:hAnsi="Times New Roman"/>
          <w:i/>
          <w:iCs/>
          <w:color w:val="000000"/>
          <w:sz w:val="24"/>
          <w:szCs w:val="24"/>
        </w:rPr>
        <w:t xml:space="preserve">Journal of the American Statistical Association, 74</w:t>
      </w:r>
      <w:r>
        <w:rPr>
          <w:rFonts w:ascii="Times New Roman" w:cs="Times New Roman" w:eastAsia="Times New Roman" w:hAnsi="Times New Roman"/>
          <w:color w:val="000000"/>
          <w:sz w:val="24"/>
          <w:szCs w:val="24"/>
        </w:rPr>
        <w:t xml:space="preserve">(366a), 427–431. https://doi.org/10.1080/01621459.1979.10482531</w:t>
      </w:r>
    </w:p>
    <w:p>
      <w:pPr>
        <w:spacing w:after="0" w:line="480" w:lineRule="auto"/>
        <w:ind w:left="720" w:hanging="720"/>
      </w:pPr>
      <w:r>
        <w:rPr>
          <w:rFonts w:ascii="Times New Roman" w:cs="Times New Roman" w:eastAsia="Times New Roman" w:hAnsi="Times New Roman"/>
          <w:color w:val="000000"/>
          <w:sz w:val="24"/>
          <w:szCs w:val="24"/>
        </w:rPr>
        <w:t xml:space="preserve">Engle, R. F. (1982). Autoregressive conditional heteroscedasticity with estimates of the variance of United Kingdom inflation. </w:t>
      </w:r>
      <w:r>
        <w:rPr>
          <w:rFonts w:ascii="Times New Roman" w:cs="Times New Roman" w:eastAsia="Times New Roman" w:hAnsi="Times New Roman"/>
          <w:i/>
          <w:iCs/>
          <w:color w:val="000000"/>
          <w:sz w:val="24"/>
          <w:szCs w:val="24"/>
        </w:rPr>
        <w:t xml:space="preserve">Econometrica, 50</w:t>
      </w:r>
      <w:r>
        <w:rPr>
          <w:rFonts w:ascii="Times New Roman" w:cs="Times New Roman" w:eastAsia="Times New Roman" w:hAnsi="Times New Roman"/>
          <w:color w:val="000000"/>
          <w:sz w:val="24"/>
          <w:szCs w:val="24"/>
        </w:rPr>
        <w:t xml:space="preserve">(4), 987–1007. https://doi.org/10.2307/1912773</w:t>
      </w:r>
    </w:p>
    <w:p>
      <w:pPr>
        <w:spacing w:after="0" w:line="480" w:lineRule="auto"/>
        <w:ind w:left="720" w:hanging="720"/>
      </w:pPr>
      <w:r>
        <w:rPr>
          <w:rFonts w:ascii="Times New Roman" w:cs="Times New Roman" w:eastAsia="Times New Roman" w:hAnsi="Times New Roman"/>
          <w:color w:val="000000"/>
          <w:sz w:val="24"/>
          <w:szCs w:val="24"/>
        </w:rPr>
        <w:t xml:space="preserve">Fama, E. F. (1970). Efficient capital markets: A review of theory and empirical work. </w:t>
      </w:r>
      <w:r>
        <w:rPr>
          <w:rFonts w:ascii="Times New Roman" w:cs="Times New Roman" w:eastAsia="Times New Roman" w:hAnsi="Times New Roman"/>
          <w:i/>
          <w:iCs/>
          <w:color w:val="000000"/>
          <w:sz w:val="24"/>
          <w:szCs w:val="24"/>
        </w:rPr>
        <w:t xml:space="preserve">The Journal of Finance, 25</w:t>
      </w:r>
      <w:r>
        <w:rPr>
          <w:rFonts w:ascii="Times New Roman" w:cs="Times New Roman" w:eastAsia="Times New Roman" w:hAnsi="Times New Roman"/>
          <w:color w:val="000000"/>
          <w:sz w:val="24"/>
          <w:szCs w:val="24"/>
        </w:rPr>
        <w:t xml:space="preserve">(2), 383–417. https://doi.org/10.2307/2325486</w:t>
      </w:r>
    </w:p>
    <w:p>
      <w:pPr>
        <w:spacing w:after="0" w:line="480" w:lineRule="auto"/>
        <w:ind w:left="720" w:hanging="720"/>
      </w:pPr>
      <w:r>
        <w:rPr>
          <w:rFonts w:ascii="Times New Roman" w:cs="Times New Roman" w:eastAsia="Times New Roman" w:hAnsi="Times New Roman"/>
          <w:color w:val="000000"/>
          <w:sz w:val="24"/>
          <w:szCs w:val="24"/>
        </w:rPr>
        <w:t xml:space="preserve">Farhadpour, S., Warner, T. A., &amp; Maxwell, A. E. (2024). Selecting and interpreting multiclass loss and accuracy assessment metrics for classifications with class imbalance: Guidance and best practices. </w:t>
      </w:r>
      <w:r>
        <w:rPr>
          <w:rFonts w:ascii="Times New Roman" w:cs="Times New Roman" w:eastAsia="Times New Roman" w:hAnsi="Times New Roman"/>
          <w:i/>
          <w:iCs/>
          <w:color w:val="000000"/>
          <w:sz w:val="24"/>
          <w:szCs w:val="24"/>
        </w:rPr>
        <w:t xml:space="preserve">Remote Sensing, 16</w:t>
      </w:r>
      <w:r>
        <w:rPr>
          <w:rFonts w:ascii="Times New Roman" w:cs="Times New Roman" w:eastAsia="Times New Roman" w:hAnsi="Times New Roman"/>
          <w:color w:val="000000"/>
          <w:sz w:val="24"/>
          <w:szCs w:val="24"/>
        </w:rPr>
        <w:t xml:space="preserve">(3), Artículo 533. https://doi.org/10.3390/rs16030533</w:t>
      </w:r>
    </w:p>
    <w:p>
      <w:pPr>
        <w:spacing w:after="0" w:line="480" w:lineRule="auto"/>
        <w:ind w:left="720" w:hanging="720"/>
      </w:pPr>
      <w:r>
        <w:rPr>
          <w:rFonts w:ascii="Times New Roman" w:cs="Times New Roman" w:eastAsia="Times New Roman" w:hAnsi="Times New Roman"/>
          <w:color w:val="000000"/>
          <w:sz w:val="24"/>
          <w:szCs w:val="24"/>
        </w:rPr>
        <w:t xml:space="preserve">Financial Action Task Force. (2021). </w:t>
      </w:r>
      <w:r>
        <w:rPr>
          <w:rFonts w:ascii="Times New Roman" w:cs="Times New Roman" w:eastAsia="Times New Roman" w:hAnsi="Times New Roman"/>
          <w:i/>
          <w:iCs/>
          <w:color w:val="000000"/>
          <w:sz w:val="24"/>
          <w:szCs w:val="24"/>
        </w:rPr>
        <w:t xml:space="preserve">Updated guidance for a risk-based approach to virtual assets and virtual asset service providers</w:t>
      </w:r>
      <w:r>
        <w:rPr>
          <w:rFonts w:ascii="Times New Roman" w:cs="Times New Roman" w:eastAsia="Times New Roman" w:hAnsi="Times New Roman"/>
          <w:color w:val="000000"/>
          <w:sz w:val="24"/>
          <w:szCs w:val="24"/>
        </w:rPr>
        <w:t xml:space="preserve">. FATF.</w:t>
      </w:r>
    </w:p>
    <w:p>
      <w:pPr>
        <w:spacing w:after="0" w:line="480" w:lineRule="auto"/>
        <w:ind w:left="720" w:hanging="720"/>
      </w:pPr>
      <w:r>
        <w:rPr>
          <w:rFonts w:ascii="Times New Roman" w:cs="Times New Roman" w:eastAsia="Times New Roman" w:hAnsi="Times New Roman"/>
          <w:color w:val="000000"/>
          <w:sz w:val="24"/>
          <w:szCs w:val="24"/>
        </w:rPr>
        <w:t xml:space="preserve">French, K. R. (1980). Stock returns and the weekend effect. </w:t>
      </w:r>
      <w:r>
        <w:rPr>
          <w:rFonts w:ascii="Times New Roman" w:cs="Times New Roman" w:eastAsia="Times New Roman" w:hAnsi="Times New Roman"/>
          <w:i/>
          <w:iCs/>
          <w:color w:val="000000"/>
          <w:sz w:val="24"/>
          <w:szCs w:val="24"/>
        </w:rPr>
        <w:t xml:space="preserve">Journal of Financial Economics, 8</w:t>
      </w:r>
      <w:r>
        <w:rPr>
          <w:rFonts w:ascii="Times New Roman" w:cs="Times New Roman" w:eastAsia="Times New Roman" w:hAnsi="Times New Roman"/>
          <w:color w:val="000000"/>
          <w:sz w:val="24"/>
          <w:szCs w:val="24"/>
        </w:rPr>
        <w:t xml:space="preserve">(1), 55–69. https://doi.org/10.1016/0304-405X(80)90021-5</w:t>
      </w:r>
    </w:p>
    <w:p>
      <w:pPr>
        <w:spacing w:after="0" w:line="480" w:lineRule="auto"/>
        <w:ind w:left="720" w:hanging="720"/>
      </w:pPr>
      <w:r>
        <w:rPr>
          <w:rFonts w:ascii="Times New Roman" w:cs="Times New Roman" w:eastAsia="Times New Roman" w:hAnsi="Times New Roman"/>
          <w:color w:val="000000"/>
          <w:sz w:val="24"/>
          <w:szCs w:val="24"/>
        </w:rPr>
        <w:t xml:space="preserve">Granger, C. W. J., &amp; Newbold, P. (1974). Spurious regressions in econometrics. </w:t>
      </w:r>
      <w:r>
        <w:rPr>
          <w:rFonts w:ascii="Times New Roman" w:cs="Times New Roman" w:eastAsia="Times New Roman" w:hAnsi="Times New Roman"/>
          <w:i/>
          <w:iCs/>
          <w:color w:val="000000"/>
          <w:sz w:val="24"/>
          <w:szCs w:val="24"/>
        </w:rPr>
        <w:t xml:space="preserve">Journal of Econometrics, 2</w:t>
      </w:r>
      <w:r>
        <w:rPr>
          <w:rFonts w:ascii="Times New Roman" w:cs="Times New Roman" w:eastAsia="Times New Roman" w:hAnsi="Times New Roman"/>
          <w:color w:val="000000"/>
          <w:sz w:val="24"/>
          <w:szCs w:val="24"/>
        </w:rPr>
        <w:t xml:space="preserve">(2), 111–120. https://doi.org/10.1016/0304-4076(74)90034-7</w:t>
      </w:r>
    </w:p>
    <w:p>
      <w:pPr>
        <w:spacing w:after="0" w:line="480" w:lineRule="auto"/>
        <w:ind w:left="720" w:hanging="720"/>
      </w:pPr>
      <w:r>
        <w:rPr>
          <w:rFonts w:ascii="Times New Roman" w:cs="Times New Roman" w:eastAsia="Times New Roman" w:hAnsi="Times New Roman"/>
          <w:color w:val="000000"/>
          <w:sz w:val="24"/>
          <w:szCs w:val="24"/>
        </w:rPr>
        <w:t xml:space="preserve">He, H., &amp; Garcia, E. A. (2009). Learning from imbalanced data. </w:t>
      </w:r>
      <w:r>
        <w:rPr>
          <w:rFonts w:ascii="Times New Roman" w:cs="Times New Roman" w:eastAsia="Times New Roman" w:hAnsi="Times New Roman"/>
          <w:i/>
          <w:iCs/>
          <w:color w:val="000000"/>
          <w:sz w:val="24"/>
          <w:szCs w:val="24"/>
        </w:rPr>
        <w:t xml:space="preserve">IEEE Transactions on Knowledge and Data Engineering, 21</w:t>
      </w:r>
      <w:r>
        <w:rPr>
          <w:rFonts w:ascii="Times New Roman" w:cs="Times New Roman" w:eastAsia="Times New Roman" w:hAnsi="Times New Roman"/>
          <w:color w:val="000000"/>
          <w:sz w:val="24"/>
          <w:szCs w:val="24"/>
        </w:rPr>
        <w:t xml:space="preserve">(9), 1263–1284. https://doi.org/10.1109/TKDE.2008.239</w:t>
      </w:r>
    </w:p>
    <w:p>
      <w:pPr>
        <w:spacing w:after="0" w:line="480" w:lineRule="auto"/>
        <w:ind w:left="720" w:hanging="720"/>
      </w:pPr>
      <w:r>
        <w:rPr>
          <w:rFonts w:ascii="Times New Roman" w:cs="Times New Roman" w:eastAsia="Times New Roman" w:hAnsi="Times New Roman"/>
          <w:color w:val="000000"/>
          <w:sz w:val="24"/>
          <w:szCs w:val="24"/>
        </w:rPr>
        <w:t xml:space="preserve">Ji, Q., Bouri, E., Lau, C. K. M., &amp; Roubaud, D. (2019). Dynamic connectedness and integration in cryptocurrency markets. </w:t>
      </w:r>
      <w:r>
        <w:rPr>
          <w:rFonts w:ascii="Times New Roman" w:cs="Times New Roman" w:eastAsia="Times New Roman" w:hAnsi="Times New Roman"/>
          <w:i/>
          <w:iCs/>
          <w:color w:val="000000"/>
          <w:sz w:val="24"/>
          <w:szCs w:val="24"/>
        </w:rPr>
        <w:t xml:space="preserve">International Review of Financial Analysis, 63</w:t>
      </w:r>
      <w:r>
        <w:rPr>
          <w:rFonts w:ascii="Times New Roman" w:cs="Times New Roman" w:eastAsia="Times New Roman" w:hAnsi="Times New Roman"/>
          <w:color w:val="000000"/>
          <w:sz w:val="24"/>
          <w:szCs w:val="24"/>
        </w:rPr>
        <w:t xml:space="preserve">, 257–272. https://doi.org/10.1016/j.irfa.2018.12.002</w:t>
      </w:r>
    </w:p>
    <w:p>
      <w:pPr>
        <w:spacing w:after="0" w:line="480" w:lineRule="auto"/>
        <w:ind w:left="720" w:hanging="720"/>
      </w:pPr>
      <w:r>
        <w:rPr>
          <w:rFonts w:ascii="Times New Roman" w:cs="Times New Roman" w:eastAsia="Times New Roman" w:hAnsi="Times New Roman"/>
          <w:color w:val="000000"/>
          <w:sz w:val="24"/>
          <w:szCs w:val="24"/>
        </w:rPr>
        <w:t xml:space="preserve">Katsiampa, P. (2017). Volatility estimation for Bitcoin: A comparison of GARCH models. </w:t>
      </w:r>
      <w:r>
        <w:rPr>
          <w:rFonts w:ascii="Times New Roman" w:cs="Times New Roman" w:eastAsia="Times New Roman" w:hAnsi="Times New Roman"/>
          <w:i/>
          <w:iCs/>
          <w:color w:val="000000"/>
          <w:sz w:val="24"/>
          <w:szCs w:val="24"/>
        </w:rPr>
        <w:t xml:space="preserve">Economics Letters, 158</w:t>
      </w:r>
      <w:r>
        <w:rPr>
          <w:rFonts w:ascii="Times New Roman" w:cs="Times New Roman" w:eastAsia="Times New Roman" w:hAnsi="Times New Roman"/>
          <w:color w:val="000000"/>
          <w:sz w:val="24"/>
          <w:szCs w:val="24"/>
        </w:rPr>
        <w:t xml:space="preserve">, 3–6. https://doi.org/10.1016/j.econlet.2017.06.023</w:t>
      </w:r>
    </w:p>
    <w:p>
      <w:pPr>
        <w:spacing w:after="0" w:line="480" w:lineRule="auto"/>
        <w:ind w:left="720" w:hanging="720"/>
      </w:pPr>
      <w:r>
        <w:rPr>
          <w:rFonts w:ascii="Times New Roman" w:cs="Times New Roman" w:eastAsia="Times New Roman" w:hAnsi="Times New Roman"/>
          <w:color w:val="000000"/>
          <w:sz w:val="24"/>
          <w:szCs w:val="24"/>
        </w:rPr>
        <w:t xml:space="preserve">Liu, Y., &amp; Tsyvinski, A. (2021). Risks and returns of cryptocurrency. </w:t>
      </w:r>
      <w:r>
        <w:rPr>
          <w:rFonts w:ascii="Times New Roman" w:cs="Times New Roman" w:eastAsia="Times New Roman" w:hAnsi="Times New Roman"/>
          <w:i/>
          <w:iCs/>
          <w:color w:val="000000"/>
          <w:sz w:val="24"/>
          <w:szCs w:val="24"/>
        </w:rPr>
        <w:t xml:space="preserve">The Review of Financial Studies, 34</w:t>
      </w:r>
      <w:r>
        <w:rPr>
          <w:rFonts w:ascii="Times New Roman" w:cs="Times New Roman" w:eastAsia="Times New Roman" w:hAnsi="Times New Roman"/>
          <w:color w:val="000000"/>
          <w:sz w:val="24"/>
          <w:szCs w:val="24"/>
        </w:rPr>
        <w:t xml:space="preserve">(6), 2689–2727. https://doi.org/10.1093/rfs/hhaa113</w:t>
      </w:r>
    </w:p>
    <w:p>
      <w:pPr>
        <w:spacing w:after="0" w:line="480" w:lineRule="auto"/>
        <w:ind w:left="720" w:hanging="720"/>
      </w:pPr>
      <w:r>
        <w:rPr>
          <w:rFonts w:ascii="Times New Roman" w:cs="Times New Roman" w:eastAsia="Times New Roman" w:hAnsi="Times New Roman"/>
          <w:color w:val="000000"/>
          <w:sz w:val="24"/>
          <w:szCs w:val="24"/>
        </w:rPr>
        <w:t xml:space="preserve">López de Prado, M. (2018). </w:t>
      </w:r>
      <w:r>
        <w:rPr>
          <w:rFonts w:ascii="Times New Roman" w:cs="Times New Roman" w:eastAsia="Times New Roman" w:hAnsi="Times New Roman"/>
          <w:i/>
          <w:iCs/>
          <w:color w:val="000000"/>
          <w:sz w:val="24"/>
          <w:szCs w:val="24"/>
        </w:rPr>
        <w:t xml:space="preserve">Advances in financial machine learning</w:t>
      </w:r>
      <w:r>
        <w:rPr>
          <w:rFonts w:ascii="Times New Roman" w:cs="Times New Roman" w:eastAsia="Times New Roman" w:hAnsi="Times New Roman"/>
          <w:color w:val="000000"/>
          <w:sz w:val="24"/>
          <w:szCs w:val="24"/>
        </w:rPr>
        <w:t xml:space="preserve">. John Wiley &amp; Sons.</w:t>
      </w:r>
    </w:p>
    <w:p>
      <w:pPr>
        <w:spacing w:after="0" w:line="480" w:lineRule="auto"/>
        <w:ind w:left="720" w:hanging="720"/>
      </w:pPr>
      <w:r>
        <w:rPr>
          <w:rFonts w:ascii="Times New Roman" w:cs="Times New Roman" w:eastAsia="Times New Roman" w:hAnsi="Times New Roman"/>
          <w:color w:val="000000"/>
          <w:sz w:val="24"/>
          <w:szCs w:val="24"/>
        </w:rPr>
        <w:t xml:space="preserve">Murphy, J. J. (1999). </w:t>
      </w:r>
      <w:r>
        <w:rPr>
          <w:rFonts w:ascii="Times New Roman" w:cs="Times New Roman" w:eastAsia="Times New Roman" w:hAnsi="Times New Roman"/>
          <w:i/>
          <w:iCs/>
          <w:color w:val="000000"/>
          <w:sz w:val="24"/>
          <w:szCs w:val="24"/>
        </w:rPr>
        <w:t xml:space="preserve">Technical analysis of the financial markets: A comprehensive guide to trading methods and applications</w:t>
      </w:r>
      <w:r>
        <w:rPr>
          <w:rFonts w:ascii="Times New Roman" w:cs="Times New Roman" w:eastAsia="Times New Roman" w:hAnsi="Times New Roman"/>
          <w:color w:val="000000"/>
          <w:sz w:val="24"/>
          <w:szCs w:val="24"/>
        </w:rPr>
        <w:t xml:space="preserve">. New York Institute of Finance.</w:t>
      </w:r>
    </w:p>
    <w:p>
      <w:pPr>
        <w:spacing w:after="0" w:line="480" w:lineRule="auto"/>
        <w:ind w:left="720" w:hanging="720"/>
      </w:pPr>
      <w:r>
        <w:rPr>
          <w:rFonts w:ascii="Times New Roman" w:cs="Times New Roman" w:eastAsia="Times New Roman" w:hAnsi="Times New Roman"/>
          <w:color w:val="000000"/>
          <w:sz w:val="24"/>
          <w:szCs w:val="24"/>
        </w:rPr>
        <w:t xml:space="preserve">Nakamoto, S. (2008). </w:t>
      </w:r>
      <w:r>
        <w:rPr>
          <w:rFonts w:ascii="Times New Roman" w:cs="Times New Roman" w:eastAsia="Times New Roman" w:hAnsi="Times New Roman"/>
          <w:i/>
          <w:iCs/>
          <w:color w:val="000000"/>
          <w:sz w:val="24"/>
          <w:szCs w:val="24"/>
        </w:rPr>
        <w:t xml:space="preserve">Bitcoin: A peer-to-peer electronic cash system</w:t>
      </w:r>
      <w:r>
        <w:rPr>
          <w:rFonts w:ascii="Times New Roman" w:cs="Times New Roman" w:eastAsia="Times New Roman" w:hAnsi="Times New Roman"/>
          <w:color w:val="000000"/>
          <w:sz w:val="24"/>
          <w:szCs w:val="24"/>
        </w:rPr>
        <w:t xml:space="preserve">. https://bitcoin.org/bitcoin.pdf</w:t>
      </w:r>
    </w:p>
    <w:p>
      <w:pPr>
        <w:spacing w:after="0" w:line="480" w:lineRule="auto"/>
        <w:ind w:left="720" w:hanging="720"/>
      </w:pPr>
      <w:r>
        <w:rPr>
          <w:rFonts w:ascii="Times New Roman" w:cs="Times New Roman" w:eastAsia="Times New Roman" w:hAnsi="Times New Roman"/>
          <w:color w:val="000000"/>
          <w:sz w:val="24"/>
          <w:szCs w:val="24"/>
        </w:rPr>
        <w:t xml:space="preserve">Narayanan, A., Bonneau, J., Felten, E., Miller, A., &amp; Goldfeder, S. (2016). </w:t>
      </w:r>
      <w:r>
        <w:rPr>
          <w:rFonts w:ascii="Times New Roman" w:cs="Times New Roman" w:eastAsia="Times New Roman" w:hAnsi="Times New Roman"/>
          <w:i/>
          <w:iCs/>
          <w:color w:val="000000"/>
          <w:sz w:val="24"/>
          <w:szCs w:val="24"/>
        </w:rPr>
        <w:t xml:space="preserve">Bitcoin and cryptocurrency technologies: A comprehensive introduction</w:t>
      </w:r>
      <w:r>
        <w:rPr>
          <w:rFonts w:ascii="Times New Roman" w:cs="Times New Roman" w:eastAsia="Times New Roman" w:hAnsi="Times New Roman"/>
          <w:color w:val="000000"/>
          <w:sz w:val="24"/>
          <w:szCs w:val="24"/>
        </w:rPr>
        <w:t xml:space="preserve">. Princeton University Press.</w:t>
      </w:r>
    </w:p>
    <w:p>
      <w:pPr>
        <w:spacing w:after="0" w:line="480" w:lineRule="auto"/>
        <w:ind w:left="720" w:hanging="720"/>
      </w:pPr>
      <w:r>
        <w:rPr>
          <w:rFonts w:ascii="Times New Roman" w:cs="Times New Roman" w:eastAsia="Times New Roman" w:hAnsi="Times New Roman"/>
          <w:color w:val="000000"/>
          <w:sz w:val="24"/>
          <w:szCs w:val="24"/>
        </w:rPr>
        <w:t xml:space="preserve">Nelson, C. R., &amp; Plosser, C. I. (1982). Trends and random walks in macroeconomic time series: Some evidence and implications. </w:t>
      </w:r>
      <w:r>
        <w:rPr>
          <w:rFonts w:ascii="Times New Roman" w:cs="Times New Roman" w:eastAsia="Times New Roman" w:hAnsi="Times New Roman"/>
          <w:i/>
          <w:iCs/>
          <w:color w:val="000000"/>
          <w:sz w:val="24"/>
          <w:szCs w:val="24"/>
        </w:rPr>
        <w:t xml:space="preserve">Journal of Monetary Economics, 10</w:t>
      </w:r>
      <w:r>
        <w:rPr>
          <w:rFonts w:ascii="Times New Roman" w:cs="Times New Roman" w:eastAsia="Times New Roman" w:hAnsi="Times New Roman"/>
          <w:color w:val="000000"/>
          <w:sz w:val="24"/>
          <w:szCs w:val="24"/>
        </w:rPr>
        <w:t xml:space="preserve">(2), 139–162. https://doi.org/10.1016/0304-3932(82)90012-5</w:t>
      </w:r>
    </w:p>
    <w:p>
      <w:pPr>
        <w:spacing w:after="0" w:line="480" w:lineRule="auto"/>
        <w:ind w:left="720" w:hanging="720"/>
      </w:pPr>
      <w:r>
        <w:rPr>
          <w:rFonts w:ascii="Times New Roman" w:cs="Times New Roman" w:eastAsia="Times New Roman" w:hAnsi="Times New Roman"/>
          <w:color w:val="000000"/>
          <w:sz w:val="24"/>
          <w:szCs w:val="24"/>
        </w:rPr>
        <w:t xml:space="preserve">Said, S. E., &amp; Dickey, D. A. (1984). Testing for unit roots in autoregressive-moving average models of unknown order. </w:t>
      </w:r>
      <w:r>
        <w:rPr>
          <w:rFonts w:ascii="Times New Roman" w:cs="Times New Roman" w:eastAsia="Times New Roman" w:hAnsi="Times New Roman"/>
          <w:i/>
          <w:iCs/>
          <w:color w:val="000000"/>
          <w:sz w:val="24"/>
          <w:szCs w:val="24"/>
        </w:rPr>
        <w:t xml:space="preserve">Biometrika, 71</w:t>
      </w:r>
      <w:r>
        <w:rPr>
          <w:rFonts w:ascii="Times New Roman" w:cs="Times New Roman" w:eastAsia="Times New Roman" w:hAnsi="Times New Roman"/>
          <w:color w:val="000000"/>
          <w:sz w:val="24"/>
          <w:szCs w:val="24"/>
        </w:rPr>
        <w:t xml:space="preserve">(3), 599–607. https://doi.org/10.1093/biomet/71.3.599</w:t>
      </w:r>
    </w:p>
    <w:p>
      <w:pPr>
        <w:spacing w:after="0" w:line="480" w:lineRule="auto"/>
        <w:ind w:left="720" w:hanging="720"/>
      </w:pPr>
      <w:r>
        <w:rPr>
          <w:rFonts w:ascii="Times New Roman" w:cs="Times New Roman" w:eastAsia="Times New Roman" w:hAnsi="Times New Roman"/>
          <w:color w:val="000000"/>
          <w:sz w:val="24"/>
          <w:szCs w:val="24"/>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color w:val="000000"/>
          <w:sz w:val="24"/>
          <w:szCs w:val="24"/>
        </w:rPr>
        <w:t xml:space="preserve">PLOS ONE, 10</w:t>
      </w:r>
      <w:r>
        <w:rPr>
          <w:rFonts w:ascii="Times New Roman" w:cs="Times New Roman" w:eastAsia="Times New Roman" w:hAnsi="Times New Roman"/>
          <w:color w:val="000000"/>
          <w:sz w:val="24"/>
          <w:szCs w:val="24"/>
        </w:rPr>
        <w:t xml:space="preserve">(3), e0118432. https://doi.org/10.1371/journal.pone.0118432</w:t>
      </w:r>
    </w:p>
    <w:p>
      <w:pPr>
        <w:spacing w:after="0" w:line="480" w:lineRule="auto"/>
        <w:ind w:left="720" w:hanging="720"/>
      </w:pPr>
      <w:r>
        <w:rPr>
          <w:rFonts w:ascii="Times New Roman" w:cs="Times New Roman" w:eastAsia="Times New Roman" w:hAnsi="Times New Roman"/>
          <w:color w:val="000000"/>
          <w:sz w:val="24"/>
          <w:szCs w:val="24"/>
        </w:rPr>
        <w:t xml:space="preserve">Sokolova, M., &amp; Lapalme, G. (2009). A systematic analysis of performance measures for classification tasks. </w:t>
      </w:r>
      <w:r>
        <w:rPr>
          <w:rFonts w:ascii="Times New Roman" w:cs="Times New Roman" w:eastAsia="Times New Roman" w:hAnsi="Times New Roman"/>
          <w:i/>
          <w:iCs/>
          <w:color w:val="000000"/>
          <w:sz w:val="24"/>
          <w:szCs w:val="24"/>
        </w:rPr>
        <w:t xml:space="preserve">Information Processing &amp; Management, 45</w:t>
      </w:r>
      <w:r>
        <w:rPr>
          <w:rFonts w:ascii="Times New Roman" w:cs="Times New Roman" w:eastAsia="Times New Roman" w:hAnsi="Times New Roman"/>
          <w:color w:val="000000"/>
          <w:sz w:val="24"/>
          <w:szCs w:val="24"/>
        </w:rPr>
        <w:t xml:space="preserve">(4), 427–437. https://doi.org/10.1016/j.ipm.2009.03.002</w:t>
      </w:r>
    </w:p>
    <w:p>
      <w:pPr>
        <w:spacing w:after="0" w:line="480" w:lineRule="auto"/>
        <w:ind w:left="720" w:hanging="720"/>
      </w:pPr>
      <w:r>
        <w:rPr>
          <w:rFonts w:ascii="Times New Roman" w:cs="Times New Roman" w:eastAsia="Times New Roman" w:hAnsi="Times New Roman"/>
          <w:color w:val="000000"/>
          <w:sz w:val="24"/>
          <w:szCs w:val="24"/>
        </w:rPr>
        <w:t xml:space="preserve">Urquhart, A. (2016). The inefficiency of Bitcoin. </w:t>
      </w:r>
      <w:r>
        <w:rPr>
          <w:rFonts w:ascii="Times New Roman" w:cs="Times New Roman" w:eastAsia="Times New Roman" w:hAnsi="Times New Roman"/>
          <w:i/>
          <w:iCs/>
          <w:color w:val="000000"/>
          <w:sz w:val="24"/>
          <w:szCs w:val="24"/>
        </w:rPr>
        <w:t xml:space="preserve">Economics Letters, 148</w:t>
      </w:r>
      <w:r>
        <w:rPr>
          <w:rFonts w:ascii="Times New Roman" w:cs="Times New Roman" w:eastAsia="Times New Roman" w:hAnsi="Times New Roman"/>
          <w:color w:val="000000"/>
          <w:sz w:val="24"/>
          <w:szCs w:val="24"/>
        </w:rPr>
        <w:t xml:space="preserve">, 80–82. https://doi.org/10.1016/j.econlet.2016.09.019</w:t>
      </w:r>
    </w:p>
    <w:p>
      <w:pPr>
        <w:spacing w:after="0" w:line="480" w:lineRule="auto"/>
        <w:ind w:left="720" w:hanging="720"/>
      </w:pPr>
      <w:r>
        <w:rPr>
          <w:rFonts w:ascii="Times New Roman" w:cs="Times New Roman" w:eastAsia="Times New Roman" w:hAnsi="Times New Roman"/>
          <w:color w:val="000000"/>
          <w:sz w:val="24"/>
          <w:szCs w:val="24"/>
        </w:rPr>
        <w:t xml:space="preserve">Yi, S., Xu, Z., &amp; Wang, G.-J. (2018). Volatility connectedness in the cryptocurrency market: Is Bitcoin a dominant cryptocurrency? </w:t>
      </w:r>
      <w:r>
        <w:rPr>
          <w:rFonts w:ascii="Times New Roman" w:cs="Times New Roman" w:eastAsia="Times New Roman" w:hAnsi="Times New Roman"/>
          <w:i/>
          <w:iCs/>
          <w:color w:val="000000"/>
          <w:sz w:val="24"/>
          <w:szCs w:val="24"/>
        </w:rPr>
        <w:t xml:space="preserve">International Review of Financial Analysis, 60</w:t>
      </w:r>
      <w:r>
        <w:rPr>
          <w:rFonts w:ascii="Times New Roman" w:cs="Times New Roman" w:eastAsia="Times New Roman" w:hAnsi="Times New Roman"/>
          <w:color w:val="000000"/>
          <w:sz w:val="24"/>
          <w:szCs w:val="24"/>
        </w:rPr>
        <w:t xml:space="preserve">, 98–114. https://doi.org/10.1016/j.irfa.2018.08.012</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4b981092cfe81fb8a2f5f36d0673e036d7704374.png"/><Relationship Id="rId13" Type="http://schemas.openxmlformats.org/officeDocument/2006/relationships/image" Target="media/98a014322f5ebac91ca933377d0c96ab11d26758.png"/><Relationship Id="rId14" Type="http://schemas.openxmlformats.org/officeDocument/2006/relationships/image" Target="media/e6dc4c705032066536a998209e3f7cdc70575cb7.png"/><Relationship Id="rId15" Type="http://schemas.openxmlformats.org/officeDocument/2006/relationships/image" Target="media/2b3d27b2e8a08f141354f58649d502a156693102.png"/><Relationship Id="rId16" Type="http://schemas.openxmlformats.org/officeDocument/2006/relationships/image" Target="media/7b02f39a572b8c2821403d60cd06aef6e297bae5.png"/><Relationship Id="rId17" Type="http://schemas.openxmlformats.org/officeDocument/2006/relationships/image" Target="media/2d533aaf96c3766b7a850e972c8bceec58e2a740.png"/><Relationship Id="rId18" Type="http://schemas.openxmlformats.org/officeDocument/2006/relationships/image" Target="media/76c9598bde8094b10ac3e90a8e4f60449657df4b.png"/><Relationship Id="rId19" Type="http://schemas.openxmlformats.org/officeDocument/2006/relationships/image" Target="media/76617eb0ef2db9d0a11b5c3a9b3fa15e568452db.png"/><Relationship Id="rId20" Type="http://schemas.openxmlformats.org/officeDocument/2006/relationships/image" Target="media/43105353448ba56953524c34bfa1b9a746ca5e61.png"/><Relationship Id="rId21" Type="http://schemas.openxmlformats.org/officeDocument/2006/relationships/image" Target="media/6a042c6db7f01f3c08915cfc0a6402162a713a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2026-08-20T04:26:46.472Z</dcterms:created>
  <dcterms:modified xsi:type="dcterms:W3CDTF">2026-08-20T04:26:46.473Z</dcterms:modified>
</cp:coreProperties>
</file>

<file path=docProps/custom.xml><?xml version="1.0" encoding="utf-8"?>
<Properties xmlns="http://schemas.openxmlformats.org/officeDocument/2006/custom-properties" xmlns:vt="http://schemas.openxmlformats.org/officeDocument/2006/docPropsVTypes"/>
</file>