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B1B04" w14:textId="77777777" w:rsidR="008D2D62" w:rsidRDefault="008D2D62">
      <w:pPr>
        <w:jc w:val="center"/>
      </w:pPr>
    </w:p>
    <w:p w14:paraId="7DE85F49" w14:textId="77777777" w:rsidR="008D2D62" w:rsidRDefault="008D2D62">
      <w:pPr>
        <w:jc w:val="center"/>
      </w:pPr>
    </w:p>
    <w:p w14:paraId="569C7705" w14:textId="77777777" w:rsidR="008D2D62" w:rsidRDefault="008D2D62">
      <w:pPr>
        <w:jc w:val="center"/>
      </w:pPr>
    </w:p>
    <w:p w14:paraId="4B8ECC43" w14:textId="77777777" w:rsidR="008D2D62" w:rsidRDefault="00A327E2">
      <w:pPr>
        <w:jc w:val="center"/>
      </w:pPr>
      <w:r>
        <w:rPr>
          <w:b/>
          <w:bCs/>
        </w:rPr>
        <w:t>Sistema de Pronóstico de Puntos de Inflexión en el Precio de</w:t>
      </w:r>
    </w:p>
    <w:p w14:paraId="403F1130" w14:textId="77777777" w:rsidR="008D2D62" w:rsidRDefault="00A327E2">
      <w:pPr>
        <w:jc w:val="center"/>
      </w:pPr>
      <w:r>
        <w:rPr>
          <w:b/>
          <w:bCs/>
        </w:rPr>
        <w:t>Litecoin (LTC) mediante Análisis Multivariante de Series Temporales</w:t>
      </w:r>
    </w:p>
    <w:p w14:paraId="4E833906" w14:textId="77777777" w:rsidR="008D2D62" w:rsidRDefault="008D2D62">
      <w:pPr>
        <w:jc w:val="center"/>
      </w:pPr>
    </w:p>
    <w:p w14:paraId="1B2F8C2D" w14:textId="77777777" w:rsidR="008D2D62" w:rsidRDefault="00A327E2">
      <w:pPr>
        <w:jc w:val="center"/>
      </w:pPr>
      <w:r>
        <w:t>Marco Teórico: Series de Tiempo y Criptoactivos</w:t>
      </w:r>
    </w:p>
    <w:p w14:paraId="0A214A88" w14:textId="77777777" w:rsidR="008D2D62" w:rsidRDefault="008D2D62">
      <w:pPr>
        <w:jc w:val="center"/>
      </w:pPr>
    </w:p>
    <w:p w14:paraId="3A34EF04" w14:textId="77777777" w:rsidR="008D2D62" w:rsidRDefault="008D2D62">
      <w:pPr>
        <w:jc w:val="center"/>
      </w:pPr>
    </w:p>
    <w:p w14:paraId="1BC23B5B" w14:textId="77777777" w:rsidR="008D2D62" w:rsidRDefault="00A327E2">
      <w:pPr>
        <w:jc w:val="center"/>
      </w:pPr>
      <w:r>
        <w:t>Alejandro Zamora, Fabrizio Espinoza Arce, Isaac Morun</w:t>
      </w:r>
    </w:p>
    <w:p w14:paraId="056BCFCE" w14:textId="77777777" w:rsidR="008D2D62" w:rsidRDefault="00A327E2">
      <w:pPr>
        <w:jc w:val="center"/>
      </w:pPr>
      <w:r>
        <w:t>y Jose Pablo Monestel</w:t>
      </w:r>
    </w:p>
    <w:p w14:paraId="140FB8BA" w14:textId="77777777" w:rsidR="008D2D62" w:rsidRDefault="008D2D62">
      <w:pPr>
        <w:jc w:val="center"/>
      </w:pPr>
    </w:p>
    <w:p w14:paraId="3A2E7576" w14:textId="77777777" w:rsidR="008D2D62" w:rsidRDefault="00A327E2">
      <w:pPr>
        <w:jc w:val="center"/>
      </w:pPr>
      <w:r>
        <w:t>Tecnologías de la Información y Comunicación Empresarial,</w:t>
      </w:r>
    </w:p>
    <w:p w14:paraId="235D0B0F" w14:textId="77777777" w:rsidR="008D2D62" w:rsidRDefault="00A327E2">
      <w:pPr>
        <w:jc w:val="center"/>
      </w:pPr>
      <w:r>
        <w:t>Universidad Invenio</w:t>
      </w:r>
    </w:p>
    <w:p w14:paraId="437DF419" w14:textId="77777777" w:rsidR="008D2D62" w:rsidRDefault="00A327E2">
      <w:pPr>
        <w:jc w:val="center"/>
      </w:pPr>
      <w:r>
        <w:t>Señales y Sistemas</w:t>
      </w:r>
    </w:p>
    <w:p w14:paraId="520A3F05" w14:textId="77777777" w:rsidR="008D2D62" w:rsidRDefault="00A327E2">
      <w:pPr>
        <w:jc w:val="center"/>
      </w:pPr>
      <w:r>
        <w:t>Prof. Roberto Calvo Arias</w:t>
      </w:r>
    </w:p>
    <w:p w14:paraId="6E2077C8" w14:textId="77777777" w:rsidR="008D2D62" w:rsidRDefault="00A327E2">
      <w:pPr>
        <w:jc w:val="center"/>
      </w:pPr>
      <w:r>
        <w:t>18 de agosto de 2026</w:t>
      </w:r>
    </w:p>
    <w:p w14:paraId="6EA0331B" w14:textId="77777777" w:rsidR="008D2D62" w:rsidRDefault="00A327E2">
      <w:r>
        <w:br w:type="page"/>
      </w:r>
    </w:p>
    <w:p w14:paraId="12D591F7" w14:textId="77777777" w:rsidR="008D2D62" w:rsidRDefault="00A327E2">
      <w:pPr>
        <w:keepNext/>
        <w:jc w:val="center"/>
      </w:pPr>
      <w:r>
        <w:rPr>
          <w:b/>
          <w:bCs/>
        </w:rPr>
        <w:lastRenderedPageBreak/>
        <w:t>Tabla de Contenido</w:t>
      </w:r>
    </w:p>
    <w:sdt>
      <w:sdtPr>
        <w:alias w:val="Contenido"/>
        <w:id w:val="-1552072061"/>
      </w:sdtPr>
      <w:sdtEndPr/>
      <w:sdtContent>
        <w:p w14:paraId="024559A9" w14:textId="151442F2" w:rsidR="00B91E75" w:rsidRDefault="00A327E2">
          <w:pPr>
            <w:pStyle w:val="TDC1"/>
            <w:tabs>
              <w:tab w:val="right" w:leader="dot" w:pos="9350"/>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38156090" w:history="1">
            <w:r w:rsidR="00B91E75" w:rsidRPr="006922DC">
              <w:rPr>
                <w:rStyle w:val="Hipervnculo"/>
                <w:noProof/>
              </w:rPr>
              <w:t>Sistema de Pronóstico de Puntos de Inflexión en el Precio de Litecoin</w:t>
            </w:r>
            <w:r w:rsidR="00B91E75">
              <w:rPr>
                <w:noProof/>
              </w:rPr>
              <w:tab/>
            </w:r>
            <w:r w:rsidR="00B91E75">
              <w:rPr>
                <w:noProof/>
              </w:rPr>
              <w:fldChar w:fldCharType="begin"/>
            </w:r>
            <w:r w:rsidR="00B91E75">
              <w:rPr>
                <w:noProof/>
              </w:rPr>
              <w:instrText xml:space="preserve"> PAGEREF _Toc238156090 \h </w:instrText>
            </w:r>
            <w:r w:rsidR="00B91E75">
              <w:rPr>
                <w:noProof/>
              </w:rPr>
            </w:r>
            <w:r w:rsidR="00B91E75">
              <w:rPr>
                <w:noProof/>
              </w:rPr>
              <w:fldChar w:fldCharType="separate"/>
            </w:r>
            <w:r w:rsidR="00B91E75">
              <w:rPr>
                <w:noProof/>
              </w:rPr>
              <w:t>4</w:t>
            </w:r>
            <w:r w:rsidR="00B91E75">
              <w:rPr>
                <w:noProof/>
              </w:rPr>
              <w:fldChar w:fldCharType="end"/>
            </w:r>
          </w:hyperlink>
        </w:p>
        <w:p w14:paraId="398D6CCE" w14:textId="011D1066" w:rsidR="00B91E75" w:rsidRDefault="00B91E75">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8156091" w:history="1">
            <w:r w:rsidRPr="006922DC">
              <w:rPr>
                <w:rStyle w:val="Hipervnculo"/>
                <w:noProof/>
              </w:rPr>
              <w:t>Modelos Estadísticos y de Aprendizaje Automático para Series Temporales</w:t>
            </w:r>
            <w:r>
              <w:rPr>
                <w:noProof/>
              </w:rPr>
              <w:tab/>
            </w:r>
            <w:r>
              <w:rPr>
                <w:noProof/>
              </w:rPr>
              <w:fldChar w:fldCharType="begin"/>
            </w:r>
            <w:r>
              <w:rPr>
                <w:noProof/>
              </w:rPr>
              <w:instrText xml:space="preserve"> PAGEREF _Toc238156091 \h </w:instrText>
            </w:r>
            <w:r>
              <w:rPr>
                <w:noProof/>
              </w:rPr>
            </w:r>
            <w:r>
              <w:rPr>
                <w:noProof/>
              </w:rPr>
              <w:fldChar w:fldCharType="separate"/>
            </w:r>
            <w:r>
              <w:rPr>
                <w:noProof/>
              </w:rPr>
              <w:t>5</w:t>
            </w:r>
            <w:r>
              <w:rPr>
                <w:noProof/>
              </w:rPr>
              <w:fldChar w:fldCharType="end"/>
            </w:r>
          </w:hyperlink>
        </w:p>
        <w:p w14:paraId="0193EE76" w14:textId="615DC32E" w:rsidR="00B91E75" w:rsidRDefault="00B91E75">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92" w:history="1">
            <w:r w:rsidRPr="006922DC">
              <w:rPr>
                <w:rStyle w:val="Hipervnculo"/>
                <w:noProof/>
              </w:rPr>
              <w:t>1. Modelos fundacionales de series de tiempo (TSFMs)</w:t>
            </w:r>
            <w:r>
              <w:rPr>
                <w:noProof/>
              </w:rPr>
              <w:tab/>
            </w:r>
            <w:r>
              <w:rPr>
                <w:noProof/>
              </w:rPr>
              <w:fldChar w:fldCharType="begin"/>
            </w:r>
            <w:r>
              <w:rPr>
                <w:noProof/>
              </w:rPr>
              <w:instrText xml:space="preserve"> PAGEREF _Toc238156092 \h </w:instrText>
            </w:r>
            <w:r>
              <w:rPr>
                <w:noProof/>
              </w:rPr>
            </w:r>
            <w:r>
              <w:rPr>
                <w:noProof/>
              </w:rPr>
              <w:fldChar w:fldCharType="separate"/>
            </w:r>
            <w:r>
              <w:rPr>
                <w:noProof/>
              </w:rPr>
              <w:t>5</w:t>
            </w:r>
            <w:r>
              <w:rPr>
                <w:noProof/>
              </w:rPr>
              <w:fldChar w:fldCharType="end"/>
            </w:r>
          </w:hyperlink>
        </w:p>
        <w:p w14:paraId="232FE442" w14:textId="0A6A1921" w:rsidR="00B91E75" w:rsidRDefault="00B91E75">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93" w:history="1">
            <w:r w:rsidRPr="006922DC">
              <w:rPr>
                <w:rStyle w:val="Hipervnculo"/>
                <w:noProof/>
              </w:rPr>
              <w:t>2. VTA (Verbal Technical Analysis)</w:t>
            </w:r>
            <w:r>
              <w:rPr>
                <w:noProof/>
              </w:rPr>
              <w:tab/>
            </w:r>
            <w:r>
              <w:rPr>
                <w:noProof/>
              </w:rPr>
              <w:fldChar w:fldCharType="begin"/>
            </w:r>
            <w:r>
              <w:rPr>
                <w:noProof/>
              </w:rPr>
              <w:instrText xml:space="preserve"> PAGEREF _Toc238156093 \h </w:instrText>
            </w:r>
            <w:r>
              <w:rPr>
                <w:noProof/>
              </w:rPr>
            </w:r>
            <w:r>
              <w:rPr>
                <w:noProof/>
              </w:rPr>
              <w:fldChar w:fldCharType="separate"/>
            </w:r>
            <w:r>
              <w:rPr>
                <w:noProof/>
              </w:rPr>
              <w:t>7</w:t>
            </w:r>
            <w:r>
              <w:rPr>
                <w:noProof/>
              </w:rPr>
              <w:fldChar w:fldCharType="end"/>
            </w:r>
          </w:hyperlink>
        </w:p>
        <w:p w14:paraId="7F548513" w14:textId="365B2954" w:rsidR="00B91E75" w:rsidRDefault="00B91E75">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94" w:history="1">
            <w:r w:rsidRPr="006922DC">
              <w:rPr>
                <w:rStyle w:val="Hipervnculo"/>
                <w:noProof/>
              </w:rPr>
              <w:t>3. FinLSPM (Large Stock Predict Model)</w:t>
            </w:r>
            <w:r>
              <w:rPr>
                <w:noProof/>
              </w:rPr>
              <w:tab/>
            </w:r>
            <w:r>
              <w:rPr>
                <w:noProof/>
              </w:rPr>
              <w:fldChar w:fldCharType="begin"/>
            </w:r>
            <w:r>
              <w:rPr>
                <w:noProof/>
              </w:rPr>
              <w:instrText xml:space="preserve"> PAGEREF _Toc238156094 \h </w:instrText>
            </w:r>
            <w:r>
              <w:rPr>
                <w:noProof/>
              </w:rPr>
            </w:r>
            <w:r>
              <w:rPr>
                <w:noProof/>
              </w:rPr>
              <w:fldChar w:fldCharType="separate"/>
            </w:r>
            <w:r>
              <w:rPr>
                <w:noProof/>
              </w:rPr>
              <w:t>8</w:t>
            </w:r>
            <w:r>
              <w:rPr>
                <w:noProof/>
              </w:rPr>
              <w:fldChar w:fldCharType="end"/>
            </w:r>
          </w:hyperlink>
        </w:p>
        <w:p w14:paraId="68823215" w14:textId="49B10E2C" w:rsidR="00B91E75" w:rsidRDefault="00B91E75">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95" w:history="1">
            <w:r w:rsidRPr="006922DC">
              <w:rPr>
                <w:rStyle w:val="Hipervnculo"/>
                <w:noProof/>
              </w:rPr>
              <w:t>4. CryptoMamba</w:t>
            </w:r>
            <w:r>
              <w:rPr>
                <w:noProof/>
              </w:rPr>
              <w:tab/>
            </w:r>
            <w:r>
              <w:rPr>
                <w:noProof/>
              </w:rPr>
              <w:fldChar w:fldCharType="begin"/>
            </w:r>
            <w:r>
              <w:rPr>
                <w:noProof/>
              </w:rPr>
              <w:instrText xml:space="preserve"> PAGEREF _Toc238156095 \h </w:instrText>
            </w:r>
            <w:r>
              <w:rPr>
                <w:noProof/>
              </w:rPr>
            </w:r>
            <w:r>
              <w:rPr>
                <w:noProof/>
              </w:rPr>
              <w:fldChar w:fldCharType="separate"/>
            </w:r>
            <w:r>
              <w:rPr>
                <w:noProof/>
              </w:rPr>
              <w:t>9</w:t>
            </w:r>
            <w:r>
              <w:rPr>
                <w:noProof/>
              </w:rPr>
              <w:fldChar w:fldCharType="end"/>
            </w:r>
          </w:hyperlink>
        </w:p>
        <w:p w14:paraId="65C841BE" w14:textId="5B08C80E" w:rsidR="00B91E75" w:rsidRDefault="00B91E75">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96" w:history="1">
            <w:r w:rsidRPr="006922DC">
              <w:rPr>
                <w:rStyle w:val="Hipervnculo"/>
                <w:noProof/>
              </w:rPr>
              <w:t>5. Transformer</w:t>
            </w:r>
            <w:r>
              <w:rPr>
                <w:noProof/>
              </w:rPr>
              <w:tab/>
            </w:r>
            <w:r>
              <w:rPr>
                <w:noProof/>
              </w:rPr>
              <w:fldChar w:fldCharType="begin"/>
            </w:r>
            <w:r>
              <w:rPr>
                <w:noProof/>
              </w:rPr>
              <w:instrText xml:space="preserve"> PAGEREF _Toc238156096 \h </w:instrText>
            </w:r>
            <w:r>
              <w:rPr>
                <w:noProof/>
              </w:rPr>
            </w:r>
            <w:r>
              <w:rPr>
                <w:noProof/>
              </w:rPr>
              <w:fldChar w:fldCharType="separate"/>
            </w:r>
            <w:r>
              <w:rPr>
                <w:noProof/>
              </w:rPr>
              <w:t>10</w:t>
            </w:r>
            <w:r>
              <w:rPr>
                <w:noProof/>
              </w:rPr>
              <w:fldChar w:fldCharType="end"/>
            </w:r>
          </w:hyperlink>
        </w:p>
        <w:p w14:paraId="4E8F085D" w14:textId="54FD68EF" w:rsidR="00B91E75" w:rsidRDefault="00B91E75">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97" w:history="1">
            <w:r w:rsidRPr="006922DC">
              <w:rPr>
                <w:rStyle w:val="Hipervnculo"/>
                <w:noProof/>
              </w:rPr>
              <w:t>6. Justificación de la elección de modelo</w:t>
            </w:r>
            <w:r>
              <w:rPr>
                <w:noProof/>
              </w:rPr>
              <w:tab/>
            </w:r>
            <w:r>
              <w:rPr>
                <w:noProof/>
              </w:rPr>
              <w:fldChar w:fldCharType="begin"/>
            </w:r>
            <w:r>
              <w:rPr>
                <w:noProof/>
              </w:rPr>
              <w:instrText xml:space="preserve"> PAGEREF _Toc238156097 \h </w:instrText>
            </w:r>
            <w:r>
              <w:rPr>
                <w:noProof/>
              </w:rPr>
            </w:r>
            <w:r>
              <w:rPr>
                <w:noProof/>
              </w:rPr>
              <w:fldChar w:fldCharType="separate"/>
            </w:r>
            <w:r>
              <w:rPr>
                <w:noProof/>
              </w:rPr>
              <w:t>12</w:t>
            </w:r>
            <w:r>
              <w:rPr>
                <w:noProof/>
              </w:rPr>
              <w:fldChar w:fldCharType="end"/>
            </w:r>
          </w:hyperlink>
        </w:p>
        <w:p w14:paraId="6040B8AA" w14:textId="1D8F7847" w:rsidR="00B91E75" w:rsidRDefault="00B91E75">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8156098" w:history="1">
            <w:r w:rsidRPr="006922DC">
              <w:rPr>
                <w:rStyle w:val="Hipervnculo"/>
                <w:noProof/>
              </w:rPr>
              <w:t>Procedimiento para Desarrollar el Modelo de Puntos de Inflexión</w:t>
            </w:r>
            <w:r>
              <w:rPr>
                <w:noProof/>
              </w:rPr>
              <w:tab/>
            </w:r>
            <w:r>
              <w:rPr>
                <w:noProof/>
              </w:rPr>
              <w:fldChar w:fldCharType="begin"/>
            </w:r>
            <w:r>
              <w:rPr>
                <w:noProof/>
              </w:rPr>
              <w:instrText xml:space="preserve"> PAGEREF _Toc238156098 \h </w:instrText>
            </w:r>
            <w:r>
              <w:rPr>
                <w:noProof/>
              </w:rPr>
            </w:r>
            <w:r>
              <w:rPr>
                <w:noProof/>
              </w:rPr>
              <w:fldChar w:fldCharType="separate"/>
            </w:r>
            <w:r>
              <w:rPr>
                <w:noProof/>
              </w:rPr>
              <w:t>13</w:t>
            </w:r>
            <w:r>
              <w:rPr>
                <w:noProof/>
              </w:rPr>
              <w:fldChar w:fldCharType="end"/>
            </w:r>
          </w:hyperlink>
        </w:p>
        <w:p w14:paraId="2DF94CA4" w14:textId="14BE6476" w:rsidR="00B91E75" w:rsidRDefault="00B91E75">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099" w:history="1">
            <w:r w:rsidRPr="006922DC">
              <w:rPr>
                <w:rStyle w:val="Hipervnculo"/>
                <w:noProof/>
              </w:rPr>
              <w:t>1. Extracción de datos</w:t>
            </w:r>
            <w:r>
              <w:rPr>
                <w:noProof/>
              </w:rPr>
              <w:tab/>
            </w:r>
            <w:r>
              <w:rPr>
                <w:noProof/>
              </w:rPr>
              <w:fldChar w:fldCharType="begin"/>
            </w:r>
            <w:r>
              <w:rPr>
                <w:noProof/>
              </w:rPr>
              <w:instrText xml:space="preserve"> PAGEREF _Toc238156099 \h </w:instrText>
            </w:r>
            <w:r>
              <w:rPr>
                <w:noProof/>
              </w:rPr>
            </w:r>
            <w:r>
              <w:rPr>
                <w:noProof/>
              </w:rPr>
              <w:fldChar w:fldCharType="separate"/>
            </w:r>
            <w:r>
              <w:rPr>
                <w:noProof/>
              </w:rPr>
              <w:t>14</w:t>
            </w:r>
            <w:r>
              <w:rPr>
                <w:noProof/>
              </w:rPr>
              <w:fldChar w:fldCharType="end"/>
            </w:r>
          </w:hyperlink>
        </w:p>
        <w:p w14:paraId="4FFE0538" w14:textId="70C03471" w:rsidR="00B91E75" w:rsidRDefault="00B91E75">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100" w:history="1">
            <w:r w:rsidRPr="006922DC">
              <w:rPr>
                <w:rStyle w:val="Hipervnculo"/>
                <w:noProof/>
              </w:rPr>
              <w:t>2. Limpieza de datos</w:t>
            </w:r>
            <w:r>
              <w:rPr>
                <w:noProof/>
              </w:rPr>
              <w:tab/>
            </w:r>
            <w:r>
              <w:rPr>
                <w:noProof/>
              </w:rPr>
              <w:fldChar w:fldCharType="begin"/>
            </w:r>
            <w:r>
              <w:rPr>
                <w:noProof/>
              </w:rPr>
              <w:instrText xml:space="preserve"> PAGEREF _Toc238156100 \h </w:instrText>
            </w:r>
            <w:r>
              <w:rPr>
                <w:noProof/>
              </w:rPr>
            </w:r>
            <w:r>
              <w:rPr>
                <w:noProof/>
              </w:rPr>
              <w:fldChar w:fldCharType="separate"/>
            </w:r>
            <w:r>
              <w:rPr>
                <w:noProof/>
              </w:rPr>
              <w:t>15</w:t>
            </w:r>
            <w:r>
              <w:rPr>
                <w:noProof/>
              </w:rPr>
              <w:fldChar w:fldCharType="end"/>
            </w:r>
          </w:hyperlink>
        </w:p>
        <w:p w14:paraId="5F1B26C9" w14:textId="205E2F1F" w:rsidR="00B91E75" w:rsidRDefault="00B91E75">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101" w:history="1">
            <w:r w:rsidRPr="006922DC">
              <w:rPr>
                <w:rStyle w:val="Hipervnculo"/>
                <w:noProof/>
              </w:rPr>
              <w:t>3. Análisis exploratorio</w:t>
            </w:r>
            <w:r>
              <w:rPr>
                <w:noProof/>
              </w:rPr>
              <w:tab/>
            </w:r>
            <w:r>
              <w:rPr>
                <w:noProof/>
              </w:rPr>
              <w:fldChar w:fldCharType="begin"/>
            </w:r>
            <w:r>
              <w:rPr>
                <w:noProof/>
              </w:rPr>
              <w:instrText xml:space="preserve"> PAGEREF _Toc238156101 \h </w:instrText>
            </w:r>
            <w:r>
              <w:rPr>
                <w:noProof/>
              </w:rPr>
            </w:r>
            <w:r>
              <w:rPr>
                <w:noProof/>
              </w:rPr>
              <w:fldChar w:fldCharType="separate"/>
            </w:r>
            <w:r>
              <w:rPr>
                <w:noProof/>
              </w:rPr>
              <w:t>15</w:t>
            </w:r>
            <w:r>
              <w:rPr>
                <w:noProof/>
              </w:rPr>
              <w:fldChar w:fldCharType="end"/>
            </w:r>
          </w:hyperlink>
        </w:p>
        <w:p w14:paraId="2FABC702" w14:textId="080F191E" w:rsidR="00B91E75" w:rsidRDefault="00B91E75">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102" w:history="1">
            <w:r w:rsidRPr="006922DC">
              <w:rPr>
                <w:rStyle w:val="Hipervnculo"/>
                <w:noProof/>
              </w:rPr>
              <w:t>4. Ingeniería de características</w:t>
            </w:r>
            <w:r>
              <w:rPr>
                <w:noProof/>
              </w:rPr>
              <w:tab/>
            </w:r>
            <w:r>
              <w:rPr>
                <w:noProof/>
              </w:rPr>
              <w:fldChar w:fldCharType="begin"/>
            </w:r>
            <w:r>
              <w:rPr>
                <w:noProof/>
              </w:rPr>
              <w:instrText xml:space="preserve"> PAGEREF _Toc238156102 \h </w:instrText>
            </w:r>
            <w:r>
              <w:rPr>
                <w:noProof/>
              </w:rPr>
            </w:r>
            <w:r>
              <w:rPr>
                <w:noProof/>
              </w:rPr>
              <w:fldChar w:fldCharType="separate"/>
            </w:r>
            <w:r>
              <w:rPr>
                <w:noProof/>
              </w:rPr>
              <w:t>16</w:t>
            </w:r>
            <w:r>
              <w:rPr>
                <w:noProof/>
              </w:rPr>
              <w:fldChar w:fldCharType="end"/>
            </w:r>
          </w:hyperlink>
        </w:p>
        <w:p w14:paraId="6BFE7755" w14:textId="20F8BE50" w:rsidR="00B91E75" w:rsidRDefault="00B91E75">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103" w:history="1">
            <w:r w:rsidRPr="006922DC">
              <w:rPr>
                <w:rStyle w:val="Hipervnculo"/>
                <w:noProof/>
              </w:rPr>
              <w:t>5. Partición temporal</w:t>
            </w:r>
            <w:r>
              <w:rPr>
                <w:noProof/>
              </w:rPr>
              <w:tab/>
            </w:r>
            <w:r>
              <w:rPr>
                <w:noProof/>
              </w:rPr>
              <w:fldChar w:fldCharType="begin"/>
            </w:r>
            <w:r>
              <w:rPr>
                <w:noProof/>
              </w:rPr>
              <w:instrText xml:space="preserve"> PAGEREF _Toc238156103 \h </w:instrText>
            </w:r>
            <w:r>
              <w:rPr>
                <w:noProof/>
              </w:rPr>
            </w:r>
            <w:r>
              <w:rPr>
                <w:noProof/>
              </w:rPr>
              <w:fldChar w:fldCharType="separate"/>
            </w:r>
            <w:r>
              <w:rPr>
                <w:noProof/>
              </w:rPr>
              <w:t>17</w:t>
            </w:r>
            <w:r>
              <w:rPr>
                <w:noProof/>
              </w:rPr>
              <w:fldChar w:fldCharType="end"/>
            </w:r>
          </w:hyperlink>
        </w:p>
        <w:p w14:paraId="1C34EF64" w14:textId="68FD2495" w:rsidR="00B91E75" w:rsidRDefault="00B91E75">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104" w:history="1">
            <w:r w:rsidRPr="006922DC">
              <w:rPr>
                <w:rStyle w:val="Hipervnculo"/>
                <w:noProof/>
              </w:rPr>
              <w:t>6. Selección del modelo</w:t>
            </w:r>
            <w:r>
              <w:rPr>
                <w:noProof/>
              </w:rPr>
              <w:tab/>
            </w:r>
            <w:r>
              <w:rPr>
                <w:noProof/>
              </w:rPr>
              <w:fldChar w:fldCharType="begin"/>
            </w:r>
            <w:r>
              <w:rPr>
                <w:noProof/>
              </w:rPr>
              <w:instrText xml:space="preserve"> PAGEREF _Toc238156104 \h </w:instrText>
            </w:r>
            <w:r>
              <w:rPr>
                <w:noProof/>
              </w:rPr>
            </w:r>
            <w:r>
              <w:rPr>
                <w:noProof/>
              </w:rPr>
              <w:fldChar w:fldCharType="separate"/>
            </w:r>
            <w:r>
              <w:rPr>
                <w:noProof/>
              </w:rPr>
              <w:t>18</w:t>
            </w:r>
            <w:r>
              <w:rPr>
                <w:noProof/>
              </w:rPr>
              <w:fldChar w:fldCharType="end"/>
            </w:r>
          </w:hyperlink>
        </w:p>
        <w:p w14:paraId="35D09E61" w14:textId="63F8BF4C" w:rsidR="00B91E75" w:rsidRDefault="00B91E75">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105" w:history="1">
            <w:r w:rsidRPr="006922DC">
              <w:rPr>
                <w:rStyle w:val="Hipervnculo"/>
                <w:noProof/>
              </w:rPr>
              <w:t>7. Entrenamiento y optimización de hiperparámetros</w:t>
            </w:r>
            <w:r>
              <w:rPr>
                <w:noProof/>
              </w:rPr>
              <w:tab/>
            </w:r>
            <w:r>
              <w:rPr>
                <w:noProof/>
              </w:rPr>
              <w:fldChar w:fldCharType="begin"/>
            </w:r>
            <w:r>
              <w:rPr>
                <w:noProof/>
              </w:rPr>
              <w:instrText xml:space="preserve"> PAGEREF _Toc238156105 \h </w:instrText>
            </w:r>
            <w:r>
              <w:rPr>
                <w:noProof/>
              </w:rPr>
            </w:r>
            <w:r>
              <w:rPr>
                <w:noProof/>
              </w:rPr>
              <w:fldChar w:fldCharType="separate"/>
            </w:r>
            <w:r>
              <w:rPr>
                <w:noProof/>
              </w:rPr>
              <w:t>18</w:t>
            </w:r>
            <w:r>
              <w:rPr>
                <w:noProof/>
              </w:rPr>
              <w:fldChar w:fldCharType="end"/>
            </w:r>
          </w:hyperlink>
        </w:p>
        <w:p w14:paraId="1F58BAEB" w14:textId="334D8ACA" w:rsidR="00B91E75" w:rsidRDefault="00B91E75">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106" w:history="1">
            <w:r w:rsidRPr="006922DC">
              <w:rPr>
                <w:rStyle w:val="Hipervnculo"/>
                <w:noProof/>
              </w:rPr>
              <w:t>8. Evaluación y despliegue</w:t>
            </w:r>
            <w:r>
              <w:rPr>
                <w:noProof/>
              </w:rPr>
              <w:tab/>
            </w:r>
            <w:r>
              <w:rPr>
                <w:noProof/>
              </w:rPr>
              <w:fldChar w:fldCharType="begin"/>
            </w:r>
            <w:r>
              <w:rPr>
                <w:noProof/>
              </w:rPr>
              <w:instrText xml:space="preserve"> PAGEREF _Toc238156106 \h </w:instrText>
            </w:r>
            <w:r>
              <w:rPr>
                <w:noProof/>
              </w:rPr>
            </w:r>
            <w:r>
              <w:rPr>
                <w:noProof/>
              </w:rPr>
              <w:fldChar w:fldCharType="separate"/>
            </w:r>
            <w:r>
              <w:rPr>
                <w:noProof/>
              </w:rPr>
              <w:t>19</w:t>
            </w:r>
            <w:r>
              <w:rPr>
                <w:noProof/>
              </w:rPr>
              <w:fldChar w:fldCharType="end"/>
            </w:r>
          </w:hyperlink>
        </w:p>
        <w:p w14:paraId="2A078E62" w14:textId="5E422C30" w:rsidR="00B91E75" w:rsidRDefault="00B91E75">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107" w:history="1">
            <w:r w:rsidRPr="006922DC">
              <w:rPr>
                <w:rStyle w:val="Hipervnculo"/>
                <w:noProof/>
              </w:rPr>
              <w:t>Lo que este procedimiento todavía no resuelve</w:t>
            </w:r>
            <w:r>
              <w:rPr>
                <w:noProof/>
              </w:rPr>
              <w:tab/>
            </w:r>
            <w:r>
              <w:rPr>
                <w:noProof/>
              </w:rPr>
              <w:fldChar w:fldCharType="begin"/>
            </w:r>
            <w:r>
              <w:rPr>
                <w:noProof/>
              </w:rPr>
              <w:instrText xml:space="preserve"> PAGEREF _Toc238156107 \h </w:instrText>
            </w:r>
            <w:r>
              <w:rPr>
                <w:noProof/>
              </w:rPr>
            </w:r>
            <w:r>
              <w:rPr>
                <w:noProof/>
              </w:rPr>
              <w:fldChar w:fldCharType="separate"/>
            </w:r>
            <w:r>
              <w:rPr>
                <w:noProof/>
              </w:rPr>
              <w:t>20</w:t>
            </w:r>
            <w:r>
              <w:rPr>
                <w:noProof/>
              </w:rPr>
              <w:fldChar w:fldCharType="end"/>
            </w:r>
          </w:hyperlink>
        </w:p>
        <w:p w14:paraId="7EEE043D" w14:textId="1B9FFE66" w:rsidR="00B91E75" w:rsidRDefault="00B91E75">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8156108" w:history="1">
            <w:r w:rsidRPr="006922DC">
              <w:rPr>
                <w:rStyle w:val="Hipervnculo"/>
                <w:noProof/>
              </w:rPr>
              <w:t>Conclusiones</w:t>
            </w:r>
            <w:r>
              <w:rPr>
                <w:noProof/>
              </w:rPr>
              <w:tab/>
            </w:r>
            <w:r>
              <w:rPr>
                <w:noProof/>
              </w:rPr>
              <w:fldChar w:fldCharType="begin"/>
            </w:r>
            <w:r>
              <w:rPr>
                <w:noProof/>
              </w:rPr>
              <w:instrText xml:space="preserve"> PAGEREF _Toc238156108 \h </w:instrText>
            </w:r>
            <w:r>
              <w:rPr>
                <w:noProof/>
              </w:rPr>
            </w:r>
            <w:r>
              <w:rPr>
                <w:noProof/>
              </w:rPr>
              <w:fldChar w:fldCharType="separate"/>
            </w:r>
            <w:r>
              <w:rPr>
                <w:noProof/>
              </w:rPr>
              <w:t>20</w:t>
            </w:r>
            <w:r>
              <w:rPr>
                <w:noProof/>
              </w:rPr>
              <w:fldChar w:fldCharType="end"/>
            </w:r>
          </w:hyperlink>
        </w:p>
        <w:p w14:paraId="0C2592AC" w14:textId="6E64DB3B" w:rsidR="00B91E75" w:rsidRDefault="00B91E75">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109" w:history="1">
            <w:r w:rsidRPr="006922DC">
              <w:rPr>
                <w:rStyle w:val="Hipervnculo"/>
                <w:noProof/>
              </w:rPr>
              <w:t>Limitaciones</w:t>
            </w:r>
            <w:r>
              <w:rPr>
                <w:noProof/>
              </w:rPr>
              <w:tab/>
            </w:r>
            <w:r>
              <w:rPr>
                <w:noProof/>
              </w:rPr>
              <w:fldChar w:fldCharType="begin"/>
            </w:r>
            <w:r>
              <w:rPr>
                <w:noProof/>
              </w:rPr>
              <w:instrText xml:space="preserve"> PAGEREF _Toc238156109 \h </w:instrText>
            </w:r>
            <w:r>
              <w:rPr>
                <w:noProof/>
              </w:rPr>
            </w:r>
            <w:r>
              <w:rPr>
                <w:noProof/>
              </w:rPr>
              <w:fldChar w:fldCharType="separate"/>
            </w:r>
            <w:r>
              <w:rPr>
                <w:noProof/>
              </w:rPr>
              <w:t>22</w:t>
            </w:r>
            <w:r>
              <w:rPr>
                <w:noProof/>
              </w:rPr>
              <w:fldChar w:fldCharType="end"/>
            </w:r>
          </w:hyperlink>
        </w:p>
        <w:p w14:paraId="1878835D" w14:textId="330F0450" w:rsidR="00B91E75" w:rsidRDefault="00B91E75">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110" w:history="1">
            <w:r w:rsidRPr="006922DC">
              <w:rPr>
                <w:rStyle w:val="Hipervnculo"/>
                <w:noProof/>
              </w:rPr>
              <w:t>Sobre el umbral de decisión</w:t>
            </w:r>
            <w:r>
              <w:rPr>
                <w:noProof/>
              </w:rPr>
              <w:tab/>
            </w:r>
            <w:r>
              <w:rPr>
                <w:noProof/>
              </w:rPr>
              <w:fldChar w:fldCharType="begin"/>
            </w:r>
            <w:r>
              <w:rPr>
                <w:noProof/>
              </w:rPr>
              <w:instrText xml:space="preserve"> PAGEREF _Toc238156110 \h </w:instrText>
            </w:r>
            <w:r>
              <w:rPr>
                <w:noProof/>
              </w:rPr>
            </w:r>
            <w:r>
              <w:rPr>
                <w:noProof/>
              </w:rPr>
              <w:fldChar w:fldCharType="separate"/>
            </w:r>
            <w:r>
              <w:rPr>
                <w:noProof/>
              </w:rPr>
              <w:t>22</w:t>
            </w:r>
            <w:r>
              <w:rPr>
                <w:noProof/>
              </w:rPr>
              <w:fldChar w:fldCharType="end"/>
            </w:r>
          </w:hyperlink>
        </w:p>
        <w:p w14:paraId="62544712" w14:textId="4C8EE7E4" w:rsidR="00B91E75" w:rsidRDefault="00B91E75">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38156111" w:history="1">
            <w:r w:rsidRPr="006922DC">
              <w:rPr>
                <w:rStyle w:val="Hipervnculo"/>
                <w:noProof/>
              </w:rPr>
              <w:t>Trabajo siguiente</w:t>
            </w:r>
            <w:r>
              <w:rPr>
                <w:noProof/>
              </w:rPr>
              <w:tab/>
            </w:r>
            <w:r>
              <w:rPr>
                <w:noProof/>
              </w:rPr>
              <w:fldChar w:fldCharType="begin"/>
            </w:r>
            <w:r>
              <w:rPr>
                <w:noProof/>
              </w:rPr>
              <w:instrText xml:space="preserve"> PAGEREF _Toc238156111 \h </w:instrText>
            </w:r>
            <w:r>
              <w:rPr>
                <w:noProof/>
              </w:rPr>
            </w:r>
            <w:r>
              <w:rPr>
                <w:noProof/>
              </w:rPr>
              <w:fldChar w:fldCharType="separate"/>
            </w:r>
            <w:r>
              <w:rPr>
                <w:noProof/>
              </w:rPr>
              <w:t>23</w:t>
            </w:r>
            <w:r>
              <w:rPr>
                <w:noProof/>
              </w:rPr>
              <w:fldChar w:fldCharType="end"/>
            </w:r>
          </w:hyperlink>
        </w:p>
        <w:p w14:paraId="563777E5" w14:textId="6B2CA951" w:rsidR="00B91E75" w:rsidRDefault="00B91E75">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38156112" w:history="1">
            <w:r w:rsidRPr="006922DC">
              <w:rPr>
                <w:rStyle w:val="Hipervnculo"/>
                <w:noProof/>
              </w:rPr>
              <w:t>Referencias</w:t>
            </w:r>
            <w:r>
              <w:rPr>
                <w:noProof/>
              </w:rPr>
              <w:tab/>
            </w:r>
            <w:r>
              <w:rPr>
                <w:noProof/>
              </w:rPr>
              <w:fldChar w:fldCharType="begin"/>
            </w:r>
            <w:r>
              <w:rPr>
                <w:noProof/>
              </w:rPr>
              <w:instrText xml:space="preserve"> PAGEREF _Toc238156112 \h </w:instrText>
            </w:r>
            <w:r>
              <w:rPr>
                <w:noProof/>
              </w:rPr>
            </w:r>
            <w:r>
              <w:rPr>
                <w:noProof/>
              </w:rPr>
              <w:fldChar w:fldCharType="separate"/>
            </w:r>
            <w:r>
              <w:rPr>
                <w:noProof/>
              </w:rPr>
              <w:t>24</w:t>
            </w:r>
            <w:r>
              <w:rPr>
                <w:noProof/>
              </w:rPr>
              <w:fldChar w:fldCharType="end"/>
            </w:r>
          </w:hyperlink>
        </w:p>
        <w:p w14:paraId="7ED5431E" w14:textId="28FF7DC9" w:rsidR="008D2D62" w:rsidRDefault="00A327E2">
          <w:r>
            <w:fldChar w:fldCharType="end"/>
          </w:r>
        </w:p>
      </w:sdtContent>
    </w:sdt>
    <w:p w14:paraId="567CCD09" w14:textId="77777777" w:rsidR="008D2D62" w:rsidRDefault="00A327E2">
      <w:r>
        <w:br w:type="page"/>
      </w:r>
    </w:p>
    <w:p w14:paraId="0CD2A4EB" w14:textId="77777777" w:rsidR="008D2D62" w:rsidRDefault="00A327E2">
      <w:pPr>
        <w:pStyle w:val="Ttulo1"/>
        <w:keepNext/>
      </w:pPr>
      <w:bookmarkStart w:id="0" w:name="_Toc238156090"/>
      <w:r>
        <w:lastRenderedPageBreak/>
        <w:t>Sistema de Pronóstico de Puntos de Inflexión en el Precio de Litecoin</w:t>
      </w:r>
      <w:bookmarkEnd w:id="0"/>
    </w:p>
    <w:p w14:paraId="080D8C43" w14:textId="77777777" w:rsidR="008D2D62" w:rsidRDefault="00A327E2">
      <w:pPr>
        <w:ind w:firstLine="720"/>
      </w:pPr>
      <w:r>
        <w:rPr>
          <w:b/>
          <w:bCs/>
        </w:rPr>
        <w:t>Autor:</w:t>
      </w:r>
      <w:r>
        <w:t xml:space="preserve"> Fabrizio Espinoza Arce · Ensamblaje</w:t>
      </w:r>
    </w:p>
    <w:p w14:paraId="0ACAA55C" w14:textId="77777777" w:rsidR="008D2D62" w:rsidRDefault="00A327E2">
      <w:pPr>
        <w:ind w:firstLine="720"/>
      </w:pPr>
      <w:r>
        <w:t>Este documento constituye la segunda entrega del Caso N.º 1 y continúa el marco teórico presentado el 18 de agosto. Su objeto es doble: revisar los modelos estadísticos y de aprendizaje automático aplicables a series temporales, y definir el procedimiento completo de desarrollo del modelo de puntos de inflexión.</w:t>
      </w:r>
    </w:p>
    <w:p w14:paraId="1B3664AF" w14:textId="77777777" w:rsidR="008D2D62" w:rsidRDefault="00A327E2">
      <w:pPr>
        <w:ind w:firstLine="720"/>
      </w:pPr>
      <w:r>
        <w:t xml:space="preserve">La primera entrega estableció qué se quiere predecir y con qué se va a medir el éxito. Esta establece </w:t>
      </w:r>
      <w:r>
        <w:rPr>
          <w:b/>
          <w:bCs/>
        </w:rPr>
        <w:t>con qué se va a predecir y en qué orden</w:t>
      </w:r>
      <w:r>
        <w:t>, que son las dos preguntas que quedaban abiertas.</w:t>
      </w:r>
    </w:p>
    <w:p w14:paraId="10C15223" w14:textId="77777777" w:rsidR="008D2D62" w:rsidRDefault="00A327E2">
      <w:pPr>
        <w:ind w:firstLine="720"/>
      </w:pPr>
      <w:r>
        <w:t xml:space="preserve">Entre una entrega y otra el proyecto tomó una decisión que conviene declarar desde el inicio porque afecta a todo lo que sigue. Los tres parámetros que definen el problema —la granularidad de las observaciones, la ventana </w:t>
      </w:r>
      <w:r>
        <w:rPr>
          <w:rFonts w:ascii="Courier New" w:eastAsia="Courier New" w:hAnsi="Courier New" w:cs="Courier New"/>
          <w:sz w:val="22"/>
          <w:szCs w:val="22"/>
        </w:rPr>
        <w:t>w</w:t>
      </w:r>
      <w:r>
        <w:t xml:space="preserve"> que determina qué es un giro y el horizonte </w:t>
      </w:r>
      <w:r>
        <w:rPr>
          <w:rFonts w:ascii="Courier New" w:eastAsia="Courier New" w:hAnsi="Courier New" w:cs="Courier New"/>
          <w:sz w:val="22"/>
          <w:szCs w:val="22"/>
        </w:rPr>
        <w:t>h</w:t>
      </w:r>
      <w:r>
        <w:t xml:space="preserve"> de pronóstico— </w:t>
      </w:r>
      <w:r>
        <w:rPr>
          <w:b/>
          <w:bCs/>
        </w:rPr>
        <w:t>dejaron de ser provisionales el 18 de agosto</w:t>
      </w:r>
      <w:r>
        <w:t xml:space="preserve"> y quedaron fijados en velas de 4 horas, </w:t>
      </w:r>
      <w:r>
        <w:rPr>
          <w:rFonts w:ascii="Courier New" w:eastAsia="Courier New" w:hAnsi="Courier New" w:cs="Courier New"/>
          <w:sz w:val="22"/>
          <w:szCs w:val="22"/>
        </w:rPr>
        <w:t>w = 7</w:t>
      </w:r>
      <w:r>
        <w:t xml:space="preserve"> y </w:t>
      </w:r>
      <w:r>
        <w:rPr>
          <w:rFonts w:ascii="Courier New" w:eastAsia="Courier New" w:hAnsi="Courier New" w:cs="Courier New"/>
          <w:sz w:val="22"/>
          <w:szCs w:val="22"/>
        </w:rPr>
        <w:t>h = 1</w:t>
      </w:r>
      <w:r>
        <w:t>. Los tres salen de medición y cada uno de un criterio distinto, fijado antes de mirar el resultado; el estudio completo está en el repositorio del proyecto.</w:t>
      </w:r>
    </w:p>
    <w:p w14:paraId="6378C3E8" w14:textId="77777777" w:rsidR="008D2D62" w:rsidRDefault="00A327E2">
      <w:pPr>
        <w:ind w:firstLine="720"/>
      </w:pPr>
      <w:r>
        <w:t xml:space="preserve">Los números de la entrega anterior se midieron con velas diarias y </w:t>
      </w:r>
      <w:r>
        <w:rPr>
          <w:rFonts w:ascii="Courier New" w:eastAsia="Courier New" w:hAnsi="Courier New" w:cs="Courier New"/>
          <w:sz w:val="22"/>
          <w:szCs w:val="22"/>
        </w:rPr>
        <w:t>w = 5</w:t>
      </w:r>
      <w:r>
        <w:t>, que era la configuración vigente entonces, y no se regeneraron. Ninguno de aquellos resultados depende de la etiqueta: la estacionariedad, la autocorrelación, la volatilidad y la correlación cruzada se calculan sobre precios y retornos. Cuando este documento compara con un valor de la entrega anterior, indica con qué configuración se midió cada uno.</w:t>
      </w:r>
    </w:p>
    <w:p w14:paraId="2B008827" w14:textId="77777777" w:rsidR="008D2D62" w:rsidRDefault="00A327E2">
      <w:pPr>
        <w:ind w:firstLine="720"/>
      </w:pPr>
      <w:r>
        <w:t xml:space="preserve">Se mantienen los dos criterios metodológicos declarados en la primera entrega. </w:t>
      </w:r>
      <w:r>
        <w:rPr>
          <w:b/>
          <w:bCs/>
        </w:rPr>
        <w:t>Ningún concepto se expone únicamente como definición</w:t>
      </w:r>
      <w:r>
        <w:t xml:space="preserve">: cada afirmación que admite comprobación se acompaña de su verificación sobre los datos del proyecto, y lo que no se ha medido se declara </w:t>
      </w:r>
      <w:r>
        <w:lastRenderedPageBreak/>
        <w:t xml:space="preserve">como no medido. Y </w:t>
      </w:r>
      <w:r>
        <w:rPr>
          <w:b/>
          <w:bCs/>
        </w:rPr>
        <w:t>los procedimientos se validan primero sobre casos donde la respuesta correcta la fijamos nosotros</w:t>
      </w:r>
      <w:r>
        <w:t>, antes de aplicarlos sobre datos reales.</w:t>
      </w:r>
    </w:p>
    <w:p w14:paraId="4E741716" w14:textId="77777777" w:rsidR="008D2D62" w:rsidRDefault="00A327E2">
      <w:pPr>
        <w:ind w:firstLine="720"/>
      </w:pPr>
      <w:r>
        <w:t>La exposición se organiza en dos bloques. El primero revisa los modelos: los fundacionales de series de tiempo, VTA, FinLSPM, CryptoMamba y el Transformer, y cierra justificando cuál se elige y por qué. El segundo recorre las ocho etapas del procedimiento de desarrollo —extracción, limpieza, análisis exploratorio, ingeniería de características, partición, selección del modelo, entrenamiento y evaluación—, declarando en cada una qué está construido y medido y qué queda pendiente.</w:t>
      </w:r>
    </w:p>
    <w:p w14:paraId="56A67571" w14:textId="77777777" w:rsidR="008D2D62" w:rsidRDefault="00A327E2">
      <w:pPr>
        <w:pStyle w:val="Ttulo1"/>
        <w:keepNext/>
      </w:pPr>
      <w:bookmarkStart w:id="1" w:name="_Toc238156091"/>
      <w:r>
        <w:t>Modelos Estadísticos y de Aprendizaje Automático para Series Temporales</w:t>
      </w:r>
      <w:bookmarkEnd w:id="1"/>
    </w:p>
    <w:p w14:paraId="4AF450B5" w14:textId="77777777" w:rsidR="008D2D62" w:rsidRDefault="00A327E2">
      <w:pPr>
        <w:ind w:firstLine="720"/>
      </w:pPr>
      <w:r>
        <w:rPr>
          <w:b/>
          <w:bCs/>
        </w:rPr>
        <w:t>Autor:</w:t>
      </w:r>
      <w:r>
        <w:t xml:space="preserve"> Isaac Felipe Morún Moreira · </w:t>
      </w:r>
      <w:r>
        <w:rPr>
          <w:b/>
          <w:bCs/>
        </w:rPr>
        <w:t>Issues:</w:t>
      </w:r>
      <w:r>
        <w:t xml:space="preserve"> S2-M3-02 y S2-M3-03</w:t>
      </w:r>
    </w:p>
    <w:p w14:paraId="19C915BC" w14:textId="77777777" w:rsidR="008D2D62" w:rsidRDefault="00A327E2">
      <w:pPr>
        <w:pStyle w:val="Ttulo2"/>
        <w:keepNext/>
      </w:pPr>
      <w:bookmarkStart w:id="2" w:name="_Toc238156092"/>
      <w:r>
        <w:t>1. Modelos fundacionales de series de tiempo (TSFMs)</w:t>
      </w:r>
      <w:bookmarkEnd w:id="2"/>
    </w:p>
    <w:p w14:paraId="525388F0" w14:textId="77777777" w:rsidR="008D2D62" w:rsidRDefault="00A327E2">
      <w:pPr>
        <w:ind w:firstLine="720"/>
      </w:pPr>
      <w:r>
        <w:t>Un modelo fundacional de series de tiempo (</w:t>
      </w:r>
      <w:r>
        <w:rPr>
          <w:i/>
          <w:iCs/>
        </w:rPr>
        <w:t>Time Series Foundation Model</w:t>
      </w:r>
      <w:r>
        <w:t xml:space="preserve">, TSFM) es un modelo preentrenado sobre un corpus masivo de series de dominios distintos —tráfico, energía, ventas, clima, finanzas— capaz de pronosticar una serie nueva sin haber visto un solo ejemplo suyo durante el entrenamiento: pronóstico </w:t>
      </w:r>
      <w:r>
        <w:rPr>
          <w:i/>
          <w:iCs/>
        </w:rPr>
        <w:t>zero-shot</w:t>
      </w:r>
      <w:r>
        <w:t>. Chronos, por ejemplo, tokeniza el valor de cada instante en un vocabulario discreto y reutiliza directamente una arquitectura de lenguaje entrenada para predecir el siguiente token, tratando el pronóstico como un problema de lenguaje (Ansari et al., 2024). TimesFM sigue el mismo espíritu con un decodificador entrenado sobre cerca de 100 mil millones de puntos temporales reales y sintéticos (Das et al., 2023).</w:t>
      </w:r>
    </w:p>
    <w:p w14:paraId="69B94F81" w14:textId="77777777" w:rsidR="008D2D62" w:rsidRDefault="00A327E2">
      <w:pPr>
        <w:ind w:firstLine="720"/>
      </w:pPr>
      <w:r>
        <w:t>La diferencia con entrenar un modelo desde cero es la que importa para este proyecto: un modelo entrenado desde cero solo puede aprender de los datos que le damos, y nuestro panel tiene 13 114 velas de 4 horas, de las cuales apenas 420 son ejemplos de la clase minoritaria en entrenamiento (</w:t>
      </w:r>
      <w:r>
        <w:rPr>
          <w:rFonts w:ascii="Courier New" w:eastAsia="Courier New" w:hAnsi="Courier New" w:cs="Courier New"/>
          <w:sz w:val="22"/>
          <w:szCs w:val="22"/>
        </w:rPr>
        <w:t>docs/04-decision-w-h-granularidad.md</w:t>
      </w:r>
      <w:r>
        <w:t xml:space="preserve">). Un TSFM ya trajo su noción </w:t>
      </w:r>
      <w:r>
        <w:lastRenderedPageBreak/>
        <w:t>de tendencia, estacionalidad y ruido de miles de series ajenas; lo único que le pedimos es que la aplique a la nuestra. Eso lo vuelve el candidato natural para el requisito RF-M1 del PRD, que exige justificar la elección con las características medidas de los datos y no por popularidad.</w:t>
      </w:r>
    </w:p>
    <w:p w14:paraId="052BEC6C" w14:textId="77777777" w:rsidR="008D2D62" w:rsidRDefault="00A327E2">
      <w:pPr>
        <w:ind w:firstLine="720"/>
      </w:pPr>
      <w:r>
        <w:rPr>
          <w:b/>
          <w:bCs/>
        </w:rPr>
        <w:t>Medido sobre las máquinas del equipo, en CPU, con contexto de 512 velas reales:</w:t>
      </w:r>
    </w:p>
    <w:p w14:paraId="01199593" w14:textId="77777777" w:rsidR="008D2D62" w:rsidRDefault="00A327E2">
      <w:pPr>
        <w:keepNext/>
        <w:spacing w:before="240"/>
      </w:pPr>
      <w:r>
        <w:rPr>
          <w:b/>
          <w:bCs/>
        </w:rPr>
        <w:t>Tabla 1</w:t>
      </w:r>
    </w:p>
    <w:p w14:paraId="4D8BCD91" w14:textId="77777777" w:rsidR="008D2D62" w:rsidRDefault="00A327E2">
      <w:pPr>
        <w:keepNext/>
        <w:spacing w:after="60"/>
      </w:pPr>
      <w:r>
        <w:rPr>
          <w:i/>
          <w:iCs/>
        </w:rPr>
        <w:t xml:space="preserve">Inventario de modelos fundacionales que corren en CPU. Medido con </w:t>
      </w:r>
      <w:r>
        <w:rPr>
          <w:rFonts w:ascii="Courier New" w:eastAsia="Courier New" w:hAnsi="Courier New" w:cs="Courier New"/>
          <w:i/>
          <w:iCs/>
          <w:sz w:val="22"/>
          <w:szCs w:val="22"/>
        </w:rPr>
        <w:t>src/modelos/inventario_tsfm.py</w:t>
      </w:r>
    </w:p>
    <w:tbl>
      <w:tblPr>
        <w:tblW w:w="9360" w:type="dxa"/>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8D2D62" w14:paraId="0B760821" w14:textId="77777777">
        <w:tblPrEx>
          <w:tblCellMar>
            <w:top w:w="0" w:type="dxa"/>
            <w:bottom w:w="0" w:type="dxa"/>
          </w:tblCellMar>
        </w:tblPrEx>
        <w:trPr>
          <w:tblHeader/>
        </w:trPr>
        <w:tc>
          <w:tcPr>
            <w:tcW w:w="1560" w:type="dxa"/>
            <w:tcBorders>
              <w:top w:val="single" w:sz="6" w:space="0" w:color="000000"/>
              <w:bottom w:val="single" w:sz="6" w:space="0" w:color="000000"/>
            </w:tcBorders>
            <w:tcMar>
              <w:top w:w="60" w:type="dxa"/>
              <w:left w:w="100" w:type="dxa"/>
              <w:bottom w:w="60" w:type="dxa"/>
              <w:right w:w="100" w:type="dxa"/>
            </w:tcMar>
          </w:tcPr>
          <w:p w14:paraId="075A111E" w14:textId="77777777" w:rsidR="008D2D62" w:rsidRDefault="00A327E2">
            <w:pPr>
              <w:spacing w:line="240" w:lineRule="auto"/>
            </w:pPr>
            <w:r>
              <w:rPr>
                <w:sz w:val="22"/>
                <w:szCs w:val="22"/>
              </w:rPr>
              <w:t>Candidato</w:t>
            </w:r>
          </w:p>
        </w:tc>
        <w:tc>
          <w:tcPr>
            <w:tcW w:w="1560" w:type="dxa"/>
            <w:tcBorders>
              <w:top w:val="single" w:sz="6" w:space="0" w:color="000000"/>
              <w:bottom w:val="single" w:sz="6" w:space="0" w:color="000000"/>
            </w:tcBorders>
            <w:tcMar>
              <w:top w:w="60" w:type="dxa"/>
              <w:left w:w="100" w:type="dxa"/>
              <w:bottom w:w="60" w:type="dxa"/>
              <w:right w:w="100" w:type="dxa"/>
            </w:tcMar>
          </w:tcPr>
          <w:p w14:paraId="254F57E2" w14:textId="77777777" w:rsidR="008D2D62" w:rsidRDefault="00A327E2">
            <w:pPr>
              <w:spacing w:line="240" w:lineRule="auto"/>
              <w:jc w:val="center"/>
            </w:pPr>
            <w:r>
              <w:rPr>
                <w:sz w:val="22"/>
                <w:szCs w:val="22"/>
              </w:rPr>
              <w:t>Familia</w:t>
            </w:r>
          </w:p>
        </w:tc>
        <w:tc>
          <w:tcPr>
            <w:tcW w:w="1560" w:type="dxa"/>
            <w:tcBorders>
              <w:top w:val="single" w:sz="6" w:space="0" w:color="000000"/>
              <w:bottom w:val="single" w:sz="6" w:space="0" w:color="000000"/>
            </w:tcBorders>
            <w:tcMar>
              <w:top w:w="60" w:type="dxa"/>
              <w:left w:w="100" w:type="dxa"/>
              <w:bottom w:w="60" w:type="dxa"/>
              <w:right w:w="100" w:type="dxa"/>
            </w:tcMar>
          </w:tcPr>
          <w:p w14:paraId="6FEB447A" w14:textId="77777777" w:rsidR="008D2D62" w:rsidRDefault="00A327E2">
            <w:pPr>
              <w:spacing w:line="240" w:lineRule="auto"/>
              <w:jc w:val="center"/>
            </w:pPr>
            <w:r>
              <w:rPr>
                <w:sz w:val="22"/>
                <w:szCs w:val="22"/>
              </w:rPr>
              <w:t>Disco (MB)</w:t>
            </w:r>
          </w:p>
        </w:tc>
        <w:tc>
          <w:tcPr>
            <w:tcW w:w="1560" w:type="dxa"/>
            <w:tcBorders>
              <w:top w:val="single" w:sz="6" w:space="0" w:color="000000"/>
              <w:bottom w:val="single" w:sz="6" w:space="0" w:color="000000"/>
            </w:tcBorders>
            <w:tcMar>
              <w:top w:w="60" w:type="dxa"/>
              <w:left w:w="100" w:type="dxa"/>
              <w:bottom w:w="60" w:type="dxa"/>
              <w:right w:w="100" w:type="dxa"/>
            </w:tcMar>
          </w:tcPr>
          <w:p w14:paraId="2FAEF22F" w14:textId="77777777" w:rsidR="008D2D62" w:rsidRDefault="00A327E2">
            <w:pPr>
              <w:spacing w:line="240" w:lineRule="auto"/>
              <w:jc w:val="center"/>
            </w:pPr>
            <w:r>
              <w:rPr>
                <w:sz w:val="22"/>
                <w:szCs w:val="22"/>
              </w:rPr>
              <w:t>RAM pico (MB)</w:t>
            </w:r>
          </w:p>
        </w:tc>
        <w:tc>
          <w:tcPr>
            <w:tcW w:w="1560" w:type="dxa"/>
            <w:tcBorders>
              <w:top w:val="single" w:sz="6" w:space="0" w:color="000000"/>
              <w:bottom w:val="single" w:sz="6" w:space="0" w:color="000000"/>
            </w:tcBorders>
            <w:tcMar>
              <w:top w:w="60" w:type="dxa"/>
              <w:left w:w="100" w:type="dxa"/>
              <w:bottom w:w="60" w:type="dxa"/>
              <w:right w:w="100" w:type="dxa"/>
            </w:tcMar>
          </w:tcPr>
          <w:p w14:paraId="658DC445" w14:textId="77777777" w:rsidR="008D2D62" w:rsidRDefault="00A327E2">
            <w:pPr>
              <w:spacing w:line="240" w:lineRule="auto"/>
              <w:jc w:val="center"/>
            </w:pPr>
            <w:r>
              <w:rPr>
                <w:sz w:val="22"/>
                <w:szCs w:val="22"/>
              </w:rPr>
              <w:t>s/ventana en lote</w:t>
            </w:r>
          </w:p>
        </w:tc>
        <w:tc>
          <w:tcPr>
            <w:tcW w:w="1560" w:type="dxa"/>
            <w:tcBorders>
              <w:top w:val="single" w:sz="6" w:space="0" w:color="000000"/>
              <w:bottom w:val="single" w:sz="6" w:space="0" w:color="000000"/>
            </w:tcBorders>
            <w:tcMar>
              <w:top w:w="60" w:type="dxa"/>
              <w:left w:w="100" w:type="dxa"/>
              <w:bottom w:w="60" w:type="dxa"/>
              <w:right w:w="100" w:type="dxa"/>
            </w:tcMar>
          </w:tcPr>
          <w:p w14:paraId="0AAF8B0C" w14:textId="77777777" w:rsidR="008D2D62" w:rsidRDefault="00A327E2">
            <w:pPr>
              <w:spacing w:line="240" w:lineRule="auto"/>
              <w:jc w:val="center"/>
            </w:pPr>
            <w:r>
              <w:rPr>
                <w:sz w:val="22"/>
                <w:szCs w:val="22"/>
              </w:rPr>
              <w:t>Bloque de validación (min)</w:t>
            </w:r>
          </w:p>
        </w:tc>
      </w:tr>
      <w:tr w:rsidR="008D2D62" w14:paraId="40D9ECE4" w14:textId="77777777">
        <w:tblPrEx>
          <w:tblCellMar>
            <w:top w:w="0" w:type="dxa"/>
            <w:bottom w:w="0" w:type="dxa"/>
          </w:tblCellMar>
        </w:tblPrEx>
        <w:tc>
          <w:tcPr>
            <w:tcW w:w="1560" w:type="dxa"/>
            <w:tcMar>
              <w:top w:w="60" w:type="dxa"/>
              <w:left w:w="100" w:type="dxa"/>
              <w:bottom w:w="60" w:type="dxa"/>
              <w:right w:w="100" w:type="dxa"/>
            </w:tcMar>
          </w:tcPr>
          <w:p w14:paraId="4A229961" w14:textId="77777777" w:rsidR="008D2D62" w:rsidRDefault="00A327E2">
            <w:pPr>
              <w:spacing w:line="240" w:lineRule="auto"/>
            </w:pPr>
            <w:r>
              <w:rPr>
                <w:b/>
                <w:bCs/>
                <w:sz w:val="22"/>
                <w:szCs w:val="22"/>
              </w:rPr>
              <w:t>chronos-bolt-small</w:t>
            </w:r>
          </w:p>
        </w:tc>
        <w:tc>
          <w:tcPr>
            <w:tcW w:w="1560" w:type="dxa"/>
            <w:tcMar>
              <w:top w:w="60" w:type="dxa"/>
              <w:left w:w="100" w:type="dxa"/>
              <w:bottom w:w="60" w:type="dxa"/>
              <w:right w:w="100" w:type="dxa"/>
            </w:tcMar>
          </w:tcPr>
          <w:p w14:paraId="2C62EB57" w14:textId="77777777" w:rsidR="008D2D62" w:rsidRDefault="00A327E2">
            <w:pPr>
              <w:spacing w:line="240" w:lineRule="auto"/>
              <w:jc w:val="center"/>
            </w:pPr>
            <w:r>
              <w:rPr>
                <w:sz w:val="22"/>
                <w:szCs w:val="22"/>
              </w:rPr>
              <w:t>Chronos-Bolt (Amazon)</w:t>
            </w:r>
          </w:p>
        </w:tc>
        <w:tc>
          <w:tcPr>
            <w:tcW w:w="1560" w:type="dxa"/>
            <w:tcMar>
              <w:top w:w="60" w:type="dxa"/>
              <w:left w:w="100" w:type="dxa"/>
              <w:bottom w:w="60" w:type="dxa"/>
              <w:right w:w="100" w:type="dxa"/>
            </w:tcMar>
          </w:tcPr>
          <w:p w14:paraId="69EB3EEC" w14:textId="77777777" w:rsidR="008D2D62" w:rsidRDefault="00A327E2">
            <w:pPr>
              <w:spacing w:line="240" w:lineRule="auto"/>
              <w:jc w:val="center"/>
            </w:pPr>
            <w:r>
              <w:rPr>
                <w:b/>
                <w:bCs/>
                <w:sz w:val="22"/>
                <w:szCs w:val="22"/>
              </w:rPr>
              <w:t>182,05</w:t>
            </w:r>
          </w:p>
        </w:tc>
        <w:tc>
          <w:tcPr>
            <w:tcW w:w="1560" w:type="dxa"/>
            <w:tcMar>
              <w:top w:w="60" w:type="dxa"/>
              <w:left w:w="100" w:type="dxa"/>
              <w:bottom w:w="60" w:type="dxa"/>
              <w:right w:w="100" w:type="dxa"/>
            </w:tcMar>
          </w:tcPr>
          <w:p w14:paraId="00D9C72B" w14:textId="77777777" w:rsidR="008D2D62" w:rsidRDefault="00A327E2">
            <w:pPr>
              <w:spacing w:line="240" w:lineRule="auto"/>
              <w:jc w:val="center"/>
            </w:pPr>
            <w:r>
              <w:rPr>
                <w:b/>
                <w:bCs/>
                <w:sz w:val="22"/>
                <w:szCs w:val="22"/>
              </w:rPr>
              <w:t>695,0</w:t>
            </w:r>
          </w:p>
        </w:tc>
        <w:tc>
          <w:tcPr>
            <w:tcW w:w="1560" w:type="dxa"/>
            <w:tcMar>
              <w:top w:w="60" w:type="dxa"/>
              <w:left w:w="100" w:type="dxa"/>
              <w:bottom w:w="60" w:type="dxa"/>
              <w:right w:w="100" w:type="dxa"/>
            </w:tcMar>
          </w:tcPr>
          <w:p w14:paraId="3DBA7185" w14:textId="77777777" w:rsidR="008D2D62" w:rsidRDefault="00A327E2">
            <w:pPr>
              <w:spacing w:line="240" w:lineRule="auto"/>
              <w:jc w:val="center"/>
            </w:pPr>
            <w:r>
              <w:rPr>
                <w:b/>
                <w:bCs/>
                <w:sz w:val="22"/>
                <w:szCs w:val="22"/>
              </w:rPr>
              <w:t>0,0061</w:t>
            </w:r>
          </w:p>
        </w:tc>
        <w:tc>
          <w:tcPr>
            <w:tcW w:w="1560" w:type="dxa"/>
            <w:tcMar>
              <w:top w:w="60" w:type="dxa"/>
              <w:left w:w="100" w:type="dxa"/>
              <w:bottom w:w="60" w:type="dxa"/>
              <w:right w:w="100" w:type="dxa"/>
            </w:tcMar>
          </w:tcPr>
          <w:p w14:paraId="34A1DE4D" w14:textId="77777777" w:rsidR="008D2D62" w:rsidRDefault="00A327E2">
            <w:pPr>
              <w:spacing w:line="240" w:lineRule="auto"/>
              <w:jc w:val="center"/>
            </w:pPr>
            <w:r>
              <w:rPr>
                <w:b/>
                <w:bCs/>
                <w:sz w:val="22"/>
                <w:szCs w:val="22"/>
              </w:rPr>
              <w:t>0,2</w:t>
            </w:r>
          </w:p>
        </w:tc>
      </w:tr>
      <w:tr w:rsidR="008D2D62" w14:paraId="7F376F26" w14:textId="77777777">
        <w:tblPrEx>
          <w:tblCellMar>
            <w:top w:w="0" w:type="dxa"/>
            <w:bottom w:w="0" w:type="dxa"/>
          </w:tblCellMar>
        </w:tblPrEx>
        <w:tc>
          <w:tcPr>
            <w:tcW w:w="1560" w:type="dxa"/>
            <w:tcMar>
              <w:top w:w="60" w:type="dxa"/>
              <w:left w:w="100" w:type="dxa"/>
              <w:bottom w:w="60" w:type="dxa"/>
              <w:right w:w="100" w:type="dxa"/>
            </w:tcMar>
          </w:tcPr>
          <w:p w14:paraId="0361B428" w14:textId="77777777" w:rsidR="008D2D62" w:rsidRDefault="00A327E2">
            <w:pPr>
              <w:spacing w:line="240" w:lineRule="auto"/>
            </w:pPr>
            <w:r>
              <w:rPr>
                <w:sz w:val="22"/>
                <w:szCs w:val="22"/>
              </w:rPr>
              <w:t>chronos-t5-small</w:t>
            </w:r>
          </w:p>
        </w:tc>
        <w:tc>
          <w:tcPr>
            <w:tcW w:w="1560" w:type="dxa"/>
            <w:tcMar>
              <w:top w:w="60" w:type="dxa"/>
              <w:left w:w="100" w:type="dxa"/>
              <w:bottom w:w="60" w:type="dxa"/>
              <w:right w:w="100" w:type="dxa"/>
            </w:tcMar>
          </w:tcPr>
          <w:p w14:paraId="56492764" w14:textId="77777777" w:rsidR="008D2D62" w:rsidRDefault="00A327E2">
            <w:pPr>
              <w:spacing w:line="240" w:lineRule="auto"/>
              <w:jc w:val="center"/>
            </w:pPr>
            <w:r>
              <w:rPr>
                <w:sz w:val="22"/>
                <w:szCs w:val="22"/>
              </w:rPr>
              <w:t>Chronos-T5 (Amazon)</w:t>
            </w:r>
          </w:p>
        </w:tc>
        <w:tc>
          <w:tcPr>
            <w:tcW w:w="1560" w:type="dxa"/>
            <w:tcMar>
              <w:top w:w="60" w:type="dxa"/>
              <w:left w:w="100" w:type="dxa"/>
              <w:bottom w:w="60" w:type="dxa"/>
              <w:right w:w="100" w:type="dxa"/>
            </w:tcMar>
          </w:tcPr>
          <w:p w14:paraId="4F78FE65" w14:textId="77777777" w:rsidR="008D2D62" w:rsidRDefault="00A327E2">
            <w:pPr>
              <w:spacing w:line="240" w:lineRule="auto"/>
              <w:jc w:val="center"/>
            </w:pPr>
            <w:r>
              <w:rPr>
                <w:sz w:val="22"/>
                <w:szCs w:val="22"/>
              </w:rPr>
              <w:t>176,08</w:t>
            </w:r>
          </w:p>
        </w:tc>
        <w:tc>
          <w:tcPr>
            <w:tcW w:w="1560" w:type="dxa"/>
            <w:tcMar>
              <w:top w:w="60" w:type="dxa"/>
              <w:left w:w="100" w:type="dxa"/>
              <w:bottom w:w="60" w:type="dxa"/>
              <w:right w:w="100" w:type="dxa"/>
            </w:tcMar>
          </w:tcPr>
          <w:p w14:paraId="6FC44513" w14:textId="77777777" w:rsidR="008D2D62" w:rsidRDefault="00A327E2">
            <w:pPr>
              <w:spacing w:line="240" w:lineRule="auto"/>
              <w:jc w:val="center"/>
            </w:pPr>
            <w:r>
              <w:rPr>
                <w:sz w:val="22"/>
                <w:szCs w:val="22"/>
              </w:rPr>
              <w:t>4 805,6</w:t>
            </w:r>
          </w:p>
        </w:tc>
        <w:tc>
          <w:tcPr>
            <w:tcW w:w="1560" w:type="dxa"/>
            <w:tcMar>
              <w:top w:w="60" w:type="dxa"/>
              <w:left w:w="100" w:type="dxa"/>
              <w:bottom w:w="60" w:type="dxa"/>
              <w:right w:w="100" w:type="dxa"/>
            </w:tcMar>
          </w:tcPr>
          <w:p w14:paraId="579AE8AE" w14:textId="77777777" w:rsidR="008D2D62" w:rsidRDefault="00A327E2">
            <w:pPr>
              <w:spacing w:line="240" w:lineRule="auto"/>
              <w:jc w:val="center"/>
            </w:pPr>
            <w:r>
              <w:rPr>
                <w:sz w:val="22"/>
                <w:szCs w:val="22"/>
              </w:rPr>
              <w:t>2,9546</w:t>
            </w:r>
          </w:p>
        </w:tc>
        <w:tc>
          <w:tcPr>
            <w:tcW w:w="1560" w:type="dxa"/>
            <w:tcMar>
              <w:top w:w="60" w:type="dxa"/>
              <w:left w:w="100" w:type="dxa"/>
              <w:bottom w:w="60" w:type="dxa"/>
              <w:right w:w="100" w:type="dxa"/>
            </w:tcMar>
          </w:tcPr>
          <w:p w14:paraId="6CDD41EF" w14:textId="77777777" w:rsidR="008D2D62" w:rsidRDefault="00A327E2">
            <w:pPr>
              <w:spacing w:line="240" w:lineRule="auto"/>
              <w:jc w:val="center"/>
            </w:pPr>
            <w:r>
              <w:rPr>
                <w:sz w:val="22"/>
                <w:szCs w:val="22"/>
              </w:rPr>
              <w:t>96,3</w:t>
            </w:r>
          </w:p>
        </w:tc>
      </w:tr>
      <w:tr w:rsidR="008D2D62" w14:paraId="2B6B420B" w14:textId="77777777">
        <w:tblPrEx>
          <w:tblCellMar>
            <w:top w:w="0" w:type="dxa"/>
            <w:bottom w:w="0" w:type="dxa"/>
          </w:tblCellMar>
        </w:tblPrEx>
        <w:tc>
          <w:tcPr>
            <w:tcW w:w="1560" w:type="dxa"/>
            <w:tcBorders>
              <w:bottom w:val="single" w:sz="6" w:space="0" w:color="000000"/>
            </w:tcBorders>
            <w:tcMar>
              <w:top w:w="60" w:type="dxa"/>
              <w:left w:w="100" w:type="dxa"/>
              <w:bottom w:w="60" w:type="dxa"/>
              <w:right w:w="100" w:type="dxa"/>
            </w:tcMar>
          </w:tcPr>
          <w:p w14:paraId="0CAFF26E" w14:textId="77777777" w:rsidR="008D2D62" w:rsidRDefault="00A327E2">
            <w:pPr>
              <w:spacing w:line="240" w:lineRule="auto"/>
            </w:pPr>
            <w:r>
              <w:rPr>
                <w:sz w:val="22"/>
                <w:szCs w:val="22"/>
              </w:rPr>
              <w:t>timesfm-2.5-200m</w:t>
            </w:r>
          </w:p>
        </w:tc>
        <w:tc>
          <w:tcPr>
            <w:tcW w:w="1560" w:type="dxa"/>
            <w:tcBorders>
              <w:bottom w:val="single" w:sz="6" w:space="0" w:color="000000"/>
            </w:tcBorders>
            <w:tcMar>
              <w:top w:w="60" w:type="dxa"/>
              <w:left w:w="100" w:type="dxa"/>
              <w:bottom w:w="60" w:type="dxa"/>
              <w:right w:w="100" w:type="dxa"/>
            </w:tcMar>
          </w:tcPr>
          <w:p w14:paraId="54F40F8C" w14:textId="77777777" w:rsidR="008D2D62" w:rsidRDefault="00A327E2">
            <w:pPr>
              <w:spacing w:line="240" w:lineRule="auto"/>
              <w:jc w:val="center"/>
            </w:pPr>
            <w:r>
              <w:rPr>
                <w:sz w:val="22"/>
                <w:szCs w:val="22"/>
              </w:rPr>
              <w:t>TimesFM (Google)</w:t>
            </w:r>
          </w:p>
        </w:tc>
        <w:tc>
          <w:tcPr>
            <w:tcW w:w="1560" w:type="dxa"/>
            <w:tcBorders>
              <w:bottom w:val="single" w:sz="6" w:space="0" w:color="000000"/>
            </w:tcBorders>
            <w:tcMar>
              <w:top w:w="60" w:type="dxa"/>
              <w:left w:w="100" w:type="dxa"/>
              <w:bottom w:w="60" w:type="dxa"/>
              <w:right w:w="100" w:type="dxa"/>
            </w:tcMar>
          </w:tcPr>
          <w:p w14:paraId="3205406E" w14:textId="77777777" w:rsidR="008D2D62" w:rsidRDefault="00A327E2">
            <w:pPr>
              <w:spacing w:line="240" w:lineRule="auto"/>
              <w:jc w:val="center"/>
            </w:pPr>
            <w:r>
              <w:rPr>
                <w:sz w:val="22"/>
                <w:szCs w:val="22"/>
              </w:rPr>
              <w:t>882,32</w:t>
            </w:r>
          </w:p>
        </w:tc>
        <w:tc>
          <w:tcPr>
            <w:tcW w:w="1560" w:type="dxa"/>
            <w:tcBorders>
              <w:bottom w:val="single" w:sz="6" w:space="0" w:color="000000"/>
            </w:tcBorders>
            <w:tcMar>
              <w:top w:w="60" w:type="dxa"/>
              <w:left w:w="100" w:type="dxa"/>
              <w:bottom w:w="60" w:type="dxa"/>
              <w:right w:w="100" w:type="dxa"/>
            </w:tcMar>
          </w:tcPr>
          <w:p w14:paraId="0E859C3F" w14:textId="77777777" w:rsidR="008D2D62" w:rsidRDefault="00A327E2">
            <w:pPr>
              <w:spacing w:line="240" w:lineRule="auto"/>
              <w:jc w:val="center"/>
            </w:pPr>
            <w:r>
              <w:rPr>
                <w:sz w:val="22"/>
                <w:szCs w:val="22"/>
              </w:rPr>
              <w:t>1 264,6</w:t>
            </w:r>
          </w:p>
        </w:tc>
        <w:tc>
          <w:tcPr>
            <w:tcW w:w="1560" w:type="dxa"/>
            <w:tcBorders>
              <w:bottom w:val="single" w:sz="6" w:space="0" w:color="000000"/>
            </w:tcBorders>
            <w:tcMar>
              <w:top w:w="60" w:type="dxa"/>
              <w:left w:w="100" w:type="dxa"/>
              <w:bottom w:w="60" w:type="dxa"/>
              <w:right w:w="100" w:type="dxa"/>
            </w:tcMar>
          </w:tcPr>
          <w:p w14:paraId="36C7E006" w14:textId="77777777" w:rsidR="008D2D62" w:rsidRDefault="00A327E2">
            <w:pPr>
              <w:spacing w:line="240" w:lineRule="auto"/>
              <w:jc w:val="center"/>
            </w:pPr>
            <w:r>
              <w:rPr>
                <w:sz w:val="22"/>
                <w:szCs w:val="22"/>
              </w:rPr>
              <w:t>0,1836</w:t>
            </w:r>
          </w:p>
        </w:tc>
        <w:tc>
          <w:tcPr>
            <w:tcW w:w="1560" w:type="dxa"/>
            <w:tcBorders>
              <w:bottom w:val="single" w:sz="6" w:space="0" w:color="000000"/>
            </w:tcBorders>
            <w:tcMar>
              <w:top w:w="60" w:type="dxa"/>
              <w:left w:w="100" w:type="dxa"/>
              <w:bottom w:w="60" w:type="dxa"/>
              <w:right w:w="100" w:type="dxa"/>
            </w:tcMar>
          </w:tcPr>
          <w:p w14:paraId="2CEA166E" w14:textId="77777777" w:rsidR="008D2D62" w:rsidRDefault="00A327E2">
            <w:pPr>
              <w:spacing w:line="240" w:lineRule="auto"/>
              <w:jc w:val="center"/>
            </w:pPr>
            <w:r>
              <w:rPr>
                <w:sz w:val="22"/>
                <w:szCs w:val="22"/>
              </w:rPr>
              <w:t>6,0</w:t>
            </w:r>
          </w:p>
        </w:tc>
      </w:tr>
    </w:tbl>
    <w:p w14:paraId="4CD16FCB" w14:textId="77777777" w:rsidR="008D2D62" w:rsidRDefault="00A327E2">
      <w:pPr>
        <w:spacing w:after="240"/>
      </w:pPr>
      <w:r>
        <w:rPr>
          <w:i/>
          <w:iCs/>
        </w:rPr>
        <w:t>Nota.</w:t>
      </w:r>
      <w:r>
        <w:t xml:space="preserve"> Fuente: </w:t>
      </w:r>
      <w:r>
        <w:rPr>
          <w:rFonts w:ascii="Courier New" w:eastAsia="Courier New" w:hAnsi="Courier New" w:cs="Courier New"/>
          <w:sz w:val="22"/>
          <w:szCs w:val="22"/>
        </w:rPr>
        <w:t>m3-inventario-tsfm.json</w:t>
      </w:r>
      <w:r>
        <w:t>.</w:t>
      </w:r>
    </w:p>
    <w:p w14:paraId="19BAA9BF" w14:textId="77777777" w:rsidR="008D2D62" w:rsidRDefault="00A327E2">
      <w:pPr>
        <w:ind w:firstLine="720"/>
      </w:pPr>
      <w:r>
        <w:rPr>
          <w:b/>
          <w:bCs/>
        </w:rPr>
        <w:t>Descartado antes de instalarse:</w:t>
      </w:r>
      <w:r>
        <w:t xml:space="preserve"> IBM </w:t>
      </w:r>
      <w:r>
        <w:rPr>
          <w:rFonts w:ascii="Courier New" w:eastAsia="Courier New" w:hAnsi="Courier New" w:cs="Courier New"/>
          <w:sz w:val="22"/>
          <w:szCs w:val="22"/>
        </w:rPr>
        <w:t>granite-tsfm</w:t>
      </w:r>
      <w:r>
        <w:t xml:space="preserve"> (TinyTimeMixer), porque su resolución degrada </w:t>
      </w:r>
      <w:r>
        <w:rPr>
          <w:rFonts w:ascii="Courier New" w:eastAsia="Courier New" w:hAnsi="Courier New" w:cs="Courier New"/>
          <w:sz w:val="22"/>
          <w:szCs w:val="22"/>
        </w:rPr>
        <w:t>torch</w:t>
      </w:r>
      <w:r>
        <w:t xml:space="preserve"> de 2.13.0 a 2.10.0 y un entorno distinto al del resto del equipo rompe el requisito no funcional de reproducibilidad. Comprobado con </w:t>
      </w:r>
      <w:r>
        <w:rPr>
          <w:rFonts w:ascii="Courier New" w:eastAsia="Courier New" w:hAnsi="Courier New" w:cs="Courier New"/>
          <w:sz w:val="22"/>
          <w:szCs w:val="22"/>
        </w:rPr>
        <w:t>uv pip install --dry-run</w:t>
      </w:r>
      <w:r>
        <w:t>, sin llegar a instalarlo.</w:t>
      </w:r>
    </w:p>
    <w:p w14:paraId="290EC68D" w14:textId="77777777" w:rsidR="008D2D62" w:rsidRDefault="00A327E2">
      <w:pPr>
        <w:ind w:firstLine="720"/>
      </w:pPr>
      <w:r>
        <w:t xml:space="preserve">Los tres candidatos que sí se instalaron son viables en CPU: los tres cargan, los tres infieren, los tres devuelven un pronóstico. Pero la diferencia práctica entre ellos es de tres órdenes de magnitud, y ahí está el número que decide. </w:t>
      </w:r>
      <w:r>
        <w:rPr>
          <w:b/>
          <w:bCs/>
        </w:rPr>
        <w:t>Chronos-T5 queda descartado por 96,3 minutos de sola inferencia sobre el bloque de validación</w:t>
      </w:r>
      <w:r>
        <w:t xml:space="preserve">, sin entrenar nada — contra el techo de dos horas que RNF-4 fija para el modelo avanzado completo. Es autorregresivo y muestrea 20 </w:t>
      </w:r>
      <w:r>
        <w:lastRenderedPageBreak/>
        <w:t>trayectorias por ventana; Chronos-Bolt predice sus 9 cuantiles de una sola pasada, lo que explica la diferencia de casi 500 veces en tiempo por ventana.</w:t>
      </w:r>
    </w:p>
    <w:p w14:paraId="36E3D19C" w14:textId="77777777" w:rsidR="008D2D62" w:rsidRDefault="00A327E2">
      <w:pPr>
        <w:ind w:firstLine="720"/>
      </w:pPr>
      <w:r>
        <w:rPr>
          <w:b/>
          <w:bCs/>
        </w:rPr>
        <w:t>Cuidado con la lectura de la Tabla 1.</w:t>
      </w:r>
      <w:r>
        <w:t xml:space="preserve"> Los tres aparecen como </w:t>
      </w:r>
      <w:r>
        <w:rPr>
          <w:rFonts w:ascii="Courier New" w:eastAsia="Courier New" w:hAnsi="Courier New" w:cs="Courier New"/>
          <w:sz w:val="22"/>
          <w:szCs w:val="22"/>
        </w:rPr>
        <w:t>viable: true</w:t>
      </w:r>
      <w:r>
        <w:t xml:space="preserve"> en la evidencia porque </w:t>
      </w:r>
      <w:r>
        <w:rPr>
          <w:i/>
          <w:iCs/>
        </w:rPr>
        <w:t>corren</w:t>
      </w:r>
      <w:r>
        <w:t>: cargan sin error y producen un pronóstico con la forma esperada. Que corran y que sirvan para nuestro problema no es lo mismo — esa pregunta es la de la sección 6, y ahí es donde entra el candidato que sí recomendamos: Chronos-Bolt.</w:t>
      </w:r>
    </w:p>
    <w:p w14:paraId="5CED24F6" w14:textId="77777777" w:rsidR="008D2D62" w:rsidRDefault="00A327E2">
      <w:pPr>
        <w:pStyle w:val="Ttulo2"/>
        <w:keepNext/>
      </w:pPr>
      <w:bookmarkStart w:id="3" w:name="_Toc238156093"/>
      <w:r>
        <w:t>2. VTA (Verbal Technical Analysis)</w:t>
      </w:r>
      <w:bookmarkEnd w:id="3"/>
    </w:p>
    <w:p w14:paraId="10AFE2A9" w14:textId="77777777" w:rsidR="008D2D62" w:rsidRDefault="00A327E2">
      <w:pPr>
        <w:ind w:firstLine="720"/>
      </w:pPr>
      <w:r>
        <w:t>VTA es un marco reciente (Koa et al., 2025) que combina dos formas de razonamiento sobre una serie de precios: convierte el histórico en anotaciones textuales —un resumen en lenguaje natural del comportamiento reciente del precio— y usa un modelo de lenguaje para razonar verbalmente sobre esas anotaciones, mientras condiciona un modelo de series de tiempo separado sobre la salida de ese razonamiento. En vez de alimentar al modelo con números crudos, primero los traduce a una descripción que un modelo de len</w:t>
      </w:r>
      <w:r>
        <w:t>guaje puede interpretar, y el objetivo de entrenamiento combina la calidad del pronóstico numérico con la coherencia del razonamiento textual. El código está disponible públicamente (</w:t>
      </w:r>
      <w:r>
        <w:rPr>
          <w:rFonts w:ascii="Courier New" w:eastAsia="Courier New" w:hAnsi="Courier New" w:cs="Courier New"/>
          <w:sz w:val="22"/>
          <w:szCs w:val="22"/>
        </w:rPr>
        <w:t>github.com/chen-jan/VTA</w:t>
      </w:r>
      <w:r>
        <w:t>), lo que satisface RF-M2 si se lo considerara para el modelo avanzado.</w:t>
      </w:r>
    </w:p>
    <w:p w14:paraId="46973972" w14:textId="77777777" w:rsidR="008D2D62" w:rsidRDefault="00A327E2">
      <w:pPr>
        <w:ind w:firstLine="720"/>
      </w:pPr>
      <w:r>
        <w:t>Dos preguntas hay que responder para nuestro caso, y ninguna de las dos es favorable.</w:t>
      </w:r>
    </w:p>
    <w:p w14:paraId="3283B244" w14:textId="77777777" w:rsidR="008D2D62" w:rsidRDefault="00A327E2">
      <w:pPr>
        <w:ind w:firstLine="720"/>
      </w:pPr>
      <w:r>
        <w:rPr>
          <w:b/>
          <w:bCs/>
        </w:rPr>
        <w:t>¿Aplica a una clasificación de tres clases sobre seis series simultáneas?</w:t>
      </w:r>
      <w:r>
        <w:t xml:space="preserve"> El diseño original de VTA pronostica la trayectoria de un solo activo a la vez y se evalúa sobre mercados de acciones de Estados Unidos, China y Europa (Koa et al., 2025) — no está pensado para razonar sobre seis series correlacionadas al mismo tiempo, que es justamente lo que el enunciado exige al pedir que BTC, ETH, SOL, XRP y ADA entren como variables de apoyo de LTC. </w:t>
      </w:r>
      <w:r>
        <w:lastRenderedPageBreak/>
        <w:t>Extenderlo a un caso multivariante exigiría diseñar de cero el prompt que describa las seis series a la vez, algo que el trabajo original</w:t>
      </w:r>
      <w:r>
        <w:t xml:space="preserve"> no aborda.</w:t>
      </w:r>
    </w:p>
    <w:p w14:paraId="015AAB1B" w14:textId="77777777" w:rsidR="008D2D62" w:rsidRDefault="00A327E2">
      <w:pPr>
        <w:ind w:firstLine="720"/>
      </w:pPr>
      <w:r>
        <w:rPr>
          <w:b/>
          <w:bCs/>
        </w:rPr>
        <w:t>¿Qué costo tiene traducir 13 114 velas a texto?</w:t>
      </w:r>
      <w:r>
        <w:t xml:space="preserve"> No lo hemos medido, y no lo escondemos: no llegamos a implementar el paso de textificación para cronometrarlo. Pero el orden de magnitud del problema es claro sin necesidad de medirlo con precisión — VTA anota por activo y por ventana, así que aplicado a nuestro panel implica generar y procesar una anotación textual por cada una de las 13 114 velas y por cada uno de los seis activos, y después pasarlas por un modelo de lenguaje para razonar. Es un costo de cómputo de un orden completamente distinto al de l</w:t>
      </w:r>
      <w:r>
        <w:t>os TSFMs de la sección 1, que procesan la serie numérica directamente.</w:t>
      </w:r>
    </w:p>
    <w:p w14:paraId="0E62DA77" w14:textId="77777777" w:rsidR="008D2D62" w:rsidRDefault="00A327E2">
      <w:pPr>
        <w:ind w:firstLine="720"/>
      </w:pPr>
      <w:r>
        <w:rPr>
          <w:b/>
          <w:bCs/>
        </w:rPr>
        <w:t>Se descarta.</w:t>
      </w:r>
      <w:r>
        <w:t xml:space="preserve"> No porque el enfoque sea malo — el propio equipo de VTA reporta resultados de vanguardia en sus mercados de prueba —, sino porque el punto de entrada al problema (una sola serie, no seis; texto, no números) no calza con lo que tenemos que resolver, y adaptarlo tiene un costo que no está dentro del presupuesto de cinco semanas del proyecto.</w:t>
      </w:r>
    </w:p>
    <w:p w14:paraId="0163CECB" w14:textId="77777777" w:rsidR="008D2D62" w:rsidRDefault="00A327E2">
      <w:pPr>
        <w:pStyle w:val="Ttulo2"/>
        <w:keepNext/>
      </w:pPr>
      <w:bookmarkStart w:id="4" w:name="_Toc238156094"/>
      <w:r>
        <w:t>3. FinLSPM (Large Stock Predict Model)</w:t>
      </w:r>
      <w:bookmarkEnd w:id="4"/>
    </w:p>
    <w:p w14:paraId="6D00EC44" w14:textId="77777777" w:rsidR="008D2D62" w:rsidRDefault="00A327E2">
      <w:pPr>
        <w:ind w:firstLine="720"/>
      </w:pPr>
      <w:r>
        <w:t>FinLSPM adapta un modelo de lenguaje general en un predictor financiero mediante dos piezas: una tokenización numérica voraz (</w:t>
      </w:r>
      <w:r>
        <w:rPr>
          <w:i/>
          <w:iCs/>
        </w:rPr>
        <w:t>Numerical Greedy Tokenization</w:t>
      </w:r>
      <w:r>
        <w:t>) que mapea los valores de entrada a un subconjunto de símbolos numéricos, aprovechando las relaciones numéricas que el modelo de lenguaje ya aprendió durante su preentrenamiento sobre texto, y una función de pérdida MR-MAE ajustada para capturar patrones de volatilidad (Guo et al., 2026). Está diseñado y ajustado principalmente sobre el índice NASDAQ en frecuencia diaria, donde reduce el error absoluto medio en 69,8 % frente a un modelo lineal de referencia.</w:t>
      </w:r>
    </w:p>
    <w:p w14:paraId="5774DCD5" w14:textId="77777777" w:rsidR="008D2D62" w:rsidRDefault="00A327E2">
      <w:pPr>
        <w:ind w:firstLine="720"/>
      </w:pPr>
      <w:r>
        <w:lastRenderedPageBreak/>
        <w:t xml:space="preserve">Acá hay que corregir una suposición razonable antes de usarla como argumento: el propio artículo evalúa FinLSPM también sobre S&amp;P 500 y sobre </w:t>
      </w:r>
      <w:r>
        <w:rPr>
          <w:b/>
          <w:bCs/>
        </w:rPr>
        <w:t>Bitcoin</w:t>
      </w:r>
      <w:r>
        <w:t>, como prueba de generalización (Guo et al., 2026). Es decir, sus autores ya lo probaron sobre un criptoactivo — así que el argumento de "está pensado para acciones, que tienen anclaje fundamental, y las criptomonedas no" no sostiene por sí solo el descarte, aunque sea un punto de análisis válido para explicar por qué su arquitectura principal se ajustó sobre un índice diario y no sobre un panel multivariante de 4 horas como el nuestro.</w:t>
      </w:r>
    </w:p>
    <w:p w14:paraId="3948C932" w14:textId="77777777" w:rsidR="008D2D62" w:rsidRDefault="00A327E2">
      <w:pPr>
        <w:ind w:firstLine="720"/>
      </w:pPr>
      <w:r>
        <w:t xml:space="preserve">El criterio que sí decide es otro, y es verificable: </w:t>
      </w:r>
      <w:r>
        <w:rPr>
          <w:b/>
          <w:bCs/>
        </w:rPr>
        <w:t>el enunciado exige un modelo con código disponible públicamente</w:t>
      </w:r>
      <w:r>
        <w:t xml:space="preserve"> (RF-M2). Buscamos un repositorio público de FinLSPM y no lo encontramos —ni en el artículo, ni en una búsqueda dirigida—. No es una prueba de que no exista, es lo que pudimos verificar hasta ahora: "no lo hemos encontrado", no "no existe". Mientras eso siga así, FinLSPM no cumple un requisito no negociable del enunciado, y ese es el motivo de descarte, no la transferencia de acciones a criptoactivos.</w:t>
      </w:r>
    </w:p>
    <w:p w14:paraId="385B59A2" w14:textId="77777777" w:rsidR="008D2D62" w:rsidRDefault="00A327E2">
      <w:pPr>
        <w:pStyle w:val="Ttulo2"/>
        <w:keepNext/>
      </w:pPr>
      <w:bookmarkStart w:id="5" w:name="_Toc238156095"/>
      <w:r>
        <w:t>4. CryptoMamba</w:t>
      </w:r>
      <w:bookmarkEnd w:id="5"/>
    </w:p>
    <w:p w14:paraId="238A66DB" w14:textId="77777777" w:rsidR="008D2D62" w:rsidRDefault="00A327E2">
      <w:pPr>
        <w:ind w:firstLine="720"/>
      </w:pPr>
      <w:r>
        <w:rPr>
          <w:b/>
          <w:bCs/>
        </w:rPr>
        <w:t>Medido:</w:t>
      </w:r>
      <w:r>
        <w:t xml:space="preserve"> no se puede instalar sin CUDA en las máquinas del equipo.</w:t>
      </w:r>
    </w:p>
    <w:p w14:paraId="0F98B295" w14:textId="77777777" w:rsidR="008D2D62" w:rsidRDefault="00A327E2">
      <w:pPr>
        <w:ind w:firstLine="720"/>
      </w:pPr>
      <w:r>
        <w:rPr>
          <w:rFonts w:ascii="Courier New" w:eastAsia="Courier New" w:hAnsi="Courier New" w:cs="Courier New"/>
          <w:sz w:val="22"/>
          <w:szCs w:val="22"/>
        </w:rPr>
        <w:t>mamba-ssm</w:t>
      </w:r>
      <w:r>
        <w:t xml:space="preserve"> publica en PyPI una única distribución de código fuente y </w:t>
      </w:r>
      <w:r>
        <w:rPr>
          <w:b/>
          <w:bCs/>
        </w:rPr>
        <w:t>ninguna rueda precompilada</w:t>
      </w:r>
      <w:r>
        <w:t xml:space="preserve">, de modo que todo se compila desde fuente. Sin </w:t>
      </w:r>
      <w:r>
        <w:rPr>
          <w:rFonts w:ascii="Courier New" w:eastAsia="Courier New" w:hAnsi="Courier New" w:cs="Courier New"/>
          <w:sz w:val="22"/>
          <w:szCs w:val="22"/>
        </w:rPr>
        <w:t>nvcc</w:t>
      </w:r>
      <w:r>
        <w:t xml:space="preserve">, el </w:t>
      </w:r>
      <w:r>
        <w:rPr>
          <w:rFonts w:ascii="Courier New" w:eastAsia="Courier New" w:hAnsi="Courier New" w:cs="Courier New"/>
          <w:sz w:val="22"/>
          <w:szCs w:val="22"/>
        </w:rPr>
        <w:t>setup.py</w:t>
      </w:r>
      <w:r>
        <w:t xml:space="preserve"> de </w:t>
      </w:r>
      <w:r>
        <w:rPr>
          <w:rFonts w:ascii="Courier New" w:eastAsia="Courier New" w:hAnsi="Courier New" w:cs="Courier New"/>
          <w:sz w:val="22"/>
          <w:szCs w:val="22"/>
        </w:rPr>
        <w:t>causal-conv1d</w:t>
      </w:r>
      <w:r>
        <w:t xml:space="preserve"> avisa y después falla contra su propia variable indefinida: </w:t>
      </w:r>
      <w:r>
        <w:rPr>
          <w:rFonts w:ascii="Courier New" w:eastAsia="Courier New" w:hAnsi="Courier New" w:cs="Courier New"/>
          <w:sz w:val="22"/>
          <w:szCs w:val="22"/>
        </w:rPr>
        <w:t>NameError: name 'bare_metal_version' is not defined</w:t>
      </w:r>
      <w:r>
        <w:t xml:space="preserve">. Probado en un entorno desechable, nunca en el del proyecto. Fuente: </w:t>
      </w:r>
      <w:r>
        <w:rPr>
          <w:rFonts w:ascii="Courier New" w:eastAsia="Courier New" w:hAnsi="Courier New" w:cs="Courier New"/>
          <w:sz w:val="22"/>
          <w:szCs w:val="22"/>
        </w:rPr>
        <w:t>m3-spike-cryptomamba.json</w:t>
      </w:r>
      <w:r>
        <w:t>.</w:t>
      </w:r>
    </w:p>
    <w:p w14:paraId="7007BB7E" w14:textId="77777777" w:rsidR="008D2D62" w:rsidRDefault="00A327E2">
      <w:pPr>
        <w:ind w:firstLine="720"/>
      </w:pPr>
      <w:r>
        <w:t>Un modelo de espacio de estados (</w:t>
      </w:r>
      <w:r>
        <w:rPr>
          <w:i/>
          <w:iCs/>
        </w:rPr>
        <w:t>state space model</w:t>
      </w:r>
      <w:r>
        <w:t xml:space="preserve">, SSM) como Mamba procesa la secuencia con un estado interno que se actualiza vela a vela, de manera recurrente, y cuyo costo de cómputo crece </w:t>
      </w:r>
      <w:r>
        <w:rPr>
          <w:b/>
          <w:bCs/>
        </w:rPr>
        <w:t>linealmente</w:t>
      </w:r>
      <w:r>
        <w:t xml:space="preserve"> con la longitud de la secuencia — a diferencia de un Transformer, </w:t>
      </w:r>
      <w:r>
        <w:lastRenderedPageBreak/>
        <w:t xml:space="preserve">cuyo mecanismo de atención compara cada posición contra todas las demás y crece </w:t>
      </w:r>
      <w:r>
        <w:rPr>
          <w:b/>
          <w:bCs/>
        </w:rPr>
        <w:t>cuadráticamente</w:t>
      </w:r>
      <w:r>
        <w:t xml:space="preserve"> (Gu &amp; Dao, 2023). Mamba además hace que ese estado sea </w:t>
      </w:r>
      <w:r>
        <w:rPr>
          <w:i/>
          <w:iCs/>
        </w:rPr>
        <w:t>selectivo</w:t>
      </w:r>
      <w:r>
        <w:t>: los parámetros que gobiernan qué información retener o descartar dependen de la entrada en cada paso, en vez de ser fijos, lo que le permite mantener memoria relevante sobre secuencias largas sin pagar el costo cuadrático de la atención. CryptoMamba aplica esa arquitectura al pronóstico del precio de Bitcoin, y reporta mejoras frente a LSTM, Bi-LSTM, GRU y S-Mamba (Sepehri et al., 2025).</w:t>
      </w:r>
    </w:p>
    <w:p w14:paraId="73B0C7E8" w14:textId="77777777" w:rsidR="008D2D62" w:rsidRDefault="00A327E2">
      <w:pPr>
        <w:ind w:firstLine="720"/>
      </w:pPr>
      <w:r>
        <w:rPr>
          <w:b/>
          <w:bCs/>
        </w:rPr>
        <w:t>Y acá está el punto que conviene decir nosotros primero.</w:t>
      </w:r>
      <w:r>
        <w:t xml:space="preserve"> El apartado de entregables del enunciado pide </w:t>
      </w:r>
      <w:r>
        <w:rPr>
          <w:i/>
          <w:iCs/>
        </w:rPr>
        <w:t>"primero un modelo fundacional y segundo un Transformer"</w:t>
      </w:r>
      <w:r>
        <w:t xml:space="preserve">, y menciona CryptoMamba entre las opciones para el segundo. </w:t>
      </w:r>
      <w:r>
        <w:rPr>
          <w:b/>
          <w:bCs/>
        </w:rPr>
        <w:t>CryptoMamba no es un Transformer</w:t>
      </w:r>
      <w:r>
        <w:t xml:space="preserve">, es un modelo de espacio de estados: son dos familias arquitectónicas distintas, con mecanismos de cómputo distintos (recurrencia lineal contra atención cuadrática), y agruparlas bajo el mismo nombre no es correcto técnicamente. Elegirlo cumpliría con la lista de opciones del procedimiento, pero no con el requisito literal del entregable. Sumado a que no se puede instalar sin CUDA en nuestras máquinas, son </w:t>
      </w:r>
      <w:r>
        <w:rPr>
          <w:b/>
          <w:bCs/>
        </w:rPr>
        <w:t>dos razones independientes</w:t>
      </w:r>
      <w:r>
        <w:t xml:space="preserve"> para no elegirlo, y las dos están reportadas por escrito en la consulta al profesor (</w:t>
      </w:r>
      <w:r>
        <w:rPr>
          <w:rFonts w:ascii="Courier New" w:eastAsia="Courier New" w:hAnsi="Courier New" w:cs="Courier New"/>
          <w:sz w:val="22"/>
          <w:szCs w:val="22"/>
        </w:rPr>
        <w:t>docs/02-consulta-profesor.md</w:t>
      </w:r>
      <w:r>
        <w:t>, punto 5).</w:t>
      </w:r>
    </w:p>
    <w:p w14:paraId="5FF2084A" w14:textId="77777777" w:rsidR="008D2D62" w:rsidRDefault="00A327E2">
      <w:pPr>
        <w:pStyle w:val="Ttulo2"/>
        <w:keepNext/>
      </w:pPr>
      <w:bookmarkStart w:id="6" w:name="_Toc238156096"/>
      <w:r>
        <w:t>5. Transformer</w:t>
      </w:r>
      <w:bookmarkEnd w:id="6"/>
    </w:p>
    <w:p w14:paraId="6334E635" w14:textId="77777777" w:rsidR="008D2D62" w:rsidRDefault="00A327E2">
      <w:pPr>
        <w:ind w:firstLine="720"/>
      </w:pPr>
      <w:r>
        <w:t xml:space="preserve">El mecanismo de atención, introducido por Vaswani et al. (2017) para traducción automática, permite que cada posición de una secuencia se compare directamente contra todas las demás y pondere cuánto le importa cada una, sin la limitación de una recurrencia paso a paso como la de un SSM o una LSTM. Esa capacidad de mirar toda la secuencia a la vez es lo que motivó adaptarlo a series temporales: en principio, un punto lejano en el pasado puede influir </w:t>
      </w:r>
      <w:r>
        <w:lastRenderedPageBreak/>
        <w:t>tanto como uno reciente si la atención le asigna peso, algo que una recurrencia tiene que propagar paso a paso y puede perder por el camino.</w:t>
      </w:r>
    </w:p>
    <w:p w14:paraId="7F706B99" w14:textId="77777777" w:rsidR="008D2D62" w:rsidRDefault="00A327E2">
      <w:pPr>
        <w:ind w:firstLine="720"/>
      </w:pPr>
      <w:r>
        <w:t xml:space="preserve">Pero el matiz importa, y conviene decirlo con la misma honestidad con la que reportamos que el bosque aleatorio del Sprint 1 casi no detectaba extremos: hay literatura que cuestiona la ventaja real de la atención en pronóstico de series </w:t>
      </w:r>
      <w:r>
        <w:rPr>
          <w:b/>
          <w:bCs/>
        </w:rPr>
        <w:t>largas</w:t>
      </w:r>
      <w:r>
        <w:t xml:space="preserve">. Zeng et al. (2023) muestran que un modelo lineal simple (DLinear) supera a varios pronosticadores basados en Transformer en las pruebas estándar de pronóstico a largo plazo, y argumentan que la naturaleza </w:t>
      </w:r>
      <w:r>
        <w:rPr>
          <w:i/>
          <w:iCs/>
        </w:rPr>
        <w:t>permutation-invariant</w:t>
      </w:r>
      <w:r>
        <w:t xml:space="preserve"> de la atención — que no distingue el orden temporal salvo por una codificación posicional añadida aparte — puede ser una desventaja, no una ventaja, cuando lo que importa es precisamente el orden. Esa crítica motivó variantes diseñadas específicamente para series y no adaptadas desde el lenguaje: Informer reduce el costo cuadrático con atención dispersa (</w:t>
      </w:r>
      <w:r>
        <w:rPr>
          <w:i/>
          <w:iCs/>
        </w:rPr>
        <w:t>ProbSparse</w:t>
      </w:r>
      <w:r>
        <w:t>), e iTransformer invierte qué es lo que se atiende — en vez de atender entre instantes de tiempo, atiende entre series completas, tratando cada serie (LTC, BTC, ETH...) como un token —, lo que calza mejor con un problema explícitamente multivariante como el nuestro.</w:t>
      </w:r>
    </w:p>
    <w:p w14:paraId="16DCBF73" w14:textId="77777777" w:rsidR="008D2D62" w:rsidRDefault="00A327E2">
      <w:pPr>
        <w:ind w:firstLine="720"/>
      </w:pPr>
      <w:r>
        <w:t xml:space="preserve">Nuestros propios datos refuerzan la cautela. Con </w:t>
      </w:r>
      <w:r>
        <w:rPr>
          <w:b/>
          <w:bCs/>
        </w:rPr>
        <w:t>420 ejemplos de la clase minoritaria en entrenamiento</w:t>
      </w:r>
      <w:r>
        <w:t xml:space="preserve">, entrenar una arquitectura con atención desde cero —que típicamente necesita mucho más volumen de datos que un modelo recurrente o uno lineal para no sobreajustar— es pedirle a los datos algo que ya medimos que no tienen: el estudio de </w:t>
      </w:r>
      <w:r>
        <w:rPr>
          <w:rFonts w:ascii="Courier New" w:eastAsia="Courier New" w:hAnsi="Courier New" w:cs="Courier New"/>
          <w:sz w:val="22"/>
          <w:szCs w:val="22"/>
        </w:rPr>
        <w:t>w</w:t>
      </w:r>
      <w:r>
        <w:t xml:space="preserve"> y </w:t>
      </w:r>
      <w:r>
        <w:rPr>
          <w:rFonts w:ascii="Courier New" w:eastAsia="Courier New" w:hAnsi="Courier New" w:cs="Courier New"/>
          <w:sz w:val="22"/>
          <w:szCs w:val="22"/>
        </w:rPr>
        <w:t>h</w:t>
      </w:r>
      <w:r>
        <w:t xml:space="preserve"> encontró que la información mutua entre lo observable y la etiqueta cae 4,2 veces solo entre </w:t>
      </w:r>
      <w:r>
        <w:rPr>
          <w:rFonts w:ascii="Courier New" w:eastAsia="Courier New" w:hAnsi="Courier New" w:cs="Courier New"/>
          <w:sz w:val="22"/>
          <w:szCs w:val="22"/>
        </w:rPr>
        <w:t>h=1</w:t>
      </w:r>
      <w:r>
        <w:t xml:space="preserve"> y </w:t>
      </w:r>
      <w:r>
        <w:rPr>
          <w:rFonts w:ascii="Courier New" w:eastAsia="Courier New" w:hAnsi="Courier New" w:cs="Courier New"/>
          <w:sz w:val="22"/>
          <w:szCs w:val="22"/>
        </w:rPr>
        <w:t>h=3</w:t>
      </w:r>
      <w:r>
        <w:t xml:space="preserve"> (</w:t>
      </w:r>
      <w:r>
        <w:rPr>
          <w:rFonts w:ascii="Courier New" w:eastAsia="Courier New" w:hAnsi="Courier New" w:cs="Courier New"/>
          <w:sz w:val="22"/>
          <w:szCs w:val="22"/>
        </w:rPr>
        <w:t>docs/04-decision-w-h-granularidad.md</w:t>
      </w:r>
      <w:r>
        <w:t>), así que la señal disponible es escasa incluso antes de pensar en el tamaño del modelo. Esa es exactamente la pregunta que enlaza con la sección 6: si atención sí, pero no entrenada desde cero.</w:t>
      </w:r>
    </w:p>
    <w:p w14:paraId="2DA963CA" w14:textId="77777777" w:rsidR="008D2D62" w:rsidRDefault="00A327E2">
      <w:pPr>
        <w:pStyle w:val="Ttulo2"/>
        <w:keepNext/>
      </w:pPr>
      <w:bookmarkStart w:id="7" w:name="_Toc238156097"/>
      <w:r>
        <w:lastRenderedPageBreak/>
        <w:t>6. Justificación de la elección de modelo</w:t>
      </w:r>
      <w:bookmarkEnd w:id="7"/>
    </w:p>
    <w:p w14:paraId="5665FB06" w14:textId="77777777" w:rsidR="008D2D62" w:rsidRDefault="00A327E2">
      <w:pPr>
        <w:ind w:firstLine="720"/>
      </w:pPr>
      <w:r>
        <w:t xml:space="preserve">La estructura que sostiene esta sección es </w:t>
      </w:r>
      <w:r>
        <w:rPr>
          <w:b/>
          <w:bCs/>
        </w:rPr>
        <w:t>criterios primero, candidatos después</w:t>
      </w:r>
      <w:r>
        <w:t>, para que la elección no sea una opinión leída en retrospectiva sobre los números.</w:t>
      </w:r>
    </w:p>
    <w:p w14:paraId="215BE954" w14:textId="77777777" w:rsidR="008D2D62" w:rsidRDefault="00A327E2">
      <w:pPr>
        <w:ind w:firstLine="720"/>
      </w:pPr>
      <w:r>
        <w:rPr>
          <w:b/>
          <w:bCs/>
        </w:rPr>
        <w:t>Los criterios, declarados antes de aplicarlos:</w:t>
      </w:r>
    </w:p>
    <w:p w14:paraId="5E12EE51" w14:textId="77777777" w:rsidR="008D2D62" w:rsidRDefault="00A327E2">
      <w:pPr>
        <w:ind w:firstLine="720"/>
      </w:pPr>
      <w:r>
        <w:t xml:space="preserve">1. Corre en CPU (RNF-1) — no sabíamos qué máquinas tenía el equipo al empezar, y confirmamos </w:t>
      </w:r>
      <w:r>
        <w:rPr>
          <w:rFonts w:ascii="Courier New" w:eastAsia="Courier New" w:hAnsi="Courier New" w:cs="Courier New"/>
          <w:sz w:val="22"/>
          <w:szCs w:val="22"/>
        </w:rPr>
        <w:t>cuda_disponible: False</w:t>
      </w:r>
      <w:r>
        <w:t xml:space="preserve"> en la nuestra. 2. El código está disponible públicamente (RF-M2). 3. El tiempo de inferencia cabe dentro del presupuesto de dos horas para el modelo avanzado completo, entrenamiento incluido (RNF-4) — y por extensión, no debería consumir buena parte de ese presupuesto solo en inferir sobre validación. 4. No obliga a cambiar el entorno del resto del equipo (RNF-3).</w:t>
      </w:r>
    </w:p>
    <w:p w14:paraId="174D791D" w14:textId="77777777" w:rsidR="008D2D62" w:rsidRDefault="00A327E2">
      <w:pPr>
        <w:ind w:firstLine="720"/>
      </w:pPr>
      <w:r>
        <w:rPr>
          <w:b/>
          <w:bCs/>
        </w:rPr>
        <w:t>Modelo fundacional (RF-M1).</w:t>
      </w:r>
      <w:r>
        <w:t xml:space="preserve"> De los tres TSFMs medidos, los tres cumplen 1, 2 y 4. Solo Chronos-Bolt cumple 3 con margen: 0,2 minutos contra el bloque de validación entero, frente a los 96,3 de Chronos-T5 y los 6,0 de TimesFM. Ninguno de los dos números descarta a TimesFM de plano, pero Chronos-Bolt es la elección que deja más presupuesto de tiempo disponible para el modelo avanzado y para la optimización de hiperparámetros de la Semana 4 (issue #37). </w:t>
      </w:r>
      <w:r>
        <w:rPr>
          <w:b/>
          <w:bCs/>
        </w:rPr>
        <w:t>Recomendación: Chronos-Bolt</w:t>
      </w:r>
      <w:r>
        <w:t>, justificada por el criterio 3 medido y no por ser el más nombrado.</w:t>
      </w:r>
    </w:p>
    <w:p w14:paraId="122BFF4A" w14:textId="77777777" w:rsidR="008D2D62" w:rsidRDefault="00A327E2">
      <w:pPr>
        <w:ind w:firstLine="720"/>
      </w:pPr>
      <w:r>
        <w:rPr>
          <w:b/>
          <w:bCs/>
        </w:rPr>
        <w:t>Modelo avanzado (RF-M2).</w:t>
      </w:r>
      <w:r>
        <w:t xml:space="preserve"> De los candidatos del enunciado, CryptoMamba falla los criterios 1 y 2 a la vez —no corre en nuestras máquinas y, siendo estrictos con el entregable, no es un Transformer—; VTA falla el criterio 3 de facto por el costo no medido pero cualitativamente alto de textificar 78 684 valores (13 114 velas × 6 activos); FinLSPM falla el criterio 2 porque no encontramos su código público. Eso deja, entre las opciones que sí son Transformers de verdad, a </w:t>
      </w:r>
      <w:r>
        <w:rPr>
          <w:b/>
          <w:bCs/>
        </w:rPr>
        <w:t>iTransformer</w:t>
      </w:r>
      <w:r>
        <w:t xml:space="preserve"> e </w:t>
      </w:r>
      <w:r>
        <w:rPr>
          <w:b/>
          <w:bCs/>
        </w:rPr>
        <w:t>Informer</w:t>
      </w:r>
      <w:r>
        <w:t xml:space="preserve">, ambos con código disponible y ambos </w:t>
      </w:r>
      <w:r>
        <w:lastRenderedPageBreak/>
        <w:t>diseñados para series multivariantes en vez de adaptados desde el lenguaje — la sección 5 explica por qué esa distinción importa con nuestros datos. La decisión entre los dos, con sus tiempos medidos en nuestras máquinas, es la tarea S2-M3-01 (issue #21) y se lleva a la reunión del equipo con este documento como base, no se resuelve aquí en solitario.</w:t>
      </w:r>
    </w:p>
    <w:p w14:paraId="3CED84BD" w14:textId="77777777" w:rsidR="008D2D62" w:rsidRDefault="00A327E2">
      <w:pPr>
        <w:ind w:firstLine="720"/>
      </w:pPr>
      <w:r>
        <w:rPr>
          <w:b/>
          <w:bCs/>
        </w:rPr>
        <w:t>Y lo que queda sin resolver, porque es una decisión de diseño y no un detalle.</w:t>
      </w:r>
      <w:r>
        <w:t xml:space="preserve"> Un modelo fundacional de series de tiempo pronostica una trayectoria de precios, no una etiqueta de tres clases: hay que decidir cómo se cruza ese puente. Hay dos formas: usar el modelo congelado como extractor de representaciones y entrenar una cabeza de clasificación encima, o pronosticar la trayectoria y aplicarle directamente la función </w:t>
      </w:r>
      <w:r>
        <w:rPr>
          <w:rFonts w:ascii="Courier New" w:eastAsia="Courier New" w:hAnsi="Courier New" w:cs="Courier New"/>
          <w:sz w:val="22"/>
          <w:szCs w:val="22"/>
        </w:rPr>
        <w:t>etiquetar()</w:t>
      </w:r>
      <w:r>
        <w:t xml:space="preserve"> del contrato. La segunda es más simple, reutiliza código que ya está probado y verificado contra fuga, y —esto sí lo medimos— aplicar </w:t>
      </w:r>
      <w:r>
        <w:rPr>
          <w:rFonts w:ascii="Courier New" w:eastAsia="Courier New" w:hAnsi="Courier New" w:cs="Courier New"/>
          <w:sz w:val="22"/>
          <w:szCs w:val="22"/>
        </w:rPr>
        <w:t>etiquetar()</w:t>
      </w:r>
      <w:r>
        <w:t xml:space="preserve"> sobre la trayectoria que pronostica Chronos-Bolt cuesta apenas 12 segundos sobre las 1 959 filas del bloque de validación completo. Eso cambia el cálculo: la opción "simple" deja de ser la más barata pero la peor, y pasa a ser prácticamente gratis. La opción del extractor de representaciones sigue sobre la mesa, pero ahora tiene que justificar su costo adicional de entrenar una cabeza propia contra una alternativa que ya casi no cuesta nada. Esta es la decisión que se lleva al lunes, con el número puesto s</w:t>
      </w:r>
      <w:r>
        <w:t>obre la mesa y no solo el argumento.</w:t>
      </w:r>
    </w:p>
    <w:p w14:paraId="7F0A0BBE" w14:textId="77777777" w:rsidR="008D2D62" w:rsidRDefault="00A327E2">
      <w:pPr>
        <w:pStyle w:val="Ttulo1"/>
        <w:keepNext/>
      </w:pPr>
      <w:bookmarkStart w:id="8" w:name="_Toc238156098"/>
      <w:r>
        <w:t>Procedimiento para Desarrollar el Modelo de Puntos de Inflexión</w:t>
      </w:r>
      <w:bookmarkEnd w:id="8"/>
    </w:p>
    <w:p w14:paraId="3F7163FF" w14:textId="77777777" w:rsidR="008D2D62" w:rsidRDefault="00A327E2">
      <w:pPr>
        <w:ind w:firstLine="720"/>
      </w:pPr>
      <w:r>
        <w:rPr>
          <w:b/>
          <w:bCs/>
        </w:rPr>
        <w:t>Autor:</w:t>
      </w:r>
      <w:r>
        <w:t xml:space="preserve"> Fabrizio Espinoza Arce · </w:t>
      </w:r>
      <w:r>
        <w:rPr>
          <w:b/>
          <w:bCs/>
        </w:rPr>
        <w:t>Issue:</w:t>
      </w:r>
      <w:r>
        <w:t xml:space="preserve"> S2-M0-02</w:t>
      </w:r>
    </w:p>
    <w:p w14:paraId="7C15FDBB" w14:textId="77777777" w:rsidR="008D2D62" w:rsidRDefault="00A327E2">
      <w:pPr>
        <w:ind w:left="720"/>
      </w:pPr>
      <w:r>
        <w:rPr>
          <w:b/>
          <w:bCs/>
        </w:rPr>
        <w:t>Nota de verificación.</w:t>
      </w:r>
      <w:r>
        <w:t xml:space="preserve"> Los valores citados salen de </w:t>
      </w:r>
      <w:r>
        <w:rPr>
          <w:rFonts w:ascii="Courier New" w:eastAsia="Courier New" w:hAnsi="Courier New" w:cs="Courier New"/>
          <w:sz w:val="22"/>
          <w:szCs w:val="22"/>
        </w:rPr>
        <w:t>docs/evidencias/modelo-clasico-4h-w7-h1.json</w:t>
      </w:r>
      <w:r>
        <w:t xml:space="preserve"> y </w:t>
      </w:r>
      <w:r>
        <w:rPr>
          <w:rFonts w:ascii="Courier New" w:eastAsia="Courier New" w:hAnsi="Courier New" w:cs="Courier New"/>
          <w:sz w:val="22"/>
          <w:szCs w:val="22"/>
        </w:rPr>
        <w:t>docs/evidencias/estudio-w-h.json</w:t>
      </w:r>
      <w:r>
        <w:t xml:space="preserve">, y se comprueban con </w:t>
      </w:r>
      <w:r>
        <w:rPr>
          <w:rFonts w:ascii="Courier New" w:eastAsia="Courier New" w:hAnsi="Courier New" w:cs="Courier New"/>
          <w:sz w:val="22"/>
          <w:szCs w:val="22"/>
        </w:rPr>
        <w:t>scripts/verificar_numeros.py</w:t>
      </w:r>
      <w:r>
        <w:t xml:space="preserve">. Salvo indicación expresa, todos corresponden a la configuración congelada: </w:t>
      </w:r>
      <w:r>
        <w:rPr>
          <w:b/>
          <w:bCs/>
        </w:rPr>
        <w:t xml:space="preserve">velas de 4 horas, </w:t>
      </w:r>
      <w:r>
        <w:rPr>
          <w:rFonts w:ascii="Courier New" w:eastAsia="Courier New" w:hAnsi="Courier New" w:cs="Courier New"/>
          <w:b/>
          <w:bCs/>
          <w:sz w:val="22"/>
          <w:szCs w:val="22"/>
        </w:rPr>
        <w:t>w = 7</w:t>
      </w:r>
      <w:r>
        <w:rPr>
          <w:b/>
          <w:bCs/>
        </w:rPr>
        <w:t xml:space="preserve">, </w:t>
      </w:r>
      <w:r>
        <w:rPr>
          <w:rFonts w:ascii="Courier New" w:eastAsia="Courier New" w:hAnsi="Courier New" w:cs="Courier New"/>
          <w:b/>
          <w:bCs/>
          <w:sz w:val="22"/>
          <w:szCs w:val="22"/>
        </w:rPr>
        <w:t>h = 1</w:t>
      </w:r>
      <w:r>
        <w:t>.</w:t>
      </w:r>
    </w:p>
    <w:p w14:paraId="72B3F5CD" w14:textId="77777777" w:rsidR="008D2D62" w:rsidRDefault="00A327E2">
      <w:pPr>
        <w:ind w:firstLine="720"/>
      </w:pPr>
      <w:r>
        <w:lastRenderedPageBreak/>
        <w:t>El enunciado plantea un procedimiento genérico de ocho etapas y pide adaptarlo al proyecto. Esta sección lo recorre entera, y en cada etapa declara qué está construido y medido, y qué queda pendiente. La diferencia entre las dos cosas se señala en cada caso, porque un procedimiento descrito y un procedimiento ejecutado no son lo mismo.</w:t>
      </w:r>
    </w:p>
    <w:p w14:paraId="7CE9B7E0" w14:textId="77777777" w:rsidR="008D2D62" w:rsidRDefault="00A327E2">
      <w:pPr>
        <w:pStyle w:val="Ttulo2"/>
        <w:keepNext/>
      </w:pPr>
      <w:bookmarkStart w:id="9" w:name="_Toc238156099"/>
      <w:r>
        <w:t>1. Extracción de datos</w:t>
      </w:r>
      <w:bookmarkEnd w:id="9"/>
    </w:p>
    <w:p w14:paraId="2D3FF6B3" w14:textId="77777777" w:rsidR="008D2D62" w:rsidRDefault="00A327E2">
      <w:pPr>
        <w:ind w:firstLine="720"/>
      </w:pPr>
      <w:r>
        <w:t>Los precios provienen de la interfaz pública de Binance, de las seis parejas contra USDT. La descarga deja un manifiesto con la suma de verificación de cada archivo, de modo que dos personas pueden comprobar que trabajan sobre el mismo panel sin compararlo fila por fila.</w:t>
      </w:r>
    </w:p>
    <w:p w14:paraId="09E80147" w14:textId="77777777" w:rsidR="008D2D62" w:rsidRDefault="00A327E2">
      <w:pPr>
        <w:ind w:firstLine="720"/>
      </w:pPr>
      <w:r>
        <w:rPr>
          <w:b/>
          <w:bCs/>
        </w:rPr>
        <w:t>La decisión de granularidad se resolvió midiendo, y el criterio se fijó antes de mirar el resultado:</w:t>
      </w:r>
      <w:r>
        <w:t xml:space="preserve"> elegir el </w:t>
      </w:r>
      <w:r>
        <w:rPr>
          <w:rFonts w:ascii="Courier New" w:eastAsia="Courier New" w:hAnsi="Courier New" w:cs="Courier New"/>
          <w:sz w:val="22"/>
          <w:szCs w:val="22"/>
        </w:rPr>
        <w:t>w</w:t>
      </w:r>
      <w:r>
        <w:t xml:space="preserve"> más grande que deje al menos </w:t>
      </w:r>
      <w:r>
        <w:rPr>
          <w:b/>
          <w:bCs/>
        </w:rPr>
        <w:t>300 ejemplos</w:t>
      </w:r>
      <w:r>
        <w:t xml:space="preserve"> de la clase minoritaria en entrenamiento.</w:t>
      </w:r>
    </w:p>
    <w:p w14:paraId="2485C8E0" w14:textId="77777777" w:rsidR="008D2D62" w:rsidRDefault="00A327E2">
      <w:pPr>
        <w:keepNext/>
        <w:spacing w:before="240"/>
      </w:pPr>
      <w:r>
        <w:rPr>
          <w:b/>
          <w:bCs/>
        </w:rPr>
        <w:t>Tabla 2</w:t>
      </w:r>
    </w:p>
    <w:p w14:paraId="3B78092D" w14:textId="77777777" w:rsidR="008D2D62" w:rsidRDefault="00A327E2">
      <w:pPr>
        <w:keepNext/>
        <w:spacing w:after="60"/>
      </w:pPr>
      <w:r>
        <w:rPr>
          <w:i/>
          <w:iCs/>
        </w:rPr>
        <w:t>Disponibilidad de la clase minoritaria por granularidad</w:t>
      </w:r>
    </w:p>
    <w:tbl>
      <w:tblPr>
        <w:tblW w:w="9360" w:type="dxa"/>
        <w:tblCellMar>
          <w:left w:w="10" w:type="dxa"/>
          <w:right w:w="10" w:type="dxa"/>
        </w:tblCellMar>
        <w:tblLook w:val="04A0" w:firstRow="1" w:lastRow="0" w:firstColumn="1" w:lastColumn="0" w:noHBand="0" w:noVBand="1"/>
      </w:tblPr>
      <w:tblGrid>
        <w:gridCol w:w="3120"/>
        <w:gridCol w:w="3120"/>
        <w:gridCol w:w="3120"/>
      </w:tblGrid>
      <w:tr w:rsidR="008D2D62" w14:paraId="2F466428" w14:textId="77777777">
        <w:tblPrEx>
          <w:tblCellMar>
            <w:top w:w="0" w:type="dxa"/>
            <w:bottom w:w="0" w:type="dxa"/>
          </w:tblCellMar>
        </w:tblPrEx>
        <w:trPr>
          <w:tblHeader/>
        </w:trPr>
        <w:tc>
          <w:tcPr>
            <w:tcW w:w="3120" w:type="dxa"/>
            <w:tcBorders>
              <w:top w:val="single" w:sz="6" w:space="0" w:color="000000"/>
              <w:bottom w:val="single" w:sz="6" w:space="0" w:color="000000"/>
            </w:tcBorders>
            <w:tcMar>
              <w:top w:w="60" w:type="dxa"/>
              <w:left w:w="100" w:type="dxa"/>
              <w:bottom w:w="60" w:type="dxa"/>
              <w:right w:w="100" w:type="dxa"/>
            </w:tcMar>
          </w:tcPr>
          <w:p w14:paraId="0704C7FC" w14:textId="77777777" w:rsidR="008D2D62" w:rsidRDefault="00A327E2">
            <w:pPr>
              <w:spacing w:line="240" w:lineRule="auto"/>
            </w:pPr>
            <w:r>
              <w:rPr>
                <w:sz w:val="22"/>
                <w:szCs w:val="22"/>
              </w:rPr>
              <w:t>Granularidad</w:t>
            </w:r>
          </w:p>
        </w:tc>
        <w:tc>
          <w:tcPr>
            <w:tcW w:w="3120" w:type="dxa"/>
            <w:tcBorders>
              <w:top w:val="single" w:sz="6" w:space="0" w:color="000000"/>
              <w:bottom w:val="single" w:sz="6" w:space="0" w:color="000000"/>
            </w:tcBorders>
            <w:tcMar>
              <w:top w:w="60" w:type="dxa"/>
              <w:left w:w="100" w:type="dxa"/>
              <w:bottom w:w="60" w:type="dxa"/>
              <w:right w:w="100" w:type="dxa"/>
            </w:tcMar>
          </w:tcPr>
          <w:p w14:paraId="5D78D0B5" w14:textId="77777777" w:rsidR="008D2D62" w:rsidRDefault="00A327E2">
            <w:pPr>
              <w:spacing w:line="240" w:lineRule="auto"/>
              <w:jc w:val="center"/>
            </w:pPr>
            <w:r>
              <w:rPr>
                <w:sz w:val="22"/>
                <w:szCs w:val="22"/>
              </w:rPr>
              <w:t>Mejor caso medido</w:t>
            </w:r>
          </w:p>
        </w:tc>
        <w:tc>
          <w:tcPr>
            <w:tcW w:w="3120" w:type="dxa"/>
            <w:tcBorders>
              <w:top w:val="single" w:sz="6" w:space="0" w:color="000000"/>
              <w:bottom w:val="single" w:sz="6" w:space="0" w:color="000000"/>
            </w:tcBorders>
            <w:tcMar>
              <w:top w:w="60" w:type="dxa"/>
              <w:left w:w="100" w:type="dxa"/>
              <w:bottom w:w="60" w:type="dxa"/>
              <w:right w:w="100" w:type="dxa"/>
            </w:tcMar>
          </w:tcPr>
          <w:p w14:paraId="7EEB9880" w14:textId="77777777" w:rsidR="008D2D62" w:rsidRDefault="00A327E2">
            <w:pPr>
              <w:spacing w:line="240" w:lineRule="auto"/>
              <w:jc w:val="center"/>
            </w:pPr>
            <w:r>
              <w:rPr>
                <w:sz w:val="22"/>
                <w:szCs w:val="22"/>
              </w:rPr>
              <w:t>¿Cumple el piso?</w:t>
            </w:r>
          </w:p>
        </w:tc>
      </w:tr>
      <w:tr w:rsidR="008D2D62" w14:paraId="3E904962" w14:textId="77777777">
        <w:tblPrEx>
          <w:tblCellMar>
            <w:top w:w="0" w:type="dxa"/>
            <w:bottom w:w="0" w:type="dxa"/>
          </w:tblCellMar>
        </w:tblPrEx>
        <w:tc>
          <w:tcPr>
            <w:tcW w:w="3120" w:type="dxa"/>
            <w:tcMar>
              <w:top w:w="60" w:type="dxa"/>
              <w:left w:w="100" w:type="dxa"/>
              <w:bottom w:w="60" w:type="dxa"/>
              <w:right w:w="100" w:type="dxa"/>
            </w:tcMar>
          </w:tcPr>
          <w:p w14:paraId="3A7D1D89" w14:textId="77777777" w:rsidR="008D2D62" w:rsidRDefault="00A327E2">
            <w:pPr>
              <w:spacing w:line="240" w:lineRule="auto"/>
            </w:pPr>
            <w:r>
              <w:rPr>
                <w:sz w:val="22"/>
                <w:szCs w:val="22"/>
              </w:rPr>
              <w:t>Velas diarias</w:t>
            </w:r>
          </w:p>
        </w:tc>
        <w:tc>
          <w:tcPr>
            <w:tcW w:w="3120" w:type="dxa"/>
            <w:tcMar>
              <w:top w:w="60" w:type="dxa"/>
              <w:left w:w="100" w:type="dxa"/>
              <w:bottom w:w="60" w:type="dxa"/>
              <w:right w:w="100" w:type="dxa"/>
            </w:tcMar>
          </w:tcPr>
          <w:p w14:paraId="6CE2E3CA" w14:textId="77777777" w:rsidR="008D2D62" w:rsidRDefault="00A327E2">
            <w:pPr>
              <w:spacing w:line="240" w:lineRule="auto"/>
              <w:jc w:val="center"/>
            </w:pPr>
            <w:r>
              <w:rPr>
                <w:sz w:val="22"/>
                <w:szCs w:val="22"/>
              </w:rPr>
              <w:t xml:space="preserve">149 ejemplos con </w:t>
            </w:r>
            <w:r>
              <w:rPr>
                <w:rFonts w:ascii="Courier New" w:eastAsia="Courier New" w:hAnsi="Courier New" w:cs="Courier New"/>
                <w:sz w:val="20"/>
                <w:szCs w:val="20"/>
              </w:rPr>
              <w:t>w = 3</w:t>
            </w:r>
          </w:p>
        </w:tc>
        <w:tc>
          <w:tcPr>
            <w:tcW w:w="3120" w:type="dxa"/>
            <w:tcMar>
              <w:top w:w="60" w:type="dxa"/>
              <w:left w:w="100" w:type="dxa"/>
              <w:bottom w:w="60" w:type="dxa"/>
              <w:right w:w="100" w:type="dxa"/>
            </w:tcMar>
          </w:tcPr>
          <w:p w14:paraId="5749A01C" w14:textId="77777777" w:rsidR="008D2D62" w:rsidRDefault="00A327E2">
            <w:pPr>
              <w:spacing w:line="240" w:lineRule="auto"/>
              <w:jc w:val="center"/>
            </w:pPr>
            <w:r>
              <w:rPr>
                <w:b/>
                <w:bCs/>
                <w:sz w:val="22"/>
                <w:szCs w:val="22"/>
              </w:rPr>
              <w:t>No, en ninguna combinación</w:t>
            </w:r>
          </w:p>
        </w:tc>
      </w:tr>
      <w:tr w:rsidR="008D2D62" w14:paraId="25E73ACC" w14:textId="77777777">
        <w:tblPrEx>
          <w:tblCellMar>
            <w:top w:w="0" w:type="dxa"/>
            <w:bottom w:w="0" w:type="dxa"/>
          </w:tblCellMar>
        </w:tblPrEx>
        <w:tc>
          <w:tcPr>
            <w:tcW w:w="3120" w:type="dxa"/>
            <w:tcBorders>
              <w:bottom w:val="single" w:sz="6" w:space="0" w:color="000000"/>
            </w:tcBorders>
            <w:tcMar>
              <w:top w:w="60" w:type="dxa"/>
              <w:left w:w="100" w:type="dxa"/>
              <w:bottom w:w="60" w:type="dxa"/>
              <w:right w:w="100" w:type="dxa"/>
            </w:tcMar>
          </w:tcPr>
          <w:p w14:paraId="405C0E11" w14:textId="77777777" w:rsidR="008D2D62" w:rsidRDefault="00A327E2">
            <w:pPr>
              <w:spacing w:line="240" w:lineRule="auto"/>
            </w:pPr>
            <w:r>
              <w:rPr>
                <w:sz w:val="22"/>
                <w:szCs w:val="22"/>
              </w:rPr>
              <w:t>Velas de 4 horas</w:t>
            </w:r>
          </w:p>
        </w:tc>
        <w:tc>
          <w:tcPr>
            <w:tcW w:w="3120" w:type="dxa"/>
            <w:tcBorders>
              <w:bottom w:val="single" w:sz="6" w:space="0" w:color="000000"/>
            </w:tcBorders>
            <w:tcMar>
              <w:top w:w="60" w:type="dxa"/>
              <w:left w:w="100" w:type="dxa"/>
              <w:bottom w:w="60" w:type="dxa"/>
              <w:right w:w="100" w:type="dxa"/>
            </w:tcMar>
          </w:tcPr>
          <w:p w14:paraId="2694775F" w14:textId="77777777" w:rsidR="008D2D62" w:rsidRDefault="00A327E2">
            <w:pPr>
              <w:spacing w:line="240" w:lineRule="auto"/>
              <w:jc w:val="center"/>
            </w:pPr>
            <w:r>
              <w:rPr>
                <w:sz w:val="22"/>
                <w:szCs w:val="22"/>
              </w:rPr>
              <w:t xml:space="preserve">420 ejemplos con </w:t>
            </w:r>
            <w:r>
              <w:rPr>
                <w:rFonts w:ascii="Courier New" w:eastAsia="Courier New" w:hAnsi="Courier New" w:cs="Courier New"/>
                <w:sz w:val="20"/>
                <w:szCs w:val="20"/>
              </w:rPr>
              <w:t>w = 7</w:t>
            </w:r>
          </w:p>
        </w:tc>
        <w:tc>
          <w:tcPr>
            <w:tcW w:w="3120" w:type="dxa"/>
            <w:tcBorders>
              <w:bottom w:val="single" w:sz="6" w:space="0" w:color="000000"/>
            </w:tcBorders>
            <w:tcMar>
              <w:top w:w="60" w:type="dxa"/>
              <w:left w:w="100" w:type="dxa"/>
              <w:bottom w:w="60" w:type="dxa"/>
              <w:right w:w="100" w:type="dxa"/>
            </w:tcMar>
          </w:tcPr>
          <w:p w14:paraId="28B43F25" w14:textId="77777777" w:rsidR="008D2D62" w:rsidRDefault="00A327E2">
            <w:pPr>
              <w:spacing w:line="240" w:lineRule="auto"/>
              <w:jc w:val="center"/>
            </w:pPr>
            <w:r>
              <w:rPr>
                <w:sz w:val="22"/>
                <w:szCs w:val="22"/>
              </w:rPr>
              <w:t xml:space="preserve">Sí, hasta </w:t>
            </w:r>
            <w:r>
              <w:rPr>
                <w:rFonts w:ascii="Courier New" w:eastAsia="Courier New" w:hAnsi="Courier New" w:cs="Courier New"/>
                <w:sz w:val="20"/>
                <w:szCs w:val="20"/>
              </w:rPr>
              <w:t>w = 7</w:t>
            </w:r>
          </w:p>
        </w:tc>
      </w:tr>
    </w:tbl>
    <w:p w14:paraId="32C75B1C" w14:textId="77777777" w:rsidR="008D2D62" w:rsidRDefault="00A327E2">
      <w:pPr>
        <w:spacing w:after="240"/>
      </w:pPr>
      <w:r>
        <w:rPr>
          <w:i/>
          <w:iCs/>
        </w:rPr>
        <w:t>Nota.</w:t>
      </w:r>
      <w:r>
        <w:t xml:space="preserve"> Fuente: </w:t>
      </w:r>
      <w:r>
        <w:rPr>
          <w:rFonts w:ascii="Courier New" w:eastAsia="Courier New" w:hAnsi="Courier New" w:cs="Courier New"/>
          <w:sz w:val="22"/>
          <w:szCs w:val="22"/>
        </w:rPr>
        <w:t>estudio-w-h.json</w:t>
      </w:r>
      <w:r>
        <w:t>.</w:t>
      </w:r>
    </w:p>
    <w:p w14:paraId="24FF0116" w14:textId="77777777" w:rsidR="008D2D62" w:rsidRDefault="00A327E2">
      <w:pPr>
        <w:ind w:firstLine="720"/>
      </w:pPr>
      <w:r>
        <w:t xml:space="preserve">Las dos granularidades cubren exactamente el mismo período, del 11 de agosto de 2020 al presente, porque la ventana la acota Solana y un panel multivariante exige que las seis series existan a la vez. Bajar la granularidad no añade historia: </w:t>
      </w:r>
      <w:r>
        <w:rPr>
          <w:b/>
          <w:bCs/>
        </w:rPr>
        <w:t>subdivide la que hay</w:t>
      </w:r>
      <w:r>
        <w:t xml:space="preserve">, de 2 185 observaciones a </w:t>
      </w:r>
      <w:r>
        <w:rPr>
          <w:b/>
          <w:bCs/>
        </w:rPr>
        <w:t>13 114</w:t>
      </w:r>
      <w:r>
        <w:t>.</w:t>
      </w:r>
    </w:p>
    <w:p w14:paraId="65D98082" w14:textId="77777777" w:rsidR="008D2D62" w:rsidRDefault="00A327E2">
      <w:pPr>
        <w:ind w:firstLine="720"/>
      </w:pPr>
      <w:r>
        <w:t>El costo aceptado es que las velas de 4 horas incorporan más ruido de microestructura y son menos legibles en una figura.</w:t>
      </w:r>
    </w:p>
    <w:p w14:paraId="6423DB0F" w14:textId="77777777" w:rsidR="008D2D62" w:rsidRDefault="00A327E2">
      <w:pPr>
        <w:pStyle w:val="Ttulo2"/>
        <w:keepNext/>
      </w:pPr>
      <w:bookmarkStart w:id="10" w:name="_Toc238156100"/>
      <w:r>
        <w:lastRenderedPageBreak/>
        <w:t>2. Limpieza de datos</w:t>
      </w:r>
      <w:bookmarkEnd w:id="10"/>
    </w:p>
    <w:p w14:paraId="4E97B480" w14:textId="77777777" w:rsidR="008D2D62" w:rsidRDefault="00A327E2">
      <w:pPr>
        <w:ind w:firstLine="720"/>
      </w:pPr>
      <w:r>
        <w:t>La cobertura del panel de 4 horas está medida y es prácticamente completa: sobre los 13 114 instantes esperados para Solana no hay ningún hueco, y los de los demás activos en su historia completa van de 9 a 16 velas, menos del 0,1 %.</w:t>
      </w:r>
    </w:p>
    <w:p w14:paraId="2CF47B7A" w14:textId="77777777" w:rsidR="008D2D62" w:rsidRDefault="00A327E2">
      <w:pPr>
        <w:ind w:firstLine="720"/>
      </w:pPr>
      <w:r>
        <w:rPr>
          <w:b/>
          <w:bCs/>
        </w:rPr>
        <w:t>La política es no imputar en el panel.</w:t>
      </w:r>
      <w:r>
        <w:t xml:space="preserve"> Un hueco en el precio es información —el mercado no cotizó, o el exchange no publicó— y rellenarlo inventa una observación que después alimenta una etiqueta. Los nulos que sí aparecen son los que introducen las ventanas móviles al principio de la serie, </w:t>
      </w:r>
      <w:r>
        <w:rPr>
          <w:b/>
          <w:bCs/>
        </w:rPr>
        <w:t>30 filas</w:t>
      </w:r>
      <w:r>
        <w:t>, y se tratan dentro del modelo y no antes de particionar, por la razón que se explica en la etapa 5.</w:t>
      </w:r>
    </w:p>
    <w:p w14:paraId="3A31BD27" w14:textId="77777777" w:rsidR="008D2D62" w:rsidRDefault="00A327E2">
      <w:pPr>
        <w:ind w:firstLine="720"/>
      </w:pPr>
      <w:r>
        <w:t>El panel se valida contra un esquema explícito antes de cualquier uso: columnas exactas, tipos e índice temporal. Un panel que no cumple el esquema falla al cargarse en lugar de propagar el defecto.</w:t>
      </w:r>
    </w:p>
    <w:p w14:paraId="21326619" w14:textId="77777777" w:rsidR="008D2D62" w:rsidRDefault="00A327E2">
      <w:pPr>
        <w:pStyle w:val="Ttulo2"/>
        <w:keepNext/>
      </w:pPr>
      <w:bookmarkStart w:id="11" w:name="_Toc238156101"/>
      <w:r>
        <w:t>3. Análisis exploratorio</w:t>
      </w:r>
      <w:bookmarkEnd w:id="11"/>
    </w:p>
    <w:p w14:paraId="25839A43" w14:textId="77777777" w:rsidR="008D2D62" w:rsidRDefault="00A327E2">
      <w:pPr>
        <w:ind w:firstLine="720"/>
      </w:pPr>
      <w:r>
        <w:t>Es lo que constituyó la entrega de la Semana 1, y sus resultados condicionan todas las etapas siguientes. Los tres que más pesan:</w:t>
      </w:r>
    </w:p>
    <w:p w14:paraId="44C1B343" w14:textId="77777777" w:rsidR="008D2D62" w:rsidRDefault="00A327E2">
      <w:pPr>
        <w:ind w:firstLine="720"/>
      </w:pPr>
      <w:r>
        <w:rPr>
          <w:b/>
          <w:bCs/>
        </w:rPr>
        <w:t>Los precios no son estacionarios y los retornos sí.</w:t>
      </w:r>
      <w:r>
        <w:t xml:space="preserve"> Ninguna de las seis series rechaza la raíz unitaria sobre precios; las seis la rechazan sobre retornos. De ahí que las características se construyan sobre retornos.</w:t>
      </w:r>
    </w:p>
    <w:p w14:paraId="5606F0A6" w14:textId="77777777" w:rsidR="008D2D62" w:rsidRDefault="00A327E2">
      <w:pPr>
        <w:ind w:firstLine="720"/>
      </w:pPr>
      <w:r>
        <w:rPr>
          <w:b/>
          <w:bCs/>
        </w:rPr>
        <w:t>Los retornos no tienen autocorrelación lineal aprovechable.</w:t>
      </w:r>
      <w:r>
        <w:t xml:space="preserve"> De cuarenta rezagos, tres superan la banda de confianza. Es el argumento medido a favor de modelos no lineales y multivariantes.</w:t>
      </w:r>
    </w:p>
    <w:p w14:paraId="634AEBF1" w14:textId="77777777" w:rsidR="008D2D62" w:rsidRDefault="00A327E2">
      <w:pPr>
        <w:ind w:firstLine="720"/>
      </w:pPr>
      <w:r>
        <w:rPr>
          <w:b/>
          <w:bCs/>
        </w:rPr>
        <w:t>La volatilidad conmuta entre regímenes</w:t>
      </w:r>
      <w:r>
        <w:t>, con un cociente de 8,8 entre extremos. Descarta los métodos que asumen varianza constante.</w:t>
      </w:r>
    </w:p>
    <w:p w14:paraId="4C4A5C02" w14:textId="77777777" w:rsidR="008D2D62" w:rsidRDefault="00A327E2">
      <w:pPr>
        <w:ind w:left="720"/>
      </w:pPr>
      <w:r>
        <w:lastRenderedPageBreak/>
        <w:t xml:space="preserve">Esos números se midieron sobre velas diarias con </w:t>
      </w:r>
      <w:r>
        <w:rPr>
          <w:rFonts w:ascii="Courier New" w:eastAsia="Courier New" w:hAnsi="Courier New" w:cs="Courier New"/>
          <w:sz w:val="22"/>
          <w:szCs w:val="22"/>
        </w:rPr>
        <w:t>w = 5</w:t>
      </w:r>
      <w:r>
        <w:t>, que era la configuración vigente en aquella entrega, y así quedan declarados. No se regeneraron al congelar el contrato porque ninguno depende de la etiqueta: se calculan sobre precios y retornos.</w:t>
      </w:r>
    </w:p>
    <w:p w14:paraId="5BB8A24D" w14:textId="77777777" w:rsidR="008D2D62" w:rsidRDefault="00A327E2">
      <w:pPr>
        <w:pStyle w:val="Ttulo2"/>
        <w:keepNext/>
      </w:pPr>
      <w:bookmarkStart w:id="12" w:name="_Toc238156102"/>
      <w:r>
        <w:t>4. Ingeniería de características</w:t>
      </w:r>
      <w:bookmarkEnd w:id="12"/>
    </w:p>
    <w:p w14:paraId="55373B30" w14:textId="77777777" w:rsidR="008D2D62" w:rsidRDefault="00A327E2">
      <w:pPr>
        <w:ind w:firstLine="720"/>
      </w:pPr>
      <w:r>
        <w:t xml:space="preserve">El conjunto actual tiene </w:t>
      </w:r>
      <w:r>
        <w:rPr>
          <w:b/>
          <w:bCs/>
        </w:rPr>
        <w:t>63 columnas</w:t>
      </w:r>
      <w:r>
        <w:t xml:space="preserve">, de las cuales </w:t>
      </w:r>
      <w:r>
        <w:rPr>
          <w:b/>
          <w:bCs/>
        </w:rPr>
        <w:t>24 son precios rezagados en nivel</w:t>
      </w:r>
      <w:r>
        <w:t>. Cubre cinco familias: retornos y rezagos de los seis activos, indicadores técnicos, estadísticos de ventana deslizante, medidas de volatilidad y medidas de correlación entre activos.</w:t>
      </w:r>
    </w:p>
    <w:p w14:paraId="42E68AC3" w14:textId="77777777" w:rsidR="008D2D62" w:rsidRDefault="00A327E2">
      <w:pPr>
        <w:ind w:firstLine="720"/>
      </w:pPr>
      <w:r>
        <w:rPr>
          <w:b/>
          <w:bCs/>
        </w:rPr>
        <w:t>Las que más pesan, medidas por importancia sobre el modelo de referencia:</w:t>
      </w:r>
    </w:p>
    <w:p w14:paraId="21662B04" w14:textId="77777777" w:rsidR="008D2D62" w:rsidRDefault="00A327E2">
      <w:pPr>
        <w:keepNext/>
        <w:spacing w:before="240"/>
      </w:pPr>
      <w:r>
        <w:rPr>
          <w:b/>
          <w:bCs/>
        </w:rPr>
        <w:t>Tabla 3</w:t>
      </w:r>
    </w:p>
    <w:p w14:paraId="678CF990" w14:textId="77777777" w:rsidR="008D2D62" w:rsidRDefault="00A327E2">
      <w:pPr>
        <w:keepNext/>
        <w:spacing w:after="60"/>
      </w:pPr>
      <w:r>
        <w:rPr>
          <w:i/>
          <w:iCs/>
        </w:rPr>
        <w:t>Las cinco características de mayor importancia</w:t>
      </w:r>
    </w:p>
    <w:tbl>
      <w:tblPr>
        <w:tblW w:w="9360" w:type="dxa"/>
        <w:tblCellMar>
          <w:left w:w="10" w:type="dxa"/>
          <w:right w:w="10" w:type="dxa"/>
        </w:tblCellMar>
        <w:tblLook w:val="04A0" w:firstRow="1" w:lastRow="0" w:firstColumn="1" w:lastColumn="0" w:noHBand="0" w:noVBand="1"/>
      </w:tblPr>
      <w:tblGrid>
        <w:gridCol w:w="4680"/>
        <w:gridCol w:w="4680"/>
      </w:tblGrid>
      <w:tr w:rsidR="008D2D62" w14:paraId="69AACC26" w14:textId="77777777">
        <w:tblPrEx>
          <w:tblCellMar>
            <w:top w:w="0" w:type="dxa"/>
            <w:bottom w:w="0" w:type="dxa"/>
          </w:tblCellMar>
        </w:tblPrEx>
        <w:trPr>
          <w:tblHeader/>
        </w:trPr>
        <w:tc>
          <w:tcPr>
            <w:tcW w:w="4680" w:type="dxa"/>
            <w:tcBorders>
              <w:top w:val="single" w:sz="6" w:space="0" w:color="000000"/>
              <w:bottom w:val="single" w:sz="6" w:space="0" w:color="000000"/>
            </w:tcBorders>
            <w:tcMar>
              <w:top w:w="60" w:type="dxa"/>
              <w:left w:w="100" w:type="dxa"/>
              <w:bottom w:w="60" w:type="dxa"/>
              <w:right w:w="100" w:type="dxa"/>
            </w:tcMar>
          </w:tcPr>
          <w:p w14:paraId="264F0399" w14:textId="77777777" w:rsidR="008D2D62" w:rsidRDefault="00A327E2">
            <w:pPr>
              <w:spacing w:line="240" w:lineRule="auto"/>
            </w:pPr>
            <w:r>
              <w:rPr>
                <w:sz w:val="22"/>
                <w:szCs w:val="22"/>
              </w:rPr>
              <w:t>Característica</w:t>
            </w:r>
          </w:p>
        </w:tc>
        <w:tc>
          <w:tcPr>
            <w:tcW w:w="4680" w:type="dxa"/>
            <w:tcBorders>
              <w:top w:val="single" w:sz="6" w:space="0" w:color="000000"/>
              <w:bottom w:val="single" w:sz="6" w:space="0" w:color="000000"/>
            </w:tcBorders>
            <w:tcMar>
              <w:top w:w="60" w:type="dxa"/>
              <w:left w:w="100" w:type="dxa"/>
              <w:bottom w:w="60" w:type="dxa"/>
              <w:right w:w="100" w:type="dxa"/>
            </w:tcMar>
          </w:tcPr>
          <w:p w14:paraId="4049C8D8" w14:textId="77777777" w:rsidR="008D2D62" w:rsidRDefault="00A327E2">
            <w:pPr>
              <w:spacing w:line="240" w:lineRule="auto"/>
              <w:jc w:val="center"/>
            </w:pPr>
            <w:r>
              <w:rPr>
                <w:sz w:val="22"/>
                <w:szCs w:val="22"/>
              </w:rPr>
              <w:t>Importancia</w:t>
            </w:r>
          </w:p>
        </w:tc>
      </w:tr>
      <w:tr w:rsidR="008D2D62" w14:paraId="03AE0E9A" w14:textId="77777777">
        <w:tblPrEx>
          <w:tblCellMar>
            <w:top w:w="0" w:type="dxa"/>
            <w:bottom w:w="0" w:type="dxa"/>
          </w:tblCellMar>
        </w:tblPrEx>
        <w:tc>
          <w:tcPr>
            <w:tcW w:w="4680" w:type="dxa"/>
            <w:tcMar>
              <w:top w:w="60" w:type="dxa"/>
              <w:left w:w="100" w:type="dxa"/>
              <w:bottom w:w="60" w:type="dxa"/>
              <w:right w:w="100" w:type="dxa"/>
            </w:tcMar>
          </w:tcPr>
          <w:p w14:paraId="5866CB29" w14:textId="77777777" w:rsidR="008D2D62" w:rsidRDefault="00A327E2">
            <w:pPr>
              <w:spacing w:line="240" w:lineRule="auto"/>
            </w:pPr>
            <w:r>
              <w:rPr>
                <w:rFonts w:ascii="Courier New" w:eastAsia="Courier New" w:hAnsi="Courier New" w:cs="Courier New"/>
                <w:sz w:val="20"/>
                <w:szCs w:val="20"/>
              </w:rPr>
              <w:t>LTC_posicion_rango_7</w:t>
            </w:r>
          </w:p>
        </w:tc>
        <w:tc>
          <w:tcPr>
            <w:tcW w:w="4680" w:type="dxa"/>
            <w:tcMar>
              <w:top w:w="60" w:type="dxa"/>
              <w:left w:w="100" w:type="dxa"/>
              <w:bottom w:w="60" w:type="dxa"/>
              <w:right w:w="100" w:type="dxa"/>
            </w:tcMar>
          </w:tcPr>
          <w:p w14:paraId="7A8CB94F" w14:textId="77777777" w:rsidR="008D2D62" w:rsidRDefault="00A327E2">
            <w:pPr>
              <w:spacing w:line="240" w:lineRule="auto"/>
              <w:jc w:val="center"/>
            </w:pPr>
            <w:r>
              <w:rPr>
                <w:sz w:val="22"/>
                <w:szCs w:val="22"/>
              </w:rPr>
              <w:t>0,0850</w:t>
            </w:r>
          </w:p>
        </w:tc>
      </w:tr>
      <w:tr w:rsidR="008D2D62" w14:paraId="6A46A04D" w14:textId="77777777">
        <w:tblPrEx>
          <w:tblCellMar>
            <w:top w:w="0" w:type="dxa"/>
            <w:bottom w:w="0" w:type="dxa"/>
          </w:tblCellMar>
        </w:tblPrEx>
        <w:tc>
          <w:tcPr>
            <w:tcW w:w="4680" w:type="dxa"/>
            <w:tcMar>
              <w:top w:w="60" w:type="dxa"/>
              <w:left w:w="100" w:type="dxa"/>
              <w:bottom w:w="60" w:type="dxa"/>
              <w:right w:w="100" w:type="dxa"/>
            </w:tcMar>
          </w:tcPr>
          <w:p w14:paraId="4772EA02" w14:textId="77777777" w:rsidR="008D2D62" w:rsidRDefault="00A327E2">
            <w:pPr>
              <w:spacing w:line="240" w:lineRule="auto"/>
            </w:pPr>
            <w:r>
              <w:rPr>
                <w:rFonts w:ascii="Courier New" w:eastAsia="Courier New" w:hAnsi="Courier New" w:cs="Courier New"/>
                <w:sz w:val="20"/>
                <w:szCs w:val="20"/>
              </w:rPr>
              <w:t>LTC_dist_sma_7</w:t>
            </w:r>
          </w:p>
        </w:tc>
        <w:tc>
          <w:tcPr>
            <w:tcW w:w="4680" w:type="dxa"/>
            <w:tcMar>
              <w:top w:w="60" w:type="dxa"/>
              <w:left w:w="100" w:type="dxa"/>
              <w:bottom w:w="60" w:type="dxa"/>
              <w:right w:w="100" w:type="dxa"/>
            </w:tcMar>
          </w:tcPr>
          <w:p w14:paraId="1E88342F" w14:textId="77777777" w:rsidR="008D2D62" w:rsidRDefault="00A327E2">
            <w:pPr>
              <w:spacing w:line="240" w:lineRule="auto"/>
              <w:jc w:val="center"/>
            </w:pPr>
            <w:r>
              <w:rPr>
                <w:sz w:val="22"/>
                <w:szCs w:val="22"/>
              </w:rPr>
              <w:t>0,0706</w:t>
            </w:r>
          </w:p>
        </w:tc>
      </w:tr>
      <w:tr w:rsidR="008D2D62" w14:paraId="4BD22A45" w14:textId="77777777">
        <w:tblPrEx>
          <w:tblCellMar>
            <w:top w:w="0" w:type="dxa"/>
            <w:bottom w:w="0" w:type="dxa"/>
          </w:tblCellMar>
        </w:tblPrEx>
        <w:tc>
          <w:tcPr>
            <w:tcW w:w="4680" w:type="dxa"/>
            <w:tcMar>
              <w:top w:w="60" w:type="dxa"/>
              <w:left w:w="100" w:type="dxa"/>
              <w:bottom w:w="60" w:type="dxa"/>
              <w:right w:w="100" w:type="dxa"/>
            </w:tcMar>
          </w:tcPr>
          <w:p w14:paraId="328090C7" w14:textId="77777777" w:rsidR="008D2D62" w:rsidRDefault="00A327E2">
            <w:pPr>
              <w:spacing w:line="240" w:lineRule="auto"/>
            </w:pPr>
            <w:r>
              <w:rPr>
                <w:rFonts w:ascii="Courier New" w:eastAsia="Courier New" w:hAnsi="Courier New" w:cs="Courier New"/>
                <w:sz w:val="20"/>
                <w:szCs w:val="20"/>
              </w:rPr>
              <w:t>LTC_retorno_7</w:t>
            </w:r>
          </w:p>
        </w:tc>
        <w:tc>
          <w:tcPr>
            <w:tcW w:w="4680" w:type="dxa"/>
            <w:tcMar>
              <w:top w:w="60" w:type="dxa"/>
              <w:left w:w="100" w:type="dxa"/>
              <w:bottom w:w="60" w:type="dxa"/>
              <w:right w:w="100" w:type="dxa"/>
            </w:tcMar>
          </w:tcPr>
          <w:p w14:paraId="093EDDDD" w14:textId="77777777" w:rsidR="008D2D62" w:rsidRDefault="00A327E2">
            <w:pPr>
              <w:spacing w:line="240" w:lineRule="auto"/>
              <w:jc w:val="center"/>
            </w:pPr>
            <w:r>
              <w:rPr>
                <w:sz w:val="22"/>
                <w:szCs w:val="22"/>
              </w:rPr>
              <w:t>0,0442</w:t>
            </w:r>
          </w:p>
        </w:tc>
      </w:tr>
      <w:tr w:rsidR="008D2D62" w14:paraId="539DF361" w14:textId="77777777">
        <w:tblPrEx>
          <w:tblCellMar>
            <w:top w:w="0" w:type="dxa"/>
            <w:bottom w:w="0" w:type="dxa"/>
          </w:tblCellMar>
        </w:tblPrEx>
        <w:tc>
          <w:tcPr>
            <w:tcW w:w="4680" w:type="dxa"/>
            <w:tcMar>
              <w:top w:w="60" w:type="dxa"/>
              <w:left w:w="100" w:type="dxa"/>
              <w:bottom w:w="60" w:type="dxa"/>
              <w:right w:w="100" w:type="dxa"/>
            </w:tcMar>
          </w:tcPr>
          <w:p w14:paraId="58AC81BD" w14:textId="77777777" w:rsidR="008D2D62" w:rsidRDefault="00A327E2">
            <w:pPr>
              <w:spacing w:line="240" w:lineRule="auto"/>
            </w:pPr>
            <w:r>
              <w:rPr>
                <w:rFonts w:ascii="Courier New" w:eastAsia="Courier New" w:hAnsi="Courier New" w:cs="Courier New"/>
                <w:sz w:val="20"/>
                <w:szCs w:val="20"/>
              </w:rPr>
              <w:t>LTC_retorno_3</w:t>
            </w:r>
          </w:p>
        </w:tc>
        <w:tc>
          <w:tcPr>
            <w:tcW w:w="4680" w:type="dxa"/>
            <w:tcMar>
              <w:top w:w="60" w:type="dxa"/>
              <w:left w:w="100" w:type="dxa"/>
              <w:bottom w:w="60" w:type="dxa"/>
              <w:right w:w="100" w:type="dxa"/>
            </w:tcMar>
          </w:tcPr>
          <w:p w14:paraId="6CFA2658" w14:textId="77777777" w:rsidR="008D2D62" w:rsidRDefault="00A327E2">
            <w:pPr>
              <w:spacing w:line="240" w:lineRule="auto"/>
              <w:jc w:val="center"/>
            </w:pPr>
            <w:r>
              <w:rPr>
                <w:sz w:val="22"/>
                <w:szCs w:val="22"/>
              </w:rPr>
              <w:t>0,0414</w:t>
            </w:r>
          </w:p>
        </w:tc>
      </w:tr>
      <w:tr w:rsidR="008D2D62" w14:paraId="0872DF4E" w14:textId="77777777">
        <w:tblPrEx>
          <w:tblCellMar>
            <w:top w:w="0" w:type="dxa"/>
            <w:bottom w:w="0" w:type="dxa"/>
          </w:tblCellMar>
        </w:tblPrEx>
        <w:tc>
          <w:tcPr>
            <w:tcW w:w="4680" w:type="dxa"/>
            <w:tcBorders>
              <w:bottom w:val="single" w:sz="6" w:space="0" w:color="000000"/>
            </w:tcBorders>
            <w:tcMar>
              <w:top w:w="60" w:type="dxa"/>
              <w:left w:w="100" w:type="dxa"/>
              <w:bottom w:w="60" w:type="dxa"/>
              <w:right w:w="100" w:type="dxa"/>
            </w:tcMar>
          </w:tcPr>
          <w:p w14:paraId="6D8EC25A" w14:textId="77777777" w:rsidR="008D2D62" w:rsidRDefault="00A327E2">
            <w:pPr>
              <w:spacing w:line="240" w:lineRule="auto"/>
            </w:pPr>
            <w:r>
              <w:rPr>
                <w:rFonts w:ascii="Courier New" w:eastAsia="Courier New" w:hAnsi="Courier New" w:cs="Courier New"/>
                <w:sz w:val="20"/>
                <w:szCs w:val="20"/>
              </w:rPr>
              <w:t>LTC_dist_ema_12</w:t>
            </w:r>
          </w:p>
        </w:tc>
        <w:tc>
          <w:tcPr>
            <w:tcW w:w="4680" w:type="dxa"/>
            <w:tcBorders>
              <w:bottom w:val="single" w:sz="6" w:space="0" w:color="000000"/>
            </w:tcBorders>
            <w:tcMar>
              <w:top w:w="60" w:type="dxa"/>
              <w:left w:w="100" w:type="dxa"/>
              <w:bottom w:w="60" w:type="dxa"/>
              <w:right w:w="100" w:type="dxa"/>
            </w:tcMar>
          </w:tcPr>
          <w:p w14:paraId="18C2E90A" w14:textId="77777777" w:rsidR="008D2D62" w:rsidRDefault="00A327E2">
            <w:pPr>
              <w:spacing w:line="240" w:lineRule="auto"/>
              <w:jc w:val="center"/>
            </w:pPr>
            <w:r>
              <w:rPr>
                <w:sz w:val="22"/>
                <w:szCs w:val="22"/>
              </w:rPr>
              <w:t>0,0405</w:t>
            </w:r>
          </w:p>
        </w:tc>
      </w:tr>
    </w:tbl>
    <w:p w14:paraId="39ED6F6E" w14:textId="77777777" w:rsidR="008D2D62" w:rsidRDefault="00A327E2">
      <w:pPr>
        <w:spacing w:after="240"/>
      </w:pPr>
      <w:r>
        <w:rPr>
          <w:i/>
          <w:iCs/>
        </w:rPr>
        <w:t>Nota.</w:t>
      </w:r>
      <w:r>
        <w:t xml:space="preserve"> Fuente: </w:t>
      </w:r>
      <w:r>
        <w:rPr>
          <w:rFonts w:ascii="Courier New" w:eastAsia="Courier New" w:hAnsi="Courier New" w:cs="Courier New"/>
          <w:sz w:val="22"/>
          <w:szCs w:val="22"/>
        </w:rPr>
        <w:t>modelo-clasico-4h-w7-h1.json</w:t>
      </w:r>
      <w:r>
        <w:t>.</w:t>
      </w:r>
    </w:p>
    <w:p w14:paraId="64D89C5C" w14:textId="77777777" w:rsidR="008D2D62" w:rsidRDefault="00A327E2">
      <w:pPr>
        <w:ind w:firstLine="720"/>
      </w:pPr>
      <w:r>
        <w:t xml:space="preserve">Que encabecen medidas de </w:t>
      </w:r>
      <w:r>
        <w:rPr>
          <w:b/>
          <w:bCs/>
        </w:rPr>
        <w:t>posición relativa dentro de una ventana</w:t>
      </w:r>
      <w:r>
        <w:t xml:space="preserve"> y no precios en nivel es coherente con el hallazgo de la Semana 1: lo que informa es dónde está el precio respecto de su vecindad reciente, no cuánto vale.</w:t>
      </w:r>
    </w:p>
    <w:p w14:paraId="64F3679C" w14:textId="77777777" w:rsidR="008D2D62" w:rsidRDefault="00A327E2">
      <w:pPr>
        <w:ind w:firstLine="720"/>
      </w:pPr>
      <w:r>
        <w:rPr>
          <w:b/>
          <w:bCs/>
        </w:rPr>
        <w:t>Un resultado medido que queda abierto:</w:t>
      </w:r>
      <w:r>
        <w:t xml:space="preserve"> retirar las 24 columnas de precio en nivel </w:t>
      </w:r>
      <w:r>
        <w:rPr>
          <w:b/>
          <w:bCs/>
        </w:rPr>
        <w:t>mejora</w:t>
      </w:r>
      <w:r>
        <w:t xml:space="preserve"> el F1 macro del modelo de referencia. La variante sin ellas es la mejor de las cinco evaluadas. No se adoptó como configuración por omisión porque la pregunta estaba </w:t>
      </w:r>
      <w:r>
        <w:lastRenderedPageBreak/>
        <w:t>prerregistrada y elegir la variante después de ver el resultado es una decisión del equipo, no de quien la mide.</w:t>
      </w:r>
    </w:p>
    <w:p w14:paraId="68DAC4FB" w14:textId="77777777" w:rsidR="008D2D62" w:rsidRDefault="00A327E2">
      <w:pPr>
        <w:ind w:firstLine="720"/>
      </w:pPr>
      <w:r>
        <w:rPr>
          <w:b/>
          <w:bCs/>
        </w:rPr>
        <w:t>Toda característica se verifica contra fuga de información</w:t>
      </w:r>
      <w:r>
        <w:t xml:space="preserve"> antes de entrar: se perturba el futuro de la serie y se comprueba que los valores del pasado no cambian. Es obligatorio porque la fuga no se manifiesta como un error, sino como métricas excelentes.</w:t>
      </w:r>
    </w:p>
    <w:p w14:paraId="2BC3ADF2" w14:textId="77777777" w:rsidR="008D2D62" w:rsidRDefault="00A327E2">
      <w:pPr>
        <w:pStyle w:val="Ttulo2"/>
        <w:keepNext/>
      </w:pPr>
      <w:bookmarkStart w:id="13" w:name="_Toc238156103"/>
      <w:r>
        <w:t>5. Partición temporal</w:t>
      </w:r>
      <w:bookmarkEnd w:id="13"/>
    </w:p>
    <w:p w14:paraId="0CF4F1D0" w14:textId="77777777" w:rsidR="008D2D62" w:rsidRDefault="00A327E2">
      <w:pPr>
        <w:ind w:firstLine="720"/>
      </w:pPr>
      <w:r>
        <w:t>No se usa validación cruzada aleatoria. Sobre una serie temporal, mezclar filas permite que el modelo se entrene con información posterior a la que predice.</w:t>
      </w:r>
    </w:p>
    <w:p w14:paraId="2BED6452" w14:textId="77777777" w:rsidR="008D2D62" w:rsidRDefault="00A327E2">
      <w:pPr>
        <w:ind w:firstLine="720"/>
      </w:pPr>
      <w:r>
        <w:t xml:space="preserve">La partición es </w:t>
      </w:r>
      <w:r>
        <w:rPr>
          <w:b/>
          <w:bCs/>
        </w:rPr>
        <w:t>cronológica y con embargo</w:t>
      </w:r>
      <w:r>
        <w:t>:</w:t>
      </w:r>
    </w:p>
    <w:p w14:paraId="4D2E7AA0" w14:textId="77777777" w:rsidR="008D2D62" w:rsidRDefault="00A327E2">
      <w:pPr>
        <w:keepNext/>
        <w:spacing w:before="240"/>
      </w:pPr>
      <w:r>
        <w:rPr>
          <w:b/>
          <w:bCs/>
        </w:rPr>
        <w:t>Tabla 4</w:t>
      </w:r>
    </w:p>
    <w:p w14:paraId="0B2327FE" w14:textId="77777777" w:rsidR="008D2D62" w:rsidRDefault="00A327E2">
      <w:pPr>
        <w:keepNext/>
        <w:spacing w:after="60"/>
      </w:pPr>
      <w:r>
        <w:rPr>
          <w:i/>
          <w:iCs/>
        </w:rPr>
        <w:t>Partición temporal del panel de 4 horas</w:t>
      </w:r>
    </w:p>
    <w:tbl>
      <w:tblPr>
        <w:tblW w:w="9360" w:type="dxa"/>
        <w:tblCellMar>
          <w:left w:w="10" w:type="dxa"/>
          <w:right w:w="10" w:type="dxa"/>
        </w:tblCellMar>
        <w:tblLook w:val="04A0" w:firstRow="1" w:lastRow="0" w:firstColumn="1" w:lastColumn="0" w:noHBand="0" w:noVBand="1"/>
      </w:tblPr>
      <w:tblGrid>
        <w:gridCol w:w="4680"/>
        <w:gridCol w:w="4680"/>
      </w:tblGrid>
      <w:tr w:rsidR="008D2D62" w14:paraId="3B2766E6" w14:textId="77777777">
        <w:tblPrEx>
          <w:tblCellMar>
            <w:top w:w="0" w:type="dxa"/>
            <w:bottom w:w="0" w:type="dxa"/>
          </w:tblCellMar>
        </w:tblPrEx>
        <w:trPr>
          <w:tblHeader/>
        </w:trPr>
        <w:tc>
          <w:tcPr>
            <w:tcW w:w="4680" w:type="dxa"/>
            <w:tcBorders>
              <w:top w:val="single" w:sz="6" w:space="0" w:color="000000"/>
              <w:bottom w:val="single" w:sz="6" w:space="0" w:color="000000"/>
            </w:tcBorders>
            <w:tcMar>
              <w:top w:w="60" w:type="dxa"/>
              <w:left w:w="100" w:type="dxa"/>
              <w:bottom w:w="60" w:type="dxa"/>
              <w:right w:w="100" w:type="dxa"/>
            </w:tcMar>
          </w:tcPr>
          <w:p w14:paraId="5EC1E2E9" w14:textId="77777777" w:rsidR="008D2D62" w:rsidRDefault="00A327E2">
            <w:pPr>
              <w:spacing w:line="240" w:lineRule="auto"/>
            </w:pPr>
            <w:r>
              <w:rPr>
                <w:sz w:val="22"/>
                <w:szCs w:val="22"/>
              </w:rPr>
              <w:t>Bloque</w:t>
            </w:r>
          </w:p>
        </w:tc>
        <w:tc>
          <w:tcPr>
            <w:tcW w:w="4680" w:type="dxa"/>
            <w:tcBorders>
              <w:top w:val="single" w:sz="6" w:space="0" w:color="000000"/>
              <w:bottom w:val="single" w:sz="6" w:space="0" w:color="000000"/>
            </w:tcBorders>
            <w:tcMar>
              <w:top w:w="60" w:type="dxa"/>
              <w:left w:w="100" w:type="dxa"/>
              <w:bottom w:w="60" w:type="dxa"/>
              <w:right w:w="100" w:type="dxa"/>
            </w:tcMar>
          </w:tcPr>
          <w:p w14:paraId="4F2AE1DB" w14:textId="77777777" w:rsidR="008D2D62" w:rsidRDefault="00A327E2">
            <w:pPr>
              <w:spacing w:line="240" w:lineRule="auto"/>
              <w:jc w:val="center"/>
            </w:pPr>
            <w:r>
              <w:rPr>
                <w:sz w:val="22"/>
                <w:szCs w:val="22"/>
              </w:rPr>
              <w:t>Observaciones</w:t>
            </w:r>
          </w:p>
        </w:tc>
      </w:tr>
      <w:tr w:rsidR="008D2D62" w14:paraId="599DB19C" w14:textId="77777777">
        <w:tblPrEx>
          <w:tblCellMar>
            <w:top w:w="0" w:type="dxa"/>
            <w:bottom w:w="0" w:type="dxa"/>
          </w:tblCellMar>
        </w:tblPrEx>
        <w:tc>
          <w:tcPr>
            <w:tcW w:w="4680" w:type="dxa"/>
            <w:tcMar>
              <w:top w:w="60" w:type="dxa"/>
              <w:left w:w="100" w:type="dxa"/>
              <w:bottom w:w="60" w:type="dxa"/>
              <w:right w:w="100" w:type="dxa"/>
            </w:tcMar>
          </w:tcPr>
          <w:p w14:paraId="71A3654F" w14:textId="77777777" w:rsidR="008D2D62" w:rsidRDefault="00A327E2">
            <w:pPr>
              <w:spacing w:line="240" w:lineRule="auto"/>
            </w:pPr>
            <w:r>
              <w:rPr>
                <w:sz w:val="22"/>
                <w:szCs w:val="22"/>
              </w:rPr>
              <w:t>Entrenamiento</w:t>
            </w:r>
          </w:p>
        </w:tc>
        <w:tc>
          <w:tcPr>
            <w:tcW w:w="4680" w:type="dxa"/>
            <w:tcMar>
              <w:top w:w="60" w:type="dxa"/>
              <w:left w:w="100" w:type="dxa"/>
              <w:bottom w:w="60" w:type="dxa"/>
              <w:right w:w="100" w:type="dxa"/>
            </w:tcMar>
          </w:tcPr>
          <w:p w14:paraId="24728D26" w14:textId="77777777" w:rsidR="008D2D62" w:rsidRDefault="00A327E2">
            <w:pPr>
              <w:spacing w:line="240" w:lineRule="auto"/>
              <w:jc w:val="center"/>
            </w:pPr>
            <w:r>
              <w:rPr>
                <w:sz w:val="22"/>
                <w:szCs w:val="22"/>
              </w:rPr>
              <w:t>9 171</w:t>
            </w:r>
          </w:p>
        </w:tc>
      </w:tr>
      <w:tr w:rsidR="008D2D62" w14:paraId="622A6752" w14:textId="77777777">
        <w:tblPrEx>
          <w:tblCellMar>
            <w:top w:w="0" w:type="dxa"/>
            <w:bottom w:w="0" w:type="dxa"/>
          </w:tblCellMar>
        </w:tblPrEx>
        <w:tc>
          <w:tcPr>
            <w:tcW w:w="4680" w:type="dxa"/>
            <w:tcMar>
              <w:top w:w="60" w:type="dxa"/>
              <w:left w:w="100" w:type="dxa"/>
              <w:bottom w:w="60" w:type="dxa"/>
              <w:right w:w="100" w:type="dxa"/>
            </w:tcMar>
          </w:tcPr>
          <w:p w14:paraId="11B3A077" w14:textId="77777777" w:rsidR="008D2D62" w:rsidRDefault="00A327E2">
            <w:pPr>
              <w:spacing w:line="240" w:lineRule="auto"/>
            </w:pPr>
            <w:r>
              <w:rPr>
                <w:sz w:val="22"/>
                <w:szCs w:val="22"/>
              </w:rPr>
              <w:t>Validación</w:t>
            </w:r>
          </w:p>
        </w:tc>
        <w:tc>
          <w:tcPr>
            <w:tcW w:w="4680" w:type="dxa"/>
            <w:tcMar>
              <w:top w:w="60" w:type="dxa"/>
              <w:left w:w="100" w:type="dxa"/>
              <w:bottom w:w="60" w:type="dxa"/>
              <w:right w:w="100" w:type="dxa"/>
            </w:tcMar>
          </w:tcPr>
          <w:p w14:paraId="331FB333" w14:textId="77777777" w:rsidR="008D2D62" w:rsidRDefault="00A327E2">
            <w:pPr>
              <w:spacing w:line="240" w:lineRule="auto"/>
              <w:jc w:val="center"/>
            </w:pPr>
            <w:r>
              <w:rPr>
                <w:sz w:val="22"/>
                <w:szCs w:val="22"/>
              </w:rPr>
              <w:t>1 959</w:t>
            </w:r>
          </w:p>
        </w:tc>
      </w:tr>
      <w:tr w:rsidR="008D2D62" w14:paraId="2323A521" w14:textId="77777777">
        <w:tblPrEx>
          <w:tblCellMar>
            <w:top w:w="0" w:type="dxa"/>
            <w:bottom w:w="0" w:type="dxa"/>
          </w:tblCellMar>
        </w:tblPrEx>
        <w:tc>
          <w:tcPr>
            <w:tcW w:w="4680" w:type="dxa"/>
            <w:tcMar>
              <w:top w:w="60" w:type="dxa"/>
              <w:left w:w="100" w:type="dxa"/>
              <w:bottom w:w="60" w:type="dxa"/>
              <w:right w:w="100" w:type="dxa"/>
            </w:tcMar>
          </w:tcPr>
          <w:p w14:paraId="0FCA8CAF" w14:textId="77777777" w:rsidR="008D2D62" w:rsidRDefault="00A327E2">
            <w:pPr>
              <w:spacing w:line="240" w:lineRule="auto"/>
            </w:pPr>
            <w:r>
              <w:rPr>
                <w:sz w:val="22"/>
                <w:szCs w:val="22"/>
              </w:rPr>
              <w:t>Prueba</w:t>
            </w:r>
          </w:p>
        </w:tc>
        <w:tc>
          <w:tcPr>
            <w:tcW w:w="4680" w:type="dxa"/>
            <w:tcMar>
              <w:top w:w="60" w:type="dxa"/>
              <w:left w:w="100" w:type="dxa"/>
              <w:bottom w:w="60" w:type="dxa"/>
              <w:right w:w="100" w:type="dxa"/>
            </w:tcMar>
          </w:tcPr>
          <w:p w14:paraId="6883CB85" w14:textId="77777777" w:rsidR="008D2D62" w:rsidRDefault="00A327E2">
            <w:pPr>
              <w:spacing w:line="240" w:lineRule="auto"/>
              <w:jc w:val="center"/>
            </w:pPr>
            <w:r>
              <w:rPr>
                <w:sz w:val="22"/>
                <w:szCs w:val="22"/>
              </w:rPr>
              <w:t>1 968</w:t>
            </w:r>
          </w:p>
        </w:tc>
      </w:tr>
      <w:tr w:rsidR="008D2D62" w14:paraId="34AB707D" w14:textId="77777777">
        <w:tblPrEx>
          <w:tblCellMar>
            <w:top w:w="0" w:type="dxa"/>
            <w:bottom w:w="0" w:type="dxa"/>
          </w:tblCellMar>
        </w:tblPrEx>
        <w:tc>
          <w:tcPr>
            <w:tcW w:w="4680" w:type="dxa"/>
            <w:tcBorders>
              <w:bottom w:val="single" w:sz="6" w:space="0" w:color="000000"/>
            </w:tcBorders>
            <w:tcMar>
              <w:top w:w="60" w:type="dxa"/>
              <w:left w:w="100" w:type="dxa"/>
              <w:bottom w:w="60" w:type="dxa"/>
              <w:right w:w="100" w:type="dxa"/>
            </w:tcMar>
          </w:tcPr>
          <w:p w14:paraId="2982A779" w14:textId="77777777" w:rsidR="008D2D62" w:rsidRDefault="00A327E2">
            <w:pPr>
              <w:spacing w:line="240" w:lineRule="auto"/>
            </w:pPr>
            <w:r>
              <w:rPr>
                <w:b/>
                <w:bCs/>
                <w:sz w:val="22"/>
                <w:szCs w:val="22"/>
              </w:rPr>
              <w:t>Embargo, descartado</w:t>
            </w:r>
          </w:p>
        </w:tc>
        <w:tc>
          <w:tcPr>
            <w:tcW w:w="4680" w:type="dxa"/>
            <w:tcBorders>
              <w:bottom w:val="single" w:sz="6" w:space="0" w:color="000000"/>
            </w:tcBorders>
            <w:tcMar>
              <w:top w:w="60" w:type="dxa"/>
              <w:left w:w="100" w:type="dxa"/>
              <w:bottom w:w="60" w:type="dxa"/>
              <w:right w:w="100" w:type="dxa"/>
            </w:tcMar>
          </w:tcPr>
          <w:p w14:paraId="145FA78C" w14:textId="77777777" w:rsidR="008D2D62" w:rsidRDefault="00A327E2">
            <w:pPr>
              <w:spacing w:line="240" w:lineRule="auto"/>
              <w:jc w:val="center"/>
            </w:pPr>
            <w:r>
              <w:rPr>
                <w:b/>
                <w:bCs/>
                <w:sz w:val="22"/>
                <w:szCs w:val="22"/>
              </w:rPr>
              <w:t>16</w:t>
            </w:r>
          </w:p>
        </w:tc>
      </w:tr>
    </w:tbl>
    <w:p w14:paraId="300741F4" w14:textId="77777777" w:rsidR="008D2D62" w:rsidRDefault="00A327E2">
      <w:pPr>
        <w:spacing w:after="240"/>
      </w:pPr>
      <w:r>
        <w:rPr>
          <w:i/>
          <w:iCs/>
        </w:rPr>
        <w:t>Nota.</w:t>
      </w:r>
      <w:r>
        <w:t xml:space="preserve"> Fuente: </w:t>
      </w:r>
      <w:r>
        <w:rPr>
          <w:rFonts w:ascii="Courier New" w:eastAsia="Courier New" w:hAnsi="Courier New" w:cs="Courier New"/>
          <w:sz w:val="22"/>
          <w:szCs w:val="22"/>
        </w:rPr>
        <w:t>modelo-clasico-4h-w7-h1.json</w:t>
      </w:r>
      <w:r>
        <w:t>.</w:t>
      </w:r>
    </w:p>
    <w:p w14:paraId="2179FF9D" w14:textId="77777777" w:rsidR="008D2D62" w:rsidRDefault="00A327E2">
      <w:pPr>
        <w:ind w:firstLine="720"/>
      </w:pPr>
      <w:r>
        <w:rPr>
          <w:b/>
          <w:bCs/>
        </w:rPr>
        <w:t xml:space="preserve">El embargo son </w:t>
      </w:r>
      <w:r>
        <w:rPr>
          <w:rFonts w:ascii="Courier New" w:eastAsia="Courier New" w:hAnsi="Courier New" w:cs="Courier New"/>
          <w:b/>
          <w:bCs/>
          <w:sz w:val="22"/>
          <w:szCs w:val="22"/>
        </w:rPr>
        <w:t>w + h</w:t>
      </w:r>
      <w:r>
        <w:rPr>
          <w:b/>
          <w:bCs/>
        </w:rPr>
        <w:t xml:space="preserve"> velas descartadas en cada frontera.</w:t>
      </w:r>
      <w:r>
        <w:t xml:space="preserve"> Sin él, las últimas observaciones de entrenamiento y las primeras de validación comparten las velas que se usaron para construir sus etiquetas, y los dos bloques dejan de ser independientes. Son 16 observaciones de 13 114: un costo despreciable frente al riesgo que elimina.</w:t>
      </w:r>
    </w:p>
    <w:p w14:paraId="604FF8EF" w14:textId="77777777" w:rsidR="008D2D62" w:rsidRDefault="00A327E2">
      <w:pPr>
        <w:ind w:firstLine="720"/>
      </w:pPr>
      <w:r>
        <w:t xml:space="preserve">De aquí sale también la razón por la que la imputación va </w:t>
      </w:r>
      <w:r>
        <w:rPr>
          <w:b/>
          <w:bCs/>
        </w:rPr>
        <w:t>dentro</w:t>
      </w:r>
      <w:r>
        <w:t xml:space="preserve"> del modelo. Si se imputara antes de particionar, la mediana se calcularía con datos de validación y de prueba, que es fuga de información por la puerta de atrás.</w:t>
      </w:r>
    </w:p>
    <w:p w14:paraId="770DCCED" w14:textId="77777777" w:rsidR="008D2D62" w:rsidRDefault="00A327E2">
      <w:pPr>
        <w:ind w:firstLine="720"/>
      </w:pPr>
      <w:r>
        <w:lastRenderedPageBreak/>
        <w:t xml:space="preserve">El balance de clases en entrenamiento queda en </w:t>
      </w:r>
      <w:r>
        <w:rPr>
          <w:b/>
          <w:bCs/>
        </w:rPr>
        <w:t>4,58 % de máximos, 4,70 % de mínimos y 90,72 % de continuidad</w:t>
      </w:r>
      <w:r>
        <w:t xml:space="preserve">, muy por debajo de la cota aritmética del 12,5 % que impone </w:t>
      </w:r>
      <w:r>
        <w:rPr>
          <w:rFonts w:ascii="Courier New" w:eastAsia="Courier New" w:hAnsi="Courier New" w:cs="Courier New"/>
          <w:sz w:val="22"/>
          <w:szCs w:val="22"/>
        </w:rPr>
        <w:t>w = 7</w:t>
      </w:r>
      <w:r>
        <w:t>.</w:t>
      </w:r>
    </w:p>
    <w:p w14:paraId="677B93B6" w14:textId="77777777" w:rsidR="008D2D62" w:rsidRDefault="00A327E2">
      <w:pPr>
        <w:pStyle w:val="Ttulo2"/>
        <w:keepNext/>
      </w:pPr>
      <w:bookmarkStart w:id="14" w:name="_Toc238156104"/>
      <w:r>
        <w:t>6. Selección del modelo</w:t>
      </w:r>
      <w:bookmarkEnd w:id="14"/>
    </w:p>
    <w:p w14:paraId="0ADE9173" w14:textId="77777777" w:rsidR="008D2D62" w:rsidRDefault="00A327E2">
      <w:pPr>
        <w:ind w:firstLine="720"/>
      </w:pPr>
      <w:r>
        <w:t>Se aborda en dos pasos, como pide el enunciado, y con un piso obligatorio antes de los dos.</w:t>
      </w:r>
    </w:p>
    <w:p w14:paraId="177EA493" w14:textId="77777777" w:rsidR="008D2D62" w:rsidRDefault="00A327E2">
      <w:pPr>
        <w:ind w:firstLine="720"/>
      </w:pPr>
      <w:r>
        <w:rPr>
          <w:b/>
          <w:bCs/>
        </w:rPr>
        <w:t>Primero el piso.</w:t>
      </w:r>
      <w:r>
        <w:t xml:space="preserve"> Tres modelos de referencia deliberadamente triviales —el que responde siempre lo mismo, el que responde la clase mayoritaria y uno aleatorio— y un modelo clásico de referencia que recorre el circuito completo. Sirven para descartar explicaciones alternativas: si un modelo elaborado no supera al azar, no aprendió nada.</w:t>
      </w:r>
    </w:p>
    <w:p w14:paraId="707C4CED" w14:textId="77777777" w:rsidR="008D2D62" w:rsidRDefault="00A327E2">
      <w:pPr>
        <w:ind w:firstLine="720"/>
      </w:pPr>
      <w:r>
        <w:rPr>
          <w:b/>
          <w:bCs/>
        </w:rPr>
        <w:t>Después los dos que pide el enunciado:</w:t>
      </w:r>
      <w:r>
        <w:t xml:space="preserve"> un modelo fundacional disponible públicamente, y un modelo más avanzado. La comparación entre ambos es la conclusión central del proyecto, y por eso las dos se miden con la misma función de evaluación, la misma partición y el mismo criterio.</w:t>
      </w:r>
    </w:p>
    <w:p w14:paraId="6BA022C5" w14:textId="77777777" w:rsidR="008D2D62" w:rsidRDefault="00A327E2">
      <w:pPr>
        <w:ind w:firstLine="720"/>
      </w:pPr>
      <w:r>
        <w:rPr>
          <w:b/>
          <w:bCs/>
        </w:rPr>
        <w:t>El criterio de decisión está fijado desde antes de medir:</w:t>
      </w:r>
      <w:r>
        <w:t xml:space="preserve"> un modelo solo se declara mejor si supera al mejor de los baselines en F1 macro por al menos </w:t>
      </w:r>
      <w:r>
        <w:rPr>
          <w:b/>
          <w:bCs/>
        </w:rPr>
        <w:t>0,02</w:t>
      </w:r>
      <w:r>
        <w:t>. Cualquier diferencia menor se reporta como no concluyente.</w:t>
      </w:r>
    </w:p>
    <w:p w14:paraId="7962D760" w14:textId="77777777" w:rsidR="008D2D62" w:rsidRDefault="00A327E2">
      <w:pPr>
        <w:ind w:firstLine="720"/>
      </w:pPr>
      <w:r>
        <w:t xml:space="preserve">La justificación concreta de qué modelo fundacional se elige, con el inventario medido de candidatos, está en </w:t>
      </w:r>
      <w:r>
        <w:rPr>
          <w:rFonts w:ascii="Courier New" w:eastAsia="Courier New" w:hAnsi="Courier New" w:cs="Courier New"/>
          <w:sz w:val="22"/>
          <w:szCs w:val="22"/>
        </w:rPr>
        <w:t>m3-modelos.md</w:t>
      </w:r>
      <w:r>
        <w:t>.</w:t>
      </w:r>
    </w:p>
    <w:p w14:paraId="5FED68CC" w14:textId="77777777" w:rsidR="008D2D62" w:rsidRDefault="00A327E2">
      <w:pPr>
        <w:pStyle w:val="Ttulo2"/>
        <w:keepNext/>
      </w:pPr>
      <w:bookmarkStart w:id="15" w:name="_Toc238156105"/>
      <w:r>
        <w:t>7. Entrenamiento y optimización de hiperparámetros</w:t>
      </w:r>
      <w:bookmarkEnd w:id="15"/>
    </w:p>
    <w:p w14:paraId="31DA3BBE" w14:textId="77777777" w:rsidR="008D2D62" w:rsidRDefault="00A327E2">
      <w:pPr>
        <w:ind w:firstLine="720"/>
      </w:pPr>
      <w:r>
        <w:rPr>
          <w:b/>
          <w:bCs/>
        </w:rPr>
        <w:t>Están separados a propósito y en ese orden.</w:t>
      </w:r>
    </w:p>
    <w:p w14:paraId="1C32B580" w14:textId="77777777" w:rsidR="008D2D62" w:rsidRDefault="00A327E2">
      <w:pPr>
        <w:ind w:firstLine="720"/>
      </w:pPr>
      <w:r>
        <w:t xml:space="preserve">El entrenamiento del modelo de referencia ya se ejecutó de punta a punta y es reproducible con un comando. Sus hiperparámetros se fijaron </w:t>
      </w:r>
      <w:r>
        <w:rPr>
          <w:b/>
          <w:bCs/>
        </w:rPr>
        <w:t>antes</w:t>
      </w:r>
      <w:r>
        <w:t xml:space="preserve"> de mirar ningún resultado, y </w:t>
      </w:r>
      <w:r>
        <w:lastRenderedPageBreak/>
        <w:t>la razón de cada uno está escrita junto al valor, de modo que "lo elegimos antes de medir" es auditable y no una afirmación nuestra.</w:t>
      </w:r>
    </w:p>
    <w:p w14:paraId="6069C24B" w14:textId="77777777" w:rsidR="008D2D62" w:rsidRDefault="00A327E2">
      <w:pPr>
        <w:ind w:firstLine="720"/>
      </w:pPr>
      <w:r>
        <w:rPr>
          <w:b/>
          <w:bCs/>
        </w:rPr>
        <w:t>La búsqueda de hiperparámetros no se hace todavía.</w:t>
      </w:r>
      <w:r>
        <w:t xml:space="preserve"> Ajustarlos mirando validación antes de que exista el modelo fundacional gastaría el único conjunto no visto que queda para comparar los dos modelos. Es una tarea del Sprint 4, y hasta entonces cualquier valor que se toque se declara como cambio.</w:t>
      </w:r>
    </w:p>
    <w:p w14:paraId="544FAC6F" w14:textId="77777777" w:rsidR="008D2D62" w:rsidRDefault="00A327E2">
      <w:pPr>
        <w:ind w:firstLine="720"/>
      </w:pPr>
      <w:r>
        <w:t xml:space="preserve">Hay un cambio ya declarado: la ponderación de clases del modelo de referencia se modificó </w:t>
      </w:r>
      <w:r>
        <w:rPr>
          <w:b/>
          <w:bCs/>
        </w:rPr>
        <w:t>después</w:t>
      </w:r>
      <w:r>
        <w:t xml:space="preserve"> de ver que la opción prerregistrada colapsaba a la clase mayoritaria. Queda escrito en la evidencia como corrección de variante, no como búsqueda.</w:t>
      </w:r>
    </w:p>
    <w:p w14:paraId="0F96FB77" w14:textId="77777777" w:rsidR="008D2D62" w:rsidRDefault="00A327E2">
      <w:pPr>
        <w:ind w:firstLine="720"/>
      </w:pPr>
      <w:r>
        <w:rPr>
          <w:b/>
          <w:bCs/>
        </w:rPr>
        <w:t>El conjunto de prueba no se toca.</w:t>
      </w:r>
      <w:r>
        <w:t xml:space="preserve"> El guion de experimentos exige una bandera explícita para evaluar sobre él, precisamente para que no ocurra por descuido.</w:t>
      </w:r>
    </w:p>
    <w:p w14:paraId="2E39AF3E" w14:textId="77777777" w:rsidR="008D2D62" w:rsidRDefault="00A327E2">
      <w:pPr>
        <w:pStyle w:val="Ttulo2"/>
        <w:keepNext/>
      </w:pPr>
      <w:bookmarkStart w:id="16" w:name="_Toc238156106"/>
      <w:r>
        <w:t>8. Evaluación y despliegue</w:t>
      </w:r>
      <w:bookmarkEnd w:id="16"/>
    </w:p>
    <w:p w14:paraId="76049B09" w14:textId="77777777" w:rsidR="008D2D62" w:rsidRDefault="00A327E2">
      <w:pPr>
        <w:ind w:firstLine="720"/>
      </w:pPr>
      <w:r>
        <w:rPr>
          <w:b/>
          <w:bCs/>
        </w:rPr>
        <w:t>Las métricas están fijadas y viven en una sola implementación compartida:</w:t>
      </w:r>
      <w:r>
        <w:t xml:space="preserve"> F1 por clase, F1 macro, Precisión Direccional y matriz de confusión. La exactitud se reporta únicamente para mostrar por qué no sirve. El desarrollo completo del argumento está en la sección de métricas de la Semana 1.</w:t>
      </w:r>
    </w:p>
    <w:p w14:paraId="29BCAD58" w14:textId="77777777" w:rsidR="008D2D62" w:rsidRDefault="00A327E2">
      <w:pPr>
        <w:ind w:firstLine="720"/>
      </w:pPr>
      <w:r>
        <w:rPr>
          <w:b/>
          <w:bCs/>
        </w:rPr>
        <w:t>Lo que hay que reportar sobre la anticipación real.</w:t>
      </w:r>
      <w:r>
        <w:t xml:space="preserve"> La latencia efectiva del sistema es </w:t>
      </w:r>
      <w:r>
        <w:rPr>
          <w:rFonts w:ascii="Courier New" w:eastAsia="Courier New" w:hAnsi="Courier New" w:cs="Courier New"/>
          <w:sz w:val="22"/>
          <w:szCs w:val="22"/>
        </w:rPr>
        <w:t>h + w</w:t>
      </w:r>
      <w:r>
        <w:t xml:space="preserve">, no </w:t>
      </w:r>
      <w:r>
        <w:rPr>
          <w:rFonts w:ascii="Courier New" w:eastAsia="Courier New" w:hAnsi="Courier New" w:cs="Courier New"/>
          <w:sz w:val="22"/>
          <w:szCs w:val="22"/>
        </w:rPr>
        <w:t>h</w:t>
      </w:r>
      <w:r>
        <w:t xml:space="preserve">: con </w:t>
      </w:r>
      <w:r>
        <w:rPr>
          <w:rFonts w:ascii="Courier New" w:eastAsia="Courier New" w:hAnsi="Courier New" w:cs="Courier New"/>
          <w:sz w:val="22"/>
          <w:szCs w:val="22"/>
        </w:rPr>
        <w:t>w = 7</w:t>
      </w:r>
      <w:r>
        <w:t xml:space="preserve"> y </w:t>
      </w:r>
      <w:r>
        <w:rPr>
          <w:rFonts w:ascii="Courier New" w:eastAsia="Courier New" w:hAnsi="Courier New" w:cs="Courier New"/>
          <w:sz w:val="22"/>
          <w:szCs w:val="22"/>
        </w:rPr>
        <w:t>h = 1</w:t>
      </w:r>
      <w:r>
        <w:t xml:space="preserve"> sobre velas de 4 horas son </w:t>
      </w:r>
      <w:r>
        <w:rPr>
          <w:b/>
          <w:bCs/>
        </w:rPr>
        <w:t>8 velas, es decir 32 horas</w:t>
      </w:r>
      <w:r>
        <w:t xml:space="preserve">. Para saber si la vela </w:t>
      </w:r>
      <w:r>
        <w:rPr>
          <w:rFonts w:ascii="Courier New" w:eastAsia="Courier New" w:hAnsi="Courier New" w:cs="Courier New"/>
          <w:sz w:val="22"/>
          <w:szCs w:val="22"/>
        </w:rPr>
        <w:t>t+h</w:t>
      </w:r>
      <w:r>
        <w:t xml:space="preserve"> fue un máximo hay que observar las </w:t>
      </w:r>
      <w:r>
        <w:rPr>
          <w:rFonts w:ascii="Courier New" w:eastAsia="Courier New" w:hAnsi="Courier New" w:cs="Courier New"/>
          <w:sz w:val="22"/>
          <w:szCs w:val="22"/>
        </w:rPr>
        <w:t>w</w:t>
      </w:r>
      <w:r>
        <w:t xml:space="preserve"> posteriores. Reportar "predice una vela adelante" sin aclararlo sería engañoso.</w:t>
      </w:r>
    </w:p>
    <w:p w14:paraId="4652D339" w14:textId="77777777" w:rsidR="008D2D62" w:rsidRDefault="00A327E2">
      <w:pPr>
        <w:ind w:firstLine="720"/>
      </w:pPr>
      <w:r>
        <w:rPr>
          <w:b/>
          <w:bCs/>
        </w:rPr>
        <w:t>Despliegue.</w:t>
      </w:r>
      <w:r>
        <w:t xml:space="preserve"> El backend expone las predicciones y la evidencia por una interfaz pública, y la aplicación web las consume. Está construido y funciona en local; la publicación para uso público es una tarea abierta.</w:t>
      </w:r>
    </w:p>
    <w:p w14:paraId="727E0BC5" w14:textId="77777777" w:rsidR="008D2D62" w:rsidRDefault="00A327E2">
      <w:pPr>
        <w:pStyle w:val="Ttulo2"/>
        <w:keepNext/>
      </w:pPr>
      <w:bookmarkStart w:id="17" w:name="_Toc238156107"/>
      <w:r>
        <w:lastRenderedPageBreak/>
        <w:t>Lo que este procedimiento todavía no resuelve</w:t>
      </w:r>
      <w:bookmarkEnd w:id="17"/>
    </w:p>
    <w:p w14:paraId="68966B24" w14:textId="77777777" w:rsidR="008D2D62" w:rsidRDefault="00A327E2">
      <w:pPr>
        <w:ind w:firstLine="720"/>
      </w:pPr>
      <w:r>
        <w:t>Tres cuestiones abiertas, que se declaran aquí para que no aparezcan como sorpresa más adelante.</w:t>
      </w:r>
    </w:p>
    <w:p w14:paraId="6D99378A" w14:textId="77777777" w:rsidR="008D2D62" w:rsidRDefault="00A327E2">
      <w:pPr>
        <w:ind w:firstLine="720"/>
      </w:pPr>
      <w:r>
        <w:rPr>
          <w:b/>
          <w:bCs/>
        </w:rPr>
        <w:t>Cómo se pasa de un pronóstico de trayectoria a una etiqueta de tres clases.</w:t>
      </w:r>
      <w:r>
        <w:t xml:space="preserve"> Un modelo fundacional pronostica el precio, no la clase. Aplicar el etiquetador sobre la trayectoria pronosticada es la vía más directa y reutiliza el contrato en lugar de añadir una cabeza entrenable, pero es una decisión de diseño que hay que tomar y justificar.</w:t>
      </w:r>
    </w:p>
    <w:p w14:paraId="29F4A5D1" w14:textId="77777777" w:rsidR="008D2D62" w:rsidRDefault="00A327E2">
      <w:pPr>
        <w:ind w:firstLine="720"/>
      </w:pPr>
      <w:r>
        <w:rPr>
          <w:b/>
          <w:bCs/>
        </w:rPr>
        <w:t>Qué se entiende por prueba en tiempo real.</w:t>
      </w:r>
      <w:r>
        <w:t xml:space="preserve"> El enunciado la pide para las semanas 3 y 4. Como la etiqueta de un instante no se conoce hasta </w:t>
      </w:r>
      <w:r>
        <w:rPr>
          <w:rFonts w:ascii="Courier New" w:eastAsia="Courier New" w:hAnsi="Courier New" w:cs="Courier New"/>
          <w:sz w:val="22"/>
          <w:szCs w:val="22"/>
        </w:rPr>
        <w:t>w</w:t>
      </w:r>
      <w:r>
        <w:t xml:space="preserve"> velas después, caben dos lecturas —confirmación tardía pero verificable, o anuncio en el momento— y son dos productos distintos. Está en la consulta al profesor.</w:t>
      </w:r>
    </w:p>
    <w:p w14:paraId="2989FFFE" w14:textId="77777777" w:rsidR="008D2D62" w:rsidRDefault="00A327E2">
      <w:pPr>
        <w:ind w:firstLine="720"/>
      </w:pPr>
      <w:r>
        <w:rPr>
          <w:b/>
          <w:bCs/>
        </w:rPr>
        <w:t>Cuánta señal hay realmente.</w:t>
      </w:r>
      <w:r>
        <w:t xml:space="preserve"> La información mutua entre lo observable y la etiqueta es baja para todo horizonte, incluido </w:t>
      </w:r>
      <w:r>
        <w:rPr>
          <w:rFonts w:ascii="Courier New" w:eastAsia="Courier New" w:hAnsi="Courier New" w:cs="Courier New"/>
          <w:sz w:val="22"/>
          <w:szCs w:val="22"/>
        </w:rPr>
        <w:t>h = 1</w:t>
      </w:r>
      <w:r>
        <w:t xml:space="preserve">. Lo que sustenta la elección de </w:t>
      </w:r>
      <w:r>
        <w:rPr>
          <w:rFonts w:ascii="Courier New" w:eastAsia="Courier New" w:hAnsi="Courier New" w:cs="Courier New"/>
          <w:sz w:val="22"/>
          <w:szCs w:val="22"/>
        </w:rPr>
        <w:t>h</w:t>
      </w:r>
      <w:r>
        <w:t xml:space="preserve"> es la forma de la curva y no su magnitud, y esa magnitud pequeña es en sí misma un aviso: el problema es difícil con las características actuales.</w:t>
      </w:r>
    </w:p>
    <w:p w14:paraId="2E2E8E8A" w14:textId="77777777" w:rsidR="008D2D62" w:rsidRDefault="00A327E2">
      <w:pPr>
        <w:pStyle w:val="Ttulo1"/>
        <w:keepNext/>
      </w:pPr>
      <w:bookmarkStart w:id="18" w:name="_Toc238156108"/>
      <w:r>
        <w:t>Conclusiones</w:t>
      </w:r>
      <w:bookmarkEnd w:id="18"/>
    </w:p>
    <w:p w14:paraId="4B1F00C0" w14:textId="77777777" w:rsidR="008D2D62" w:rsidRDefault="00A327E2">
      <w:pPr>
        <w:ind w:firstLine="720"/>
      </w:pPr>
      <w:r>
        <w:rPr>
          <w:b/>
          <w:bCs/>
        </w:rPr>
        <w:t>Autor:</w:t>
      </w:r>
      <w:r>
        <w:t xml:space="preserve"> Fabrizio Espinoza Arce · Ensamblaje</w:t>
      </w:r>
    </w:p>
    <w:p w14:paraId="7F6C9D90" w14:textId="77777777" w:rsidR="008D2D62" w:rsidRDefault="00A327E2">
      <w:pPr>
        <w:ind w:firstLine="720"/>
      </w:pPr>
      <w:r>
        <w:t>Cuatro conclusiones cierran esta entrega. Como en la anterior, ninguna proviene únicamente de la literatura consultada: todas se apoyan en mediciones realizadas sobre las máquinas y los datos del proyecto.</w:t>
      </w:r>
    </w:p>
    <w:p w14:paraId="04E59906" w14:textId="77777777" w:rsidR="008D2D62" w:rsidRDefault="00A327E2">
      <w:pPr>
        <w:ind w:firstLine="720"/>
      </w:pPr>
      <w:r>
        <w:rPr>
          <w:b/>
          <w:bCs/>
        </w:rPr>
        <w:t>Primera. Los tres parámetros que definen el problema dejaron de ser provisionales, y cada uno se fijó con un criterio distinto declarado antes de medir.</w:t>
      </w:r>
      <w:r>
        <w:t xml:space="preserve"> La granularidad, por el piso de ejemplos de la clase minoritaria; la ventana, por ser la mayor que lo cumple; y el </w:t>
      </w:r>
      <w:r>
        <w:lastRenderedPageBreak/>
        <w:t>horizonte, por la caída de la información mutua entre lo observable y la etiqueta. Que sean tres criterios y no uno importa: fijar los tres con el mismo argumento habría sido justificar una decisión ya tomada.</w:t>
      </w:r>
    </w:p>
    <w:p w14:paraId="772C2A75" w14:textId="77777777" w:rsidR="008D2D62" w:rsidRDefault="00A327E2">
      <w:pPr>
        <w:ind w:firstLine="720"/>
      </w:pPr>
      <w:r>
        <w:rPr>
          <w:b/>
          <w:bCs/>
        </w:rPr>
        <w:t>Segunda. La elección del modelo fundacional se resolvió por coste medido y no por preferencia.</w:t>
      </w:r>
      <w:r>
        <w:t xml:space="preserve"> Los tres candidatos evaluados corren en CPU, pero el tiempo de inferencia sobre el bloque de validación los separa por tres órdenes de magnitud, y el descarte más costoso se decidió con ese número. Merece señalarse que el criterio que elimina a FinLSPM no es técnico sino de disponibilidad: el enunciado exige código público y no logramos encontrarlo, lo que se reporta como lo que es —no lo hemos encontrado— y no como una afirmación sobre su inexistencia.</w:t>
      </w:r>
    </w:p>
    <w:p w14:paraId="7465BBF1" w14:textId="77777777" w:rsidR="008D2D62" w:rsidRDefault="00A327E2">
      <w:pPr>
        <w:ind w:firstLine="720"/>
      </w:pPr>
      <w:r>
        <w:rPr>
          <w:b/>
          <w:bCs/>
        </w:rPr>
        <w:t>Tercera. CryptoMamba queda descartado por dos razones independientes, y una obliga a consultar al profesor.</w:t>
      </w:r>
      <w:r>
        <w:t xml:space="preserve"> No puede instalarse sin CUDA en ninguna de las máquinas del equipo, lo que se comprobó en un entorno desechable, y además no es un Transformer sino un modelo de espacio de estados, mientras que el enunciado pide expresamente un Transformer como segundo modelo. La primera razón es nuestra limitación; la segunda es una ambigüedad del enunciado que preferimos plantear antes que resolver por cuenta propia.</w:t>
      </w:r>
    </w:p>
    <w:p w14:paraId="7DE80D0D" w14:textId="77777777" w:rsidR="008D2D62" w:rsidRDefault="00A327E2">
      <w:pPr>
        <w:ind w:firstLine="720"/>
      </w:pPr>
      <w:r>
        <w:rPr>
          <w:b/>
          <w:bCs/>
        </w:rPr>
        <w:t>Cuarta. El procedimiento está construido de punta a punta, y lo que produjo es un piso honesto.</w:t>
      </w:r>
      <w:r>
        <w:t xml:space="preserve"> El circuito completo funciona y ya entrega un modelo de referencia con su evidencia. Pero al acotar su rendimiento con intervalos de confianza, la mejora del mejor modelo sobre el baseline aleatorio resulta indistinguible del ruido: la diferencia de 0,0304 tiene un intervalo que incluye el cero. Sí se sostiene su superioridad sobre el baseline trivial, y sí se sostiene que eliminar las columnas de precio en nivel constituye una mejora real. Preferimos declararlo así, con su intervalo, antes que presentar u</w:t>
      </w:r>
      <w:r>
        <w:t>n margen que la evidencia no respalda.</w:t>
      </w:r>
    </w:p>
    <w:p w14:paraId="4A499958" w14:textId="77777777" w:rsidR="008D2D62" w:rsidRDefault="00A327E2">
      <w:pPr>
        <w:pStyle w:val="Ttulo2"/>
        <w:keepNext/>
      </w:pPr>
      <w:bookmarkStart w:id="19" w:name="_Toc238156109"/>
      <w:r>
        <w:lastRenderedPageBreak/>
        <w:t>Limitaciones</w:t>
      </w:r>
      <w:bookmarkEnd w:id="19"/>
    </w:p>
    <w:p w14:paraId="048C94EC" w14:textId="77777777" w:rsidR="008D2D62" w:rsidRDefault="00A327E2">
      <w:pPr>
        <w:ind w:firstLine="720"/>
      </w:pPr>
      <w:r>
        <w:t>Cuatro advertencias que conviene explicitar.</w:t>
      </w:r>
    </w:p>
    <w:p w14:paraId="2039CDF2" w14:textId="77777777" w:rsidR="008D2D62" w:rsidRDefault="00A327E2">
      <w:pPr>
        <w:ind w:firstLine="720"/>
      </w:pPr>
      <w:r>
        <w:rPr>
          <w:b/>
          <w:bCs/>
        </w:rPr>
        <w:t>La señal disponible es escasa.</w:t>
      </w:r>
      <w:r>
        <w:t xml:space="preserve"> La información mutua entre lo observable y la etiqueta es baja para todo horizonte, incluido el elegido. Lo que sustenta la decisión es la forma de la curva y no su magnitud, y esa magnitud pequeña es en sí misma un aviso sobre la dificultad del problema con las características actuales.</w:t>
      </w:r>
    </w:p>
    <w:p w14:paraId="649E76D5" w14:textId="77777777" w:rsidR="008D2D62" w:rsidRDefault="00A327E2">
      <w:pPr>
        <w:ind w:firstLine="720"/>
      </w:pPr>
      <w:r>
        <w:rPr>
          <w:b/>
          <w:bCs/>
        </w:rPr>
        <w:t>El conjunto de validación no tiene resolución suficiente.</w:t>
      </w:r>
      <w:r>
        <w:t xml:space="preserve"> Con 99 máximos y 94 mínimos, y un F1 macro que pesa esas dos clases a dos tercios, unos pocos aciertos mueven el resultado de forma apreciable. Cualquier comparación entre modelos que no venga acompañada de un intervalo debe leerse con reserva.</w:t>
      </w:r>
    </w:p>
    <w:p w14:paraId="2E41B2E1" w14:textId="77777777" w:rsidR="008D2D62" w:rsidRDefault="00A327E2">
      <w:pPr>
        <w:ind w:firstLine="720"/>
      </w:pPr>
      <w:r>
        <w:rPr>
          <w:b/>
          <w:bCs/>
        </w:rPr>
        <w:t>Una fracción de los puntos de inflexión es impredecible por construcción.</w:t>
      </w:r>
      <w:r>
        <w:t xml:space="preserve"> Los saltos inducidos por anuncios regulatorios son exógenos a la serie, y ninguna característica construida sobre el histórico de precios puede anticiparlos.</w:t>
      </w:r>
    </w:p>
    <w:p w14:paraId="297831FD" w14:textId="77777777" w:rsidR="008D2D62" w:rsidRDefault="00A327E2">
      <w:pPr>
        <w:ind w:firstLine="720"/>
      </w:pPr>
      <w:r>
        <w:rPr>
          <w:b/>
          <w:bCs/>
        </w:rPr>
        <w:t>El paso de un pronóstico de trayectoria a una etiqueta de tres clases sigue abierto.</w:t>
      </w:r>
      <w:r>
        <w:t xml:space="preserve"> Un modelo fundacional pronostica el precio, no la clase. Aplicar el etiquetador sobre la trayectoria pronosticada reutiliza el contrato en lugar de añadir una cabeza entrenable, pero es una decisión de diseño que hay que tomar y justificar.</w:t>
      </w:r>
    </w:p>
    <w:p w14:paraId="03227EFF" w14:textId="77777777" w:rsidR="008D2D62" w:rsidRDefault="00A327E2">
      <w:pPr>
        <w:pStyle w:val="Ttulo2"/>
        <w:keepNext/>
      </w:pPr>
      <w:bookmarkStart w:id="20" w:name="_Toc238156110"/>
      <w:r>
        <w:t>Sobre el umbral de decisión</w:t>
      </w:r>
      <w:bookmarkEnd w:id="20"/>
    </w:p>
    <w:p w14:paraId="5D6EA612" w14:textId="77777777" w:rsidR="008D2D62" w:rsidRDefault="00A327E2">
      <w:pPr>
        <w:ind w:firstLine="720"/>
      </w:pPr>
      <w:r>
        <w:t xml:space="preserve">El proyecto fijó antes de medir que un modelo solo se declara mejor si supera al mejor de los baselines en F1 macro por al menos 0,02. Conviene precisar qué es y qué no es ese umbral: </w:t>
      </w:r>
      <w:r>
        <w:rPr>
          <w:b/>
          <w:bCs/>
        </w:rPr>
        <w:t>es una convención del equipo acordada de antemano, no un contraste estadístico.</w:t>
      </w:r>
      <w:r>
        <w:t xml:space="preserve"> Fijarlo antes de mirar los resultados fue lo correcto, porque impide elegir el criterio después de conocer </w:t>
      </w:r>
      <w:r>
        <w:lastRenderedPageBreak/>
        <w:t>el desenlace; presentarlo como si fuera una prueba de significancia no lo sería. Cuando el margen y su intervalo discrepen, manda el intervalo.</w:t>
      </w:r>
    </w:p>
    <w:p w14:paraId="78E5EB89" w14:textId="77777777" w:rsidR="008D2D62" w:rsidRDefault="00A327E2">
      <w:pPr>
        <w:pStyle w:val="Ttulo2"/>
        <w:keepNext/>
      </w:pPr>
      <w:bookmarkStart w:id="21" w:name="_Toc238156111"/>
      <w:r>
        <w:t>Trabajo siguiente</w:t>
      </w:r>
      <w:bookmarkEnd w:id="21"/>
    </w:p>
    <w:p w14:paraId="2789E64D" w14:textId="77777777" w:rsidR="008D2D62" w:rsidRDefault="00A327E2">
      <w:pPr>
        <w:ind w:firstLine="720"/>
      </w:pPr>
      <w:r>
        <w:t xml:space="preserve">La tercera entrega desarrolla el modelo fundacional y las pruebas de detección con datos sintéticos, de entrenamiento y en tiempo real. Conviene declarar que qué se entiende por "tiempo real" está consultado con el profesor y pendiente de respuesta: como la etiqueta de un instante no se conoce hasta </w:t>
      </w:r>
      <w:r>
        <w:rPr>
          <w:rFonts w:ascii="Courier New" w:eastAsia="Courier New" w:hAnsi="Courier New" w:cs="Courier New"/>
          <w:sz w:val="22"/>
          <w:szCs w:val="22"/>
        </w:rPr>
        <w:t>w</w:t>
      </w:r>
      <w:r>
        <w:t xml:space="preserve"> velas después, caben dos lecturas —confirmación tardía pero verificable, o anuncio en el momento— que producen dos productos distintos.</w:t>
      </w:r>
    </w:p>
    <w:p w14:paraId="7054D171" w14:textId="77777777" w:rsidR="008D2D62" w:rsidRDefault="00A327E2">
      <w:r>
        <w:br w:type="page"/>
      </w:r>
    </w:p>
    <w:p w14:paraId="00F3C21B" w14:textId="77777777" w:rsidR="008D2D62" w:rsidRDefault="00A327E2">
      <w:pPr>
        <w:pStyle w:val="Ttulo1"/>
        <w:keepNext/>
      </w:pPr>
      <w:bookmarkStart w:id="22" w:name="_Toc238156112"/>
      <w:r>
        <w:lastRenderedPageBreak/>
        <w:t>Referencias</w:t>
      </w:r>
      <w:bookmarkEnd w:id="22"/>
    </w:p>
    <w:p w14:paraId="226A4892" w14:textId="77777777" w:rsidR="008D2D62" w:rsidRDefault="00A327E2">
      <w:pPr>
        <w:ind w:left="720" w:hanging="720"/>
      </w:pPr>
      <w:r>
        <w:t xml:space="preserve">Ansari, A. F., Stella, L., Turkmen, C., Zhang, X., Mercado, P., Shen, H., Shchur, O., Rangapuram, S. S., Pineda Arango, S., Kapoor, S., Zschiegner, J., Maddix, D. C., Wang, H., Mahoney, M. W., Torkkola, K., Wilson, A. G., Bohlke-Schneider, M., &amp; Wang, Y. (2024). </w:t>
      </w:r>
      <w:r>
        <w:rPr>
          <w:i/>
          <w:iCs/>
        </w:rPr>
        <w:t>Chronos: Learning the language of time series</w:t>
      </w:r>
      <w:r>
        <w:t xml:space="preserve"> (Preprint). arXiv. https://doi.org/10.48550/arXiv.2403.07815</w:t>
      </w:r>
    </w:p>
    <w:p w14:paraId="626EDCCF" w14:textId="77777777" w:rsidR="008D2D62" w:rsidRDefault="00A327E2">
      <w:pPr>
        <w:ind w:left="720" w:hanging="720"/>
      </w:pPr>
      <w:r>
        <w:t xml:space="preserve">Das, A., Kong, W., Sen, R., &amp; Zhou, Y. (2023). </w:t>
      </w:r>
      <w:r>
        <w:rPr>
          <w:i/>
          <w:iCs/>
        </w:rPr>
        <w:t>A decoder-only foundation model for time-series forecasting</w:t>
      </w:r>
      <w:r>
        <w:t xml:space="preserve"> (Preprint). arXiv. https://doi.org/10.48550/arXiv.2310.10688</w:t>
      </w:r>
    </w:p>
    <w:p w14:paraId="5219D963" w14:textId="77777777" w:rsidR="008D2D62" w:rsidRDefault="00A327E2">
      <w:pPr>
        <w:ind w:left="720" w:hanging="720"/>
      </w:pPr>
      <w:r>
        <w:t xml:space="preserve">Gu, A., &amp; Dao, T. (2023). </w:t>
      </w:r>
      <w:r>
        <w:rPr>
          <w:i/>
          <w:iCs/>
        </w:rPr>
        <w:t>Mamba: Linear-time sequence modeling with selective state spaces</w:t>
      </w:r>
      <w:r>
        <w:t xml:space="preserve"> (Preprint). arXiv. https://doi.org/10.48550/arXiv.2312.00752</w:t>
      </w:r>
    </w:p>
    <w:p w14:paraId="44B58794" w14:textId="77777777" w:rsidR="008D2D62" w:rsidRDefault="00A327E2">
      <w:pPr>
        <w:ind w:left="720" w:hanging="720"/>
      </w:pPr>
      <w:r>
        <w:t xml:space="preserve">Guo, H., Kwok, P. Y., Guo, Y., Zhao, J., &amp; Gu, D. (2026). FinLSPM: Large stock predict model via numerical prior knowledge from LLM. </w:t>
      </w:r>
      <w:r>
        <w:rPr>
          <w:i/>
          <w:iCs/>
        </w:rPr>
        <w:t>Expert Systems with Applications</w:t>
      </w:r>
      <w:r>
        <w:t>. https://doi.org/10.1016/j.eswa.2025.130294</w:t>
      </w:r>
    </w:p>
    <w:p w14:paraId="031EFFBA" w14:textId="77777777" w:rsidR="008D2D62" w:rsidRDefault="00A327E2">
      <w:pPr>
        <w:ind w:left="720" w:hanging="720"/>
      </w:pPr>
      <w:r>
        <w:t xml:space="preserve">Koa, K. J. L., Chen, J., Ma, Y., Zheng, H., &amp; Chua, T.-S. (2025). </w:t>
      </w:r>
      <w:r>
        <w:rPr>
          <w:i/>
          <w:iCs/>
        </w:rPr>
        <w:t>Reasoning on time-series for financial technical analysis</w:t>
      </w:r>
      <w:r>
        <w:t xml:space="preserve"> (Preprint). arXiv. https://doi.org/10.48550/arXiv.2511.08616</w:t>
      </w:r>
    </w:p>
    <w:p w14:paraId="57453692" w14:textId="77777777" w:rsidR="008D2D62" w:rsidRDefault="00A327E2">
      <w:pPr>
        <w:ind w:left="720" w:hanging="720"/>
      </w:pPr>
      <w:r>
        <w:t xml:space="preserve">Sepehri, M. S., Mehradfar, A., Soltanolkotabi, M., &amp; Avestimehr, S. (2025). CryptoMamba: Leveraging state space models for accurate Bitcoin price prediction. </w:t>
      </w:r>
      <w:r>
        <w:rPr>
          <w:i/>
          <w:iCs/>
        </w:rPr>
        <w:t>2025 IEEE International Conference on Blockchain and Cryptocurrency (ICBC)</w:t>
      </w:r>
      <w:r>
        <w:t>, 1–3. https://doi.org/10.1109/icbc64466.2025.11114565</w:t>
      </w:r>
    </w:p>
    <w:p w14:paraId="154B5B22" w14:textId="77777777" w:rsidR="008D2D62" w:rsidRDefault="00A327E2">
      <w:pPr>
        <w:ind w:left="720" w:hanging="720"/>
      </w:pPr>
      <w:r>
        <w:t xml:space="preserve">Vaswani, A., Shazeer, N., Parmar, N., Uszkoreit, J., Jones, L., Gomez, A. N., Kaiser, L., &amp; Polosukhin, I. (2017). </w:t>
      </w:r>
      <w:r>
        <w:rPr>
          <w:i/>
          <w:iCs/>
        </w:rPr>
        <w:t>Attention is all you need</w:t>
      </w:r>
      <w:r>
        <w:t xml:space="preserve"> (Preprint). arXiv. https://doi.org/10.48550/arXiv.1706.03762</w:t>
      </w:r>
    </w:p>
    <w:p w14:paraId="06F3D48A" w14:textId="77777777" w:rsidR="008D2D62" w:rsidRDefault="00A327E2">
      <w:pPr>
        <w:ind w:left="720" w:hanging="720"/>
      </w:pPr>
      <w:r>
        <w:lastRenderedPageBreak/>
        <w:t xml:space="preserve">Zeng, A., Chen, M., Zhang, L., &amp; Xu, Q. (2023). Are Transformers effective for time series forecasting? </w:t>
      </w:r>
      <w:r>
        <w:rPr>
          <w:i/>
          <w:iCs/>
        </w:rPr>
        <w:t>Proceedings of the AAAI Conference on Artificial Intelligence, 37</w:t>
      </w:r>
      <w:r>
        <w:t>(9), 11121–11128. https://doi.org/10.1609/aaai.v37i9.26317</w:t>
      </w:r>
    </w:p>
    <w:sectPr w:rsidR="008D2D6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68F5D" w14:textId="77777777" w:rsidR="00A327E2" w:rsidRDefault="00A327E2">
      <w:pPr>
        <w:spacing w:line="240" w:lineRule="auto"/>
      </w:pPr>
      <w:r>
        <w:separator/>
      </w:r>
    </w:p>
  </w:endnote>
  <w:endnote w:type="continuationSeparator" w:id="0">
    <w:p w14:paraId="564DED74" w14:textId="77777777" w:rsidR="00A327E2" w:rsidRDefault="00A327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5FD63" w14:textId="77777777" w:rsidR="00A327E2" w:rsidRDefault="00A327E2">
      <w:pPr>
        <w:spacing w:line="240" w:lineRule="auto"/>
      </w:pPr>
      <w:r>
        <w:separator/>
      </w:r>
    </w:p>
  </w:footnote>
  <w:footnote w:type="continuationSeparator" w:id="0">
    <w:p w14:paraId="5BA44F29" w14:textId="77777777" w:rsidR="00A327E2" w:rsidRDefault="00A327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334BA" w14:textId="77777777" w:rsidR="008D2D62" w:rsidRDefault="00A327E2">
    <w:pPr>
      <w:jc w:val="right"/>
    </w:pPr>
    <w:r>
      <w:fldChar w:fldCharType="begin"/>
    </w:r>
    <w:r>
      <w:instrText>PAGE</w:instrText>
    </w:r>
    <w:r>
      <w:fldChar w:fldCharType="separate"/>
    </w:r>
    <w:r w:rsidR="00B91E7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104B08"/>
    <w:multiLevelType w:val="hybridMultilevel"/>
    <w:tmpl w:val="4B6246DC"/>
    <w:lvl w:ilvl="0" w:tplc="DC9E5476">
      <w:start w:val="1"/>
      <w:numFmt w:val="bullet"/>
      <w:lvlText w:val="●"/>
      <w:lvlJc w:val="left"/>
      <w:pPr>
        <w:ind w:left="720" w:hanging="360"/>
      </w:pPr>
    </w:lvl>
    <w:lvl w:ilvl="1" w:tplc="A99AEDEA">
      <w:start w:val="1"/>
      <w:numFmt w:val="bullet"/>
      <w:lvlText w:val="○"/>
      <w:lvlJc w:val="left"/>
      <w:pPr>
        <w:ind w:left="1440" w:hanging="360"/>
      </w:pPr>
    </w:lvl>
    <w:lvl w:ilvl="2" w:tplc="D632BEC0">
      <w:start w:val="1"/>
      <w:numFmt w:val="bullet"/>
      <w:lvlText w:val="■"/>
      <w:lvlJc w:val="left"/>
      <w:pPr>
        <w:ind w:left="2160" w:hanging="360"/>
      </w:pPr>
    </w:lvl>
    <w:lvl w:ilvl="3" w:tplc="860E41D8">
      <w:start w:val="1"/>
      <w:numFmt w:val="bullet"/>
      <w:lvlText w:val="●"/>
      <w:lvlJc w:val="left"/>
      <w:pPr>
        <w:ind w:left="2880" w:hanging="360"/>
      </w:pPr>
    </w:lvl>
    <w:lvl w:ilvl="4" w:tplc="804080D4">
      <w:start w:val="1"/>
      <w:numFmt w:val="bullet"/>
      <w:lvlText w:val="○"/>
      <w:lvlJc w:val="left"/>
      <w:pPr>
        <w:ind w:left="3600" w:hanging="360"/>
      </w:pPr>
    </w:lvl>
    <w:lvl w:ilvl="5" w:tplc="C4741956">
      <w:start w:val="1"/>
      <w:numFmt w:val="bullet"/>
      <w:lvlText w:val="■"/>
      <w:lvlJc w:val="left"/>
      <w:pPr>
        <w:ind w:left="4320" w:hanging="360"/>
      </w:pPr>
    </w:lvl>
    <w:lvl w:ilvl="6" w:tplc="64DA6662">
      <w:start w:val="1"/>
      <w:numFmt w:val="bullet"/>
      <w:lvlText w:val="●"/>
      <w:lvlJc w:val="left"/>
      <w:pPr>
        <w:ind w:left="5040" w:hanging="360"/>
      </w:pPr>
    </w:lvl>
    <w:lvl w:ilvl="7" w:tplc="2C6A63E4">
      <w:start w:val="1"/>
      <w:numFmt w:val="bullet"/>
      <w:lvlText w:val="●"/>
      <w:lvlJc w:val="left"/>
      <w:pPr>
        <w:ind w:left="5760" w:hanging="360"/>
      </w:pPr>
    </w:lvl>
    <w:lvl w:ilvl="8" w:tplc="AABA35A2">
      <w:start w:val="1"/>
      <w:numFmt w:val="bullet"/>
      <w:lvlText w:val="●"/>
      <w:lvlJc w:val="left"/>
      <w:pPr>
        <w:ind w:left="6480" w:hanging="360"/>
      </w:pPr>
    </w:lvl>
  </w:abstractNum>
  <w:num w:numId="1" w16cid:durableId="7597907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D62"/>
    <w:rsid w:val="008D2D62"/>
    <w:rsid w:val="00A327E2"/>
    <w:rsid w:val="00B91E75"/>
    <w:rsid w:val="00DA3A7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6C3D52"/>
  <w15:docId w15:val="{B7846BCD-3A96-474B-8D88-B22CA2852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CR" w:eastAsia="es-C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jc w:val="center"/>
      <w:outlineLvl w:val="0"/>
    </w:pPr>
    <w:rPr>
      <w:b/>
      <w:bCs/>
    </w:rPr>
  </w:style>
  <w:style w:type="paragraph" w:styleId="Ttulo2">
    <w:name w:val="heading 2"/>
    <w:uiPriority w:val="9"/>
    <w:unhideWhenUsed/>
    <w:qFormat/>
    <w:pPr>
      <w:outlineLvl w:val="1"/>
    </w:pPr>
    <w:rPr>
      <w:b/>
      <w:bCs/>
    </w:rPr>
  </w:style>
  <w:style w:type="paragraph" w:styleId="Ttulo3">
    <w:name w:val="heading 3"/>
    <w:uiPriority w:val="9"/>
    <w:semiHidden/>
    <w:unhideWhenUsed/>
    <w:qFormat/>
    <w:pPr>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91E75"/>
    <w:pPr>
      <w:spacing w:after="100"/>
    </w:pPr>
  </w:style>
  <w:style w:type="paragraph" w:styleId="TDC2">
    <w:name w:val="toc 2"/>
    <w:basedOn w:val="Normal"/>
    <w:next w:val="Normal"/>
    <w:autoRedefine/>
    <w:uiPriority w:val="39"/>
    <w:unhideWhenUsed/>
    <w:rsid w:val="00B91E7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5826</Words>
  <Characters>30230</Characters>
  <Application>Microsoft Office Word</Application>
  <DocSecurity>0</DocSecurity>
  <Lines>558</Lines>
  <Paragraphs>222</Paragraphs>
  <ScaleCrop>false</ScaleCrop>
  <Company/>
  <LinksUpToDate>false</LinksUpToDate>
  <CharactersWithSpaces>35841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Marco Teórico — Series de Tiempo y Criptoactivos</dc:title>
  <dc:creator>Equipo Caso N.º 1</dc:creator>
  <dc:description>Primera entrega del Caso N.º 1, Señales y Sistemas</dc:description>
  <cp:lastModifiedBy>Andrew XXLL</cp:lastModifiedBy>
  <cp:revision>2</cp:revision>
  <dcterms:created xsi:type="dcterms:W3CDTF">2026-08-21T04:04:00Z</dcterms:created>
  <dcterms:modified xsi:type="dcterms:W3CDTF">2026-08-21T04:04:00Z</dcterms:modified>
</cp:coreProperties>
</file>