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pPr>
      <w:r>
        <w:rPr>
          <w:rFonts w:ascii="Calibri" w:cs="Calibri" w:eastAsia="Calibri" w:hAnsi="Calibri"/>
          <w:b/>
          <w:bCs/>
          <w:color w:val="345D9D"/>
          <w:spacing w:val="60"/>
          <w:sz w:val="19"/>
          <w:szCs w:val="19"/>
        </w:rPr>
        <w:t xml:space="preserve">DOCUMENTO DE REQUISITOS DE PRODUCTO</w:t>
      </w:r>
    </w:p>
    <w:p>
      <w:pPr>
        <w:spacing w:after="40"/>
      </w:pPr>
      <w:r>
        <w:rPr>
          <w:rFonts w:ascii="Calibri" w:cs="Calibri" w:eastAsia="Calibri" w:hAnsi="Calibri"/>
          <w:b/>
          <w:bCs/>
          <w:color w:val="1B2A4A"/>
          <w:sz w:val="56"/>
          <w:szCs w:val="56"/>
        </w:rPr>
        <w:t xml:space="preserve">Sistema de Pronóstico de Puntos</w:t>
      </w:r>
    </w:p>
    <w:p>
      <w:pPr>
        <w:spacing w:after="40"/>
      </w:pPr>
      <w:r>
        <w:rPr>
          <w:rFonts w:ascii="Calibri" w:cs="Calibri" w:eastAsia="Calibri" w:hAnsi="Calibri"/>
          <w:b/>
          <w:bCs/>
          <w:color w:val="1B2A4A"/>
          <w:sz w:val="56"/>
          <w:szCs w:val="56"/>
        </w:rPr>
        <w:t xml:space="preserve">de Inflexión en el Precio de Litecoin</w:t>
      </w:r>
    </w:p>
    <w:p>
      <w:pPr>
        <w:pBdr>
          <w:bottom w:val="single" w:color="345D9D" w:sz="12" w:space="10"/>
        </w:pBdr>
        <w:spacing w:after="260"/>
      </w:pPr>
      <w:r>
        <w:rPr>
          <w:sz w:val="8"/>
          <w:szCs w:val="8"/>
        </w:rPr>
        <w:t xml:space="preserve"/>
      </w:r>
    </w:p>
    <w:p>
      <w:pPr>
        <w:spacing w:after="900"/>
      </w:pPr>
      <w:r>
        <w:rPr>
          <w:rFonts w:ascii="Calibri" w:cs="Calibri" w:eastAsia="Calibri" w:hAnsi="Calibri"/>
          <w:color w:val="5A6675"/>
          <w:sz w:val="24"/>
          <w:szCs w:val="24"/>
        </w:rPr>
        <w:t xml:space="preserve">Análisis multivariante de series temporales mediante aprendizaje automático supervisado · Caso N.º 1</w:t>
      </w:r>
    </w:p>
    <w:tbl>
      <w:tblPr>
        <w:tblW w:type="dxa" w:w="9360"/>
        <w:tblBorders>
          <w:top w:val="single" w:color="C9D3E0" w:sz="2"/>
          <w:left w:val="none"/>
          <w:bottom w:val="single" w:color="C9D3E0" w:sz="2"/>
          <w:right w:val="none"/>
          <w:insideH w:val="single" w:color="C9D3E0" w:sz="2"/>
          <w:insideV w:val="none"/>
        </w:tblBorders>
      </w:tblPr>
      <w:tblGrid>
        <w:gridCol w:w="2400"/>
        <w:gridCol w:w="6960"/>
      </w:tblGrid>
      <w:tr>
        <w:tc>
          <w:tcPr>
            <w:tcW w:type="dxa" w:w="2400"/>
            <w:tcMar>
              <w:top w:type="dxa" w:w="110"/>
              <w:left w:type="dxa" w:w="0"/>
              <w:bottom w:type="dxa" w:w="110"/>
              <w:right w:type="dxa" w:w="120"/>
            </w:tcMar>
          </w:tcPr>
          <w:p>
            <w:pPr>
              <w:spacing w:after="0"/>
            </w:pPr>
            <w:r>
              <w:rPr>
                <w:rFonts w:ascii="Calibri" w:cs="Calibri" w:eastAsia="Calibri" w:hAnsi="Calibri"/>
                <w:b/>
                <w:bCs/>
                <w:color w:val="5A6675"/>
                <w:spacing w:val="20"/>
                <w:sz w:val="16"/>
                <w:szCs w:val="16"/>
              </w:rPr>
              <w:t xml:space="preserve">VERSIÓN</w:t>
            </w:r>
          </w:p>
        </w:tc>
        <w:tc>
          <w:tcPr>
            <w:tcW w:type="dxa" w:w="6960"/>
            <w:tcMar>
              <w:top w:type="dxa" w:w="110"/>
              <w:left w:type="dxa" w:w="0"/>
              <w:bottom w:type="dxa" w:w="110"/>
              <w:right w:type="dxa" w:w="0"/>
            </w:tcMar>
          </w:tcPr>
          <w:p>
            <w:pPr>
              <w:spacing w:after="0"/>
            </w:pPr>
            <w:r>
              <w:rPr>
                <w:rFonts w:ascii="Calibri" w:cs="Calibri" w:eastAsia="Calibri" w:hAnsi="Calibri"/>
                <w:color w:val="20242B"/>
                <w:sz w:val="20"/>
                <w:szCs w:val="20"/>
              </w:rPr>
              <w:t xml:space="preserve">1.0</w:t>
            </w:r>
          </w:p>
        </w:tc>
      </w:tr>
      <w:tr>
        <w:tc>
          <w:tcPr>
            <w:tcW w:type="dxa" w:w="2400"/>
            <w:tcMar>
              <w:top w:type="dxa" w:w="110"/>
              <w:left w:type="dxa" w:w="0"/>
              <w:bottom w:type="dxa" w:w="110"/>
              <w:right w:type="dxa" w:w="120"/>
            </w:tcMar>
          </w:tcPr>
          <w:p>
            <w:pPr>
              <w:spacing w:after="0"/>
            </w:pPr>
            <w:r>
              <w:rPr>
                <w:rFonts w:ascii="Calibri" w:cs="Calibri" w:eastAsia="Calibri" w:hAnsi="Calibri"/>
                <w:b/>
                <w:bCs/>
                <w:color w:val="5A6675"/>
                <w:spacing w:val="20"/>
                <w:sz w:val="16"/>
                <w:szCs w:val="16"/>
              </w:rPr>
              <w:t xml:space="preserve">FECHA</w:t>
            </w:r>
          </w:p>
        </w:tc>
        <w:tc>
          <w:tcPr>
            <w:tcW w:type="dxa" w:w="6960"/>
            <w:tcMar>
              <w:top w:type="dxa" w:w="110"/>
              <w:left w:type="dxa" w:w="0"/>
              <w:bottom w:type="dxa" w:w="110"/>
              <w:right w:type="dxa" w:w="0"/>
            </w:tcMar>
          </w:tcPr>
          <w:p>
            <w:pPr>
              <w:spacing w:after="0"/>
            </w:pPr>
            <w:r>
              <w:rPr>
                <w:rFonts w:ascii="Calibri" w:cs="Calibri" w:eastAsia="Calibri" w:hAnsi="Calibri"/>
                <w:color w:val="20242B"/>
                <w:sz w:val="20"/>
                <w:szCs w:val="20"/>
              </w:rPr>
              <w:t xml:space="preserve">5 de agosto de 2026</w:t>
            </w:r>
          </w:p>
        </w:tc>
      </w:tr>
      <w:tr>
        <w:tc>
          <w:tcPr>
            <w:tcW w:type="dxa" w:w="2400"/>
            <w:tcMar>
              <w:top w:type="dxa" w:w="110"/>
              <w:left w:type="dxa" w:w="0"/>
              <w:bottom w:type="dxa" w:w="110"/>
              <w:right w:type="dxa" w:w="120"/>
            </w:tcMar>
          </w:tcPr>
          <w:p>
            <w:pPr>
              <w:spacing w:after="0"/>
            </w:pPr>
            <w:r>
              <w:rPr>
                <w:rFonts w:ascii="Calibri" w:cs="Calibri" w:eastAsia="Calibri" w:hAnsi="Calibri"/>
                <w:b/>
                <w:bCs/>
                <w:color w:val="5A6675"/>
                <w:spacing w:val="20"/>
                <w:sz w:val="16"/>
                <w:szCs w:val="16"/>
              </w:rPr>
              <w:t xml:space="preserve">AUTOR</w:t>
            </w:r>
          </w:p>
        </w:tc>
        <w:tc>
          <w:tcPr>
            <w:tcW w:type="dxa" w:w="6960"/>
            <w:tcMar>
              <w:top w:type="dxa" w:w="110"/>
              <w:left w:type="dxa" w:w="0"/>
              <w:bottom w:type="dxa" w:w="110"/>
              <w:right w:type="dxa" w:w="0"/>
            </w:tcMar>
          </w:tcPr>
          <w:p>
            <w:pPr>
              <w:spacing w:after="0"/>
            </w:pPr>
            <w:r>
              <w:rPr>
                <w:rFonts w:ascii="Calibri" w:cs="Calibri" w:eastAsia="Calibri" w:hAnsi="Calibri"/>
                <w:color w:val="20242B"/>
                <w:sz w:val="20"/>
                <w:szCs w:val="20"/>
              </w:rPr>
              <w:t xml:space="preserve">Fabrizio Espinoza Arce — Project Manager</w:t>
            </w:r>
          </w:p>
        </w:tc>
      </w:tr>
      <w:tr>
        <w:tc>
          <w:tcPr>
            <w:tcW w:type="dxa" w:w="2400"/>
            <w:tcMar>
              <w:top w:type="dxa" w:w="110"/>
              <w:left w:type="dxa" w:w="0"/>
              <w:bottom w:type="dxa" w:w="110"/>
              <w:right w:type="dxa" w:w="120"/>
            </w:tcMar>
          </w:tcPr>
          <w:p>
            <w:pPr>
              <w:spacing w:after="0"/>
            </w:pPr>
            <w:r>
              <w:rPr>
                <w:rFonts w:ascii="Calibri" w:cs="Calibri" w:eastAsia="Calibri" w:hAnsi="Calibri"/>
                <w:b/>
                <w:bCs/>
                <w:color w:val="5A6675"/>
                <w:spacing w:val="20"/>
                <w:sz w:val="16"/>
                <w:szCs w:val="16"/>
              </w:rPr>
              <w:t xml:space="preserve">EQUIPO</w:t>
            </w:r>
          </w:p>
        </w:tc>
        <w:tc>
          <w:tcPr>
            <w:tcW w:type="dxa" w:w="6960"/>
            <w:tcMar>
              <w:top w:type="dxa" w:w="110"/>
              <w:left w:type="dxa" w:w="0"/>
              <w:bottom w:type="dxa" w:w="110"/>
              <w:right w:type="dxa" w:w="0"/>
            </w:tcMar>
          </w:tcPr>
          <w:p>
            <w:pPr>
              <w:spacing w:after="0"/>
            </w:pPr>
            <w:r>
              <w:rPr>
                <w:rFonts w:ascii="Calibri" w:cs="Calibri" w:eastAsia="Calibri" w:hAnsi="Calibri"/>
                <w:color w:val="20242B"/>
                <w:sz w:val="20"/>
                <w:szCs w:val="20"/>
              </w:rPr>
              <w:t xml:space="preserve">Alejandro Zamora · Jose Pablo Monestel · Isaac Morun · Fabrizio Espinoza Arce</w:t>
            </w:r>
          </w:p>
        </w:tc>
      </w:tr>
      <w:tr>
        <w:tc>
          <w:tcPr>
            <w:tcW w:type="dxa" w:w="2400"/>
            <w:tcMar>
              <w:top w:type="dxa" w:w="110"/>
              <w:left w:type="dxa" w:w="0"/>
              <w:bottom w:type="dxa" w:w="110"/>
              <w:right w:type="dxa" w:w="120"/>
            </w:tcMar>
          </w:tcPr>
          <w:p>
            <w:pPr>
              <w:spacing w:after="0"/>
            </w:pPr>
            <w:r>
              <w:rPr>
                <w:rFonts w:ascii="Calibri" w:cs="Calibri" w:eastAsia="Calibri" w:hAnsi="Calibri"/>
                <w:b/>
                <w:bCs/>
                <w:color w:val="5A6675"/>
                <w:spacing w:val="20"/>
                <w:sz w:val="16"/>
                <w:szCs w:val="16"/>
              </w:rPr>
              <w:t xml:space="preserve">DIRIGIDO A</w:t>
            </w:r>
          </w:p>
        </w:tc>
        <w:tc>
          <w:tcPr>
            <w:tcW w:type="dxa" w:w="6960"/>
            <w:tcMar>
              <w:top w:type="dxa" w:w="110"/>
              <w:left w:type="dxa" w:w="0"/>
              <w:bottom w:type="dxa" w:w="110"/>
              <w:right w:type="dxa" w:w="0"/>
            </w:tcMar>
          </w:tcPr>
          <w:p>
            <w:pPr>
              <w:spacing w:after="0"/>
            </w:pPr>
            <w:r>
              <w:rPr>
                <w:rFonts w:ascii="Calibri" w:cs="Calibri" w:eastAsia="Calibri" w:hAnsi="Calibri"/>
                <w:color w:val="20242B"/>
                <w:sz w:val="20"/>
                <w:szCs w:val="20"/>
              </w:rPr>
              <w:t xml:space="preserve">Roberto Calvo Arias</w:t>
            </w:r>
          </w:p>
        </w:tc>
      </w:tr>
      <w:tr>
        <w:tc>
          <w:tcPr>
            <w:tcW w:type="dxa" w:w="2400"/>
            <w:tcMar>
              <w:top w:type="dxa" w:w="110"/>
              <w:left w:type="dxa" w:w="0"/>
              <w:bottom w:type="dxa" w:w="110"/>
              <w:right w:type="dxa" w:w="120"/>
            </w:tcMar>
          </w:tcPr>
          <w:p>
            <w:pPr>
              <w:spacing w:after="0"/>
            </w:pPr>
            <w:r>
              <w:rPr>
                <w:rFonts w:ascii="Calibri" w:cs="Calibri" w:eastAsia="Calibri" w:hAnsi="Calibri"/>
                <w:b/>
                <w:bCs/>
                <w:color w:val="5A6675"/>
                <w:spacing w:val="20"/>
                <w:sz w:val="16"/>
                <w:szCs w:val="16"/>
              </w:rPr>
              <w:t xml:space="preserve">CURSO</w:t>
            </w:r>
          </w:p>
        </w:tc>
        <w:tc>
          <w:tcPr>
            <w:tcW w:type="dxa" w:w="6960"/>
            <w:tcMar>
              <w:top w:type="dxa" w:w="110"/>
              <w:left w:type="dxa" w:w="0"/>
              <w:bottom w:type="dxa" w:w="110"/>
              <w:right w:type="dxa" w:w="0"/>
            </w:tcMar>
          </w:tcPr>
          <w:p>
            <w:pPr>
              <w:spacing w:after="0"/>
            </w:pPr>
            <w:r>
              <w:rPr>
                <w:rFonts w:ascii="Calibri" w:cs="Calibri" w:eastAsia="Calibri" w:hAnsi="Calibri"/>
                <w:color w:val="20242B"/>
                <w:sz w:val="20"/>
                <w:szCs w:val="20"/>
              </w:rPr>
              <w:t xml:space="preserve">Señales y Sistemas — 3.er Trimestre 2026</w:t>
            </w:r>
          </w:p>
        </w:tc>
      </w:tr>
      <w:tr>
        <w:tc>
          <w:tcPr>
            <w:tcW w:type="dxa" w:w="2400"/>
            <w:tcMar>
              <w:top w:type="dxa" w:w="110"/>
              <w:left w:type="dxa" w:w="0"/>
              <w:bottom w:type="dxa" w:w="110"/>
              <w:right w:type="dxa" w:w="120"/>
            </w:tcMar>
          </w:tcPr>
          <w:p>
            <w:pPr>
              <w:spacing w:after="0"/>
            </w:pPr>
            <w:r>
              <w:rPr>
                <w:rFonts w:ascii="Calibri" w:cs="Calibri" w:eastAsia="Calibri" w:hAnsi="Calibri"/>
                <w:b/>
                <w:bCs/>
                <w:color w:val="5A6675"/>
                <w:spacing w:val="20"/>
                <w:sz w:val="16"/>
                <w:szCs w:val="16"/>
              </w:rPr>
              <w:t xml:space="preserve">ENTREGA FINAL</w:t>
            </w:r>
          </w:p>
        </w:tc>
        <w:tc>
          <w:tcPr>
            <w:tcW w:type="dxa" w:w="6960"/>
            <w:tcMar>
              <w:top w:type="dxa" w:w="110"/>
              <w:left w:type="dxa" w:w="0"/>
              <w:bottom w:type="dxa" w:w="110"/>
              <w:right w:type="dxa" w:w="0"/>
            </w:tcMar>
          </w:tcPr>
          <w:p>
            <w:pPr>
              <w:spacing w:after="0"/>
            </w:pPr>
            <w:r>
              <w:rPr>
                <w:rFonts w:ascii="Calibri" w:cs="Calibri" w:eastAsia="Calibri" w:hAnsi="Calibri"/>
                <w:color w:val="20242B"/>
                <w:sz w:val="20"/>
                <w:szCs w:val="20"/>
              </w:rPr>
              <w:t xml:space="preserve">8 de septiembre de 2026</w:t>
            </w:r>
          </w:p>
        </w:tc>
      </w:tr>
      <w:tr>
        <w:tc>
          <w:tcPr>
            <w:tcW w:type="dxa" w:w="2400"/>
            <w:tcMar>
              <w:top w:type="dxa" w:w="110"/>
              <w:left w:type="dxa" w:w="0"/>
              <w:bottom w:type="dxa" w:w="110"/>
              <w:right w:type="dxa" w:w="120"/>
            </w:tcMar>
          </w:tcPr>
          <w:p>
            <w:pPr>
              <w:spacing w:after="0"/>
            </w:pPr>
            <w:r>
              <w:rPr>
                <w:rFonts w:ascii="Calibri" w:cs="Calibri" w:eastAsia="Calibri" w:hAnsi="Calibri"/>
                <w:b/>
                <w:bCs/>
                <w:color w:val="5A6675"/>
                <w:spacing w:val="20"/>
                <w:sz w:val="16"/>
                <w:szCs w:val="16"/>
              </w:rPr>
              <w:t xml:space="preserve">ESTADO</w:t>
            </w:r>
          </w:p>
        </w:tc>
        <w:tc>
          <w:tcPr>
            <w:tcW w:type="dxa" w:w="6960"/>
            <w:tcMar>
              <w:top w:type="dxa" w:w="110"/>
              <w:left w:type="dxa" w:w="0"/>
              <w:bottom w:type="dxa" w:w="110"/>
              <w:right w:type="dxa" w:w="0"/>
            </w:tcMar>
          </w:tcPr>
          <w:p>
            <w:pPr>
              <w:spacing w:after="0"/>
            </w:pPr>
            <w:r>
              <w:rPr>
                <w:rFonts w:ascii="Calibri" w:cs="Calibri" w:eastAsia="Calibri" w:hAnsi="Calibri"/>
                <w:color w:val="20242B"/>
                <w:sz w:val="20"/>
                <w:szCs w:val="20"/>
              </w:rPr>
              <w:t xml:space="preserve">Borrador para revisión del equipo</w:t>
            </w:r>
          </w:p>
        </w:tc>
      </w:tr>
    </w:tbl>
    <w:p>
      <w:r>
        <w:br w:type="page"/>
      </w:r>
    </w:p>
    <w:p>
      <w:pPr>
        <w:pBdr>
          <w:bottom w:val="single" w:color="345D9D" w:sz="8" w:space="8"/>
        </w:pBdr>
        <w:spacing w:after="240"/>
      </w:pPr>
      <w:r>
        <w:rPr>
          <w:rFonts w:ascii="Calibri" w:cs="Calibri" w:eastAsia="Calibri" w:hAnsi="Calibri"/>
          <w:b/>
          <w:bCs/>
          <w:color w:val="1B2A4A"/>
          <w:sz w:val="34"/>
          <w:szCs w:val="34"/>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Cómo leer este documento</w:t>
      </w:r>
    </w:p>
    <w:p>
      <w:pPr>
        <w:spacing w:after="140" w:line="276"/>
      </w:pPr>
      <w:r>
        <w:rPr>
          <w:rFonts w:ascii="Calibri" w:cs="Calibri" w:eastAsia="Calibri" w:hAnsi="Calibri"/>
          <w:color w:val="20242B"/>
          <w:sz w:val="21"/>
          <w:szCs w:val="21"/>
        </w:rPr>
        <w:t xml:space="preserve">No hace falta leerlo entero de una sentada. Está ordenado así:</w:t>
      </w:r>
    </w:p>
    <w:p>
      <w:pPr>
        <w:pStyle w:val="ListParagraph"/>
        <w:numPr>
          <w:ilvl w:val="0"/>
          <w:numId w:val="2"/>
        </w:numPr>
        <w:spacing w:after="80" w:line="276"/>
      </w:pPr>
      <w:r>
        <w:rPr>
          <w:rFonts w:ascii="Calibri" w:cs="Calibri" w:eastAsia="Calibri" w:hAnsi="Calibri"/>
          <w:b/>
          <w:bCs/>
          <w:color w:val="20242B"/>
          <w:sz w:val="21"/>
          <w:szCs w:val="21"/>
        </w:rPr>
        <w:t xml:space="preserve">Secciones 1 a 4</w:t>
      </w:r>
      <w:r>
        <w:rPr>
          <w:rFonts w:ascii="Calibri" w:cs="Calibri" w:eastAsia="Calibri" w:hAnsi="Calibri"/>
          <w:color w:val="20242B"/>
          <w:sz w:val="21"/>
          <w:szCs w:val="21"/>
        </w:rPr>
        <w:t xml:space="preserve"> — qué estamos construyendo y por qué. Léanlas todos.</w:t>
      </w:r>
    </w:p>
    <w:p>
      <w:pPr>
        <w:pStyle w:val="ListParagraph"/>
        <w:numPr>
          <w:ilvl w:val="0"/>
          <w:numId w:val="2"/>
        </w:numPr>
        <w:spacing w:after="80" w:line="276"/>
      </w:pPr>
      <w:r>
        <w:rPr>
          <w:rFonts w:ascii="Calibri" w:cs="Calibri" w:eastAsia="Calibri" w:hAnsi="Calibri"/>
          <w:b/>
          <w:bCs/>
          <w:color w:val="20242B"/>
          <w:sz w:val="21"/>
          <w:szCs w:val="21"/>
        </w:rPr>
        <w:t xml:space="preserve">Secciones 5 a 8</w:t>
      </w:r>
      <w:r>
        <w:rPr>
          <w:rFonts w:ascii="Calibri" w:cs="Calibri" w:eastAsia="Calibri" w:hAnsi="Calibri"/>
          <w:color w:val="20242B"/>
          <w:sz w:val="21"/>
          <w:szCs w:val="21"/>
        </w:rPr>
        <w:t xml:space="preserve"> — cómo está partido el trabajo y qué le toca a cada uno. Lean la suya con cuidado y las demás por encima, para saber a quién preguntarle qué.</w:t>
      </w:r>
    </w:p>
    <w:p>
      <w:pPr>
        <w:pStyle w:val="ListParagraph"/>
        <w:numPr>
          <w:ilvl w:val="0"/>
          <w:numId w:val="2"/>
        </w:numPr>
        <w:spacing w:after="80" w:line="276"/>
      </w:pPr>
      <w:r>
        <w:rPr>
          <w:rFonts w:ascii="Calibri" w:cs="Calibri" w:eastAsia="Calibri" w:hAnsi="Calibri"/>
          <w:b/>
          <w:bCs/>
          <w:color w:val="20242B"/>
          <w:sz w:val="21"/>
          <w:szCs w:val="21"/>
        </w:rPr>
        <w:t xml:space="preserve">Secciones 9 a 12</w:t>
      </w:r>
      <w:r>
        <w:rPr>
          <w:rFonts w:ascii="Calibri" w:cs="Calibri" w:eastAsia="Calibri" w:hAnsi="Calibri"/>
          <w:color w:val="20242B"/>
          <w:sz w:val="21"/>
          <w:szCs w:val="21"/>
        </w:rPr>
        <w:t xml:space="preserve"> — cómo se trabaja semana a semana y cuándo algo cuenta como terminado.</w:t>
      </w:r>
    </w:p>
    <w:p>
      <w:pPr>
        <w:pStyle w:val="ListParagraph"/>
        <w:numPr>
          <w:ilvl w:val="0"/>
          <w:numId w:val="2"/>
        </w:numPr>
        <w:spacing w:after="80" w:line="276"/>
      </w:pPr>
      <w:r>
        <w:rPr>
          <w:rFonts w:ascii="Calibri" w:cs="Calibri" w:eastAsia="Calibri" w:hAnsi="Calibri"/>
          <w:b/>
          <w:bCs/>
          <w:color w:val="20242B"/>
          <w:sz w:val="21"/>
          <w:szCs w:val="21"/>
        </w:rPr>
        <w:t xml:space="preserve">Secciones 13 a 15</w:t>
      </w:r>
      <w:r>
        <w:rPr>
          <w:rFonts w:ascii="Calibri" w:cs="Calibri" w:eastAsia="Calibri" w:hAnsi="Calibri"/>
          <w:color w:val="20242B"/>
          <w:sz w:val="21"/>
          <w:szCs w:val="21"/>
        </w:rPr>
        <w:t xml:space="preserve"> — lo que todavía no está decidido, lo que puede salir mal y lo que estamos suponiendo sin haber verificado.</w:t>
      </w:r>
    </w:p>
    <w:p>
      <w:pPr>
        <w:spacing w:after="140" w:line="276"/>
      </w:pPr>
      <w:r>
        <w:rPr>
          <w:rFonts w:ascii="Calibri" w:cs="Calibri" w:eastAsia="Calibri" w:hAnsi="Calibri"/>
          <w:color w:val="20242B"/>
          <w:sz w:val="21"/>
          <w:szCs w:val="21"/>
        </w:rPr>
        <w:t xml:space="preserve">Si algo no se entiende, no es culpa de quien lee. Escríbanlo en el grupo y lo corrijo en la versión siguiente.</w:t>
      </w:r>
    </w:p>
    <w:p>
      <w:pPr>
        <w:pStyle w:val="Heading1"/>
      </w:pPr>
      <w:r>
        <w:t xml:space="preserve">1. Qué estamos construyendo</w:t>
      </w:r>
    </w:p>
    <w:p>
      <w:pPr>
        <w:spacing w:after="140" w:line="276"/>
      </w:pPr>
      <w:r>
        <w:rPr>
          <w:rFonts w:ascii="Calibri" w:cs="Calibri" w:eastAsia="Calibri" w:hAnsi="Calibri"/>
          <w:color w:val="20242B"/>
          <w:sz w:val="21"/>
          <w:szCs w:val="21"/>
        </w:rPr>
        <w:t xml:space="preserve">Un sistema que mira el precio de Litecoin y avisa cuándo está por dar la vuelta.</w:t>
      </w:r>
    </w:p>
    <w:p>
      <w:pPr>
        <w:spacing w:after="140" w:line="276"/>
      </w:pPr>
      <w:r>
        <w:rPr>
          <w:rFonts w:ascii="Calibri" w:cs="Calibri" w:eastAsia="Calibri" w:hAnsi="Calibri"/>
          <w:color w:val="20242B"/>
          <w:sz w:val="21"/>
          <w:szCs w:val="21"/>
        </w:rPr>
        <w:t xml:space="preserve">Más preciso: un modelo de aprendizaje automático que, para cada momento del tiempo, clasifica el precio de LTC en una de tres etiquetas — </w:t>
      </w:r>
      <w:r>
        <w:rPr>
          <w:rFonts w:ascii="Calibri" w:cs="Calibri" w:eastAsia="Calibri" w:hAnsi="Calibri"/>
          <w:b/>
          <w:bCs/>
          <w:color w:val="20242B"/>
          <w:sz w:val="21"/>
          <w:szCs w:val="21"/>
        </w:rPr>
        <w:t xml:space="preserve">Máximo</w:t>
      </w:r>
      <w:r>
        <w:rPr>
          <w:rFonts w:ascii="Calibri" w:cs="Calibri" w:eastAsia="Calibri" w:hAnsi="Calibri"/>
          <w:color w:val="20242B"/>
          <w:sz w:val="21"/>
          <w:szCs w:val="21"/>
        </w:rPr>
        <w:t xml:space="preserve">, </w:t>
      </w:r>
      <w:r>
        <w:rPr>
          <w:rFonts w:ascii="Calibri" w:cs="Calibri" w:eastAsia="Calibri" w:hAnsi="Calibri"/>
          <w:b/>
          <w:bCs/>
          <w:color w:val="20242B"/>
          <w:sz w:val="21"/>
          <w:szCs w:val="21"/>
        </w:rPr>
        <w:t xml:space="preserve">Mínimo</w:t>
      </w:r>
      <w:r>
        <w:rPr>
          <w:rFonts w:ascii="Calibri" w:cs="Calibri" w:eastAsia="Calibri" w:hAnsi="Calibri"/>
          <w:color w:val="20242B"/>
          <w:sz w:val="21"/>
          <w:szCs w:val="21"/>
        </w:rPr>
        <w:t xml:space="preserve"> o </w:t>
      </w:r>
      <w:r>
        <w:rPr>
          <w:rFonts w:ascii="Calibri" w:cs="Calibri" w:eastAsia="Calibri" w:hAnsi="Calibri"/>
          <w:b/>
          <w:bCs/>
          <w:color w:val="20242B"/>
          <w:sz w:val="21"/>
          <w:szCs w:val="21"/>
        </w:rPr>
        <w:t xml:space="preserve">Zona de Continuidad</w:t>
      </w:r>
      <w:r>
        <w:rPr>
          <w:rFonts w:ascii="Calibri" w:cs="Calibri" w:eastAsia="Calibri" w:hAnsi="Calibri"/>
          <w:color w:val="20242B"/>
          <w:sz w:val="21"/>
          <w:szCs w:val="21"/>
        </w:rPr>
        <w:t xml:space="preserve"> — usando como información de apoyo el comportamiento de Bitcoin, Ethereum, Solana, XRP y Cardano.</w:t>
      </w:r>
    </w:p>
    <w:p>
      <w:pPr>
        <w:spacing w:after="140" w:line="276"/>
      </w:pPr>
      <w:r>
        <w:rPr>
          <w:rFonts w:ascii="Calibri" w:cs="Calibri" w:eastAsia="Calibri" w:hAnsi="Calibri"/>
          <w:color w:val="20242B"/>
          <w:sz w:val="21"/>
          <w:szCs w:val="21"/>
        </w:rPr>
        <w:t xml:space="preserve">Alrededor del modelo construimos tres cosas más:</w:t>
      </w:r>
    </w:p>
    <w:p>
      <w:pPr>
        <w:pStyle w:val="ListParagraph"/>
        <w:numPr>
          <w:ilvl w:val="0"/>
          <w:numId w:val="3"/>
        </w:numPr>
        <w:spacing w:after="80" w:line="276"/>
      </w:pPr>
      <w:r>
        <w:rPr>
          <w:rFonts w:ascii="Calibri" w:cs="Calibri" w:eastAsia="Calibri" w:hAnsi="Calibri"/>
          <w:color w:val="20242B"/>
          <w:sz w:val="21"/>
          <w:szCs w:val="21"/>
        </w:rPr>
        <w:t xml:space="preserve">Una </w:t>
      </w:r>
      <w:r>
        <w:rPr>
          <w:rFonts w:ascii="Calibri" w:cs="Calibri" w:eastAsia="Calibri" w:hAnsi="Calibri"/>
          <w:b/>
          <w:bCs/>
          <w:color w:val="20242B"/>
          <w:sz w:val="21"/>
          <w:szCs w:val="21"/>
        </w:rPr>
        <w:t xml:space="preserve">aplicación web</w:t>
      </w:r>
      <w:r>
        <w:rPr>
          <w:rFonts w:ascii="Calibri" w:cs="Calibri" w:eastAsia="Calibri" w:hAnsi="Calibri"/>
          <w:color w:val="20242B"/>
          <w:sz w:val="21"/>
          <w:szCs w:val="21"/>
        </w:rPr>
        <w:t xml:space="preserve"> que permite ver el modelo funcionando sobre datos sintéticos, históricos y en vivo.</w:t>
      </w:r>
    </w:p>
    <w:p>
      <w:pPr>
        <w:pStyle w:val="ListParagraph"/>
        <w:numPr>
          <w:ilvl w:val="0"/>
          <w:numId w:val="3"/>
        </w:numPr>
        <w:spacing w:after="80" w:line="276"/>
      </w:pPr>
      <w:r>
        <w:rPr>
          <w:rFonts w:ascii="Calibri" w:cs="Calibri" w:eastAsia="Calibri" w:hAnsi="Calibri"/>
          <w:color w:val="20242B"/>
          <w:sz w:val="21"/>
          <w:szCs w:val="21"/>
        </w:rPr>
        <w:t xml:space="preserve">Un </w:t>
      </w:r>
      <w:r>
        <w:rPr>
          <w:rFonts w:ascii="Calibri" w:cs="Calibri" w:eastAsia="Calibri" w:hAnsi="Calibri"/>
          <w:b/>
          <w:bCs/>
          <w:color w:val="20242B"/>
          <w:sz w:val="21"/>
          <w:szCs w:val="21"/>
        </w:rPr>
        <w:t xml:space="preserve">informe técnico</w:t>
      </w:r>
      <w:r>
        <w:rPr>
          <w:rFonts w:ascii="Calibri" w:cs="Calibri" w:eastAsia="Calibri" w:hAnsi="Calibri"/>
          <w:color w:val="20242B"/>
          <w:sz w:val="21"/>
          <w:szCs w:val="21"/>
        </w:rPr>
        <w:t xml:space="preserve"> que documenta el diseño, el rendimiento medido y las limitaciones del enfoque.</w:t>
      </w:r>
    </w:p>
    <w:p>
      <w:pPr>
        <w:pStyle w:val="ListParagraph"/>
        <w:numPr>
          <w:ilvl w:val="0"/>
          <w:numId w:val="3"/>
        </w:numPr>
        <w:spacing w:after="80" w:line="276"/>
      </w:pPr>
      <w:r>
        <w:rPr>
          <w:rFonts w:ascii="Calibri" w:cs="Calibri" w:eastAsia="Calibri" w:hAnsi="Calibri"/>
          <w:color w:val="20242B"/>
          <w:sz w:val="21"/>
          <w:szCs w:val="21"/>
        </w:rPr>
        <w:t xml:space="preserve">Una </w:t>
      </w:r>
      <w:r>
        <w:rPr>
          <w:rFonts w:ascii="Calibri" w:cs="Calibri" w:eastAsia="Calibri" w:hAnsi="Calibri"/>
          <w:b/>
          <w:bCs/>
          <w:color w:val="20242B"/>
          <w:sz w:val="21"/>
          <w:szCs w:val="21"/>
        </w:rPr>
        <w:t xml:space="preserve">presentación semanal</w:t>
      </w:r>
      <w:r>
        <w:rPr>
          <w:rFonts w:ascii="Calibri" w:cs="Calibri" w:eastAsia="Calibri" w:hAnsi="Calibri"/>
          <w:color w:val="20242B"/>
          <w:sz w:val="21"/>
          <w:szCs w:val="21"/>
        </w:rPr>
        <w:t xml:space="preserve"> del avance.</w:t>
      </w:r>
    </w:p>
    <w:p>
      <w:pPr>
        <w:pStyle w:val="Heading1"/>
      </w:pPr>
      <w:r>
        <w:t xml:space="preserve">2. Por qué existe el problema</w:t>
      </w:r>
    </w:p>
    <w:p>
      <w:pPr>
        <w:spacing w:after="140" w:line="276"/>
      </w:pPr>
      <w:r>
        <w:rPr>
          <w:rFonts w:ascii="Calibri" w:cs="Calibri" w:eastAsia="Calibri" w:hAnsi="Calibri"/>
          <w:color w:val="20242B"/>
          <w:sz w:val="21"/>
          <w:szCs w:val="21"/>
        </w:rPr>
        <w:t xml:space="preserve">Los precios de criptomonedas son series difíciles: no son estacionarias — sus propiedades estadísticas cambian con el tiempo —, son muy volátiles, y su volatilidad tampoco es constante, lo que se llama heterocedasticidad. Los modelos estadísticos clásicos como ARIMA o GARCH asumen estructuras lineales y estables, y por eso rinden mal acá.</w:t>
      </w:r>
    </w:p>
    <w:p>
      <w:pPr>
        <w:spacing w:after="140" w:line="276"/>
      </w:pPr>
      <w:r>
        <w:rPr>
          <w:rFonts w:ascii="Calibri" w:cs="Calibri" w:eastAsia="Calibri" w:hAnsi="Calibri"/>
          <w:color w:val="20242B"/>
          <w:sz w:val="21"/>
          <w:szCs w:val="21"/>
        </w:rPr>
        <w:t xml:space="preserve">Además, LTC no se mueve solo. Su precio responde al mercado general de criptomonedas, y en particular a los activos de mayor capitalización, que funcionan como transmisores de riesgo y de sentimiento. Un modelo que ignore eso está tirando información útil.</w:t>
      </w:r>
    </w:p>
    <w:p>
      <w:pPr>
        <w:spacing w:after="140" w:line="276"/>
      </w:pPr>
      <w:r>
        <w:rPr>
          <w:rFonts w:ascii="Calibri" w:cs="Calibri" w:eastAsia="Calibri" w:hAnsi="Calibri"/>
          <w:color w:val="20242B"/>
          <w:sz w:val="21"/>
          <w:szCs w:val="21"/>
        </w:rPr>
        <w:t xml:space="preserve">De ahí el planteamiento: </w:t>
      </w:r>
      <w:r>
        <w:rPr>
          <w:rFonts w:ascii="Calibri" w:cs="Calibri" w:eastAsia="Calibri" w:hAnsi="Calibri"/>
          <w:b/>
          <w:bCs/>
          <w:color w:val="20242B"/>
          <w:sz w:val="21"/>
          <w:szCs w:val="21"/>
        </w:rPr>
        <w:t xml:space="preserve">problema multivariante</w:t>
      </w:r>
      <w:r>
        <w:rPr>
          <w:rFonts w:ascii="Calibri" w:cs="Calibri" w:eastAsia="Calibri" w:hAnsi="Calibri"/>
          <w:color w:val="20242B"/>
          <w:sz w:val="21"/>
          <w:szCs w:val="21"/>
        </w:rPr>
        <w:t xml:space="preserve"> — seis series, no una — y </w:t>
      </w:r>
      <w:r>
        <w:rPr>
          <w:rFonts w:ascii="Calibri" w:cs="Calibri" w:eastAsia="Calibri" w:hAnsi="Calibri"/>
          <w:b/>
          <w:bCs/>
          <w:color w:val="20242B"/>
          <w:sz w:val="21"/>
          <w:szCs w:val="21"/>
        </w:rPr>
        <w:t xml:space="preserve">enfoque de aprendizaje profundo</w:t>
      </w:r>
      <w:r>
        <w:rPr>
          <w:rFonts w:ascii="Calibri" w:cs="Calibri" w:eastAsia="Calibri" w:hAnsi="Calibri"/>
          <w:color w:val="20242B"/>
          <w:sz w:val="21"/>
          <w:szCs w:val="21"/>
        </w:rPr>
        <w:t xml:space="preserve">, no estadística clásica.</w:t>
      </w:r>
    </w:p>
    <w:p>
      <w:pPr>
        <w:pStyle w:val="Heading1"/>
      </w:pPr>
      <w:r>
        <w:t xml:space="preserve">3. Objetivos y criterios de éxito</w:t>
      </w:r>
    </w:p>
    <w:p>
      <w:pPr>
        <w:spacing w:after="140" w:line="276"/>
      </w:pPr>
      <w:r>
        <w:rPr>
          <w:rFonts w:ascii="Calibri" w:cs="Calibri" w:eastAsia="Calibri" w:hAnsi="Calibri"/>
          <w:color w:val="20242B"/>
          <w:sz w:val="21"/>
          <w:szCs w:val="21"/>
        </w:rPr>
        <w:t xml:space="preserve">Hay dos tipos de éxito y conviene no confundirlos.</w:t>
      </w:r>
    </w:p>
    <w:p>
      <w:pPr>
        <w:pStyle w:val="Heading2"/>
      </w:pPr>
      <w:r>
        <w:t xml:space="preserve">3.1 Éxito académico</w:t>
      </w:r>
    </w:p>
    <w:p>
      <w:pPr>
        <w:spacing w:after="140" w:line="276"/>
      </w:pPr>
      <w:r>
        <w:rPr>
          <w:rFonts w:ascii="Calibri" w:cs="Calibri" w:eastAsia="Calibri" w:hAnsi="Calibri"/>
          <w:color w:val="20242B"/>
          <w:sz w:val="21"/>
          <w:szCs w:val="21"/>
        </w:rPr>
        <w:t xml:space="preserve">El trabajo se califica con seis criterios, todos del mismo peso — 16,66 % cada uno:</w:t>
      </w:r>
    </w:p>
    <w:tbl>
      <w:tblPr>
        <w:tblW w:type="dxa" w:w="9360"/>
        <w:tblBorders>
          <w:top w:val="single" w:color="1B2A4A" w:sz="4"/>
          <w:left w:val="none"/>
          <w:bottom w:val="single" w:color="1B2A4A" w:sz="4"/>
          <w:right w:val="none"/>
          <w:insideH w:val="single" w:color="C9D3E0" w:sz="2"/>
          <w:insideV w:val="none"/>
        </w:tblBorders>
      </w:tblPr>
      <w:tblGrid>
        <w:gridCol w:w="2808"/>
        <w:gridCol w:w="6552"/>
      </w:tblGrid>
      <w:tr>
        <w:trPr>
          <w:tblHeader/>
        </w:trPr>
        <w:tc>
          <w:tcPr>
            <w:tcW w:type="dxa" w:w="2808"/>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Criterio</w:t>
            </w:r>
          </w:p>
        </w:tc>
        <w:tc>
          <w:tcPr>
            <w:tcW w:type="dxa" w:w="6552"/>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Qué mide</w:t>
            </w:r>
          </w:p>
        </w:tc>
      </w:tr>
      <w:tr>
        <w:tc>
          <w:tcPr>
            <w:tcW w:type="dxa" w:w="2808"/>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Contenido</w:t>
            </w:r>
          </w:p>
        </w:tc>
        <w:tc>
          <w:tcPr>
            <w:tcW w:type="dxa" w:w="6552"/>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Profundidad y precisión en la descripción de equipos, tecnologías y sistemas</w:t>
            </w:r>
          </w:p>
        </w:tc>
      </w:tr>
      <w:tr>
        <w:tc>
          <w:tcPr>
            <w:tcW w:type="dxa" w:w="2808"/>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Análisis</w:t>
            </w:r>
          </w:p>
        </w:tc>
        <w:tc>
          <w:tcPr>
            <w:tcW w:type="dxa" w:w="6552"/>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Capacidad de relacionar los conceptos técnicos con su aplicación, con ejemplos prácticos</w:t>
            </w:r>
          </w:p>
        </w:tc>
      </w:tr>
      <w:tr>
        <w:tc>
          <w:tcPr>
            <w:tcW w:type="dxa" w:w="2808"/>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Calidad de las fuentes</w:t>
            </w:r>
          </w:p>
        </w:tc>
        <w:tc>
          <w:tcPr>
            <w:tcW w:type="dxa" w:w="6552"/>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Uso de referencias académicas y cumplimiento del formato APA</w:t>
            </w:r>
          </w:p>
        </w:tc>
      </w:tr>
      <w:tr>
        <w:tc>
          <w:tcPr>
            <w:tcW w:type="dxa" w:w="2808"/>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Estructura y redacción</w:t>
            </w:r>
          </w:p>
        </w:tc>
        <w:tc>
          <w:tcPr>
            <w:tcW w:type="dxa" w:w="6552"/>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Organización clara, coherencia y uso correcto del idioma</w:t>
            </w:r>
          </w:p>
        </w:tc>
      </w:tr>
      <w:tr>
        <w:tc>
          <w:tcPr>
            <w:tcW w:type="dxa" w:w="2808"/>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Calidad de la exposición</w:t>
            </w:r>
          </w:p>
        </w:tc>
        <w:tc>
          <w:tcPr>
            <w:tcW w:type="dxa" w:w="6552"/>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Que la presentación sea clara, dinámica y mantenga la atención</w:t>
            </w:r>
          </w:p>
        </w:tc>
      </w:tr>
      <w:tr>
        <w:tc>
          <w:tcPr>
            <w:tcW w:type="dxa" w:w="2808"/>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Comunicación efectiva</w:t>
            </w:r>
          </w:p>
        </w:tc>
        <w:tc>
          <w:tcPr>
            <w:tcW w:type="dxa" w:w="6552"/>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Que la comunicación sea clara, concisa y adaptada al público</w:t>
            </w:r>
          </w:p>
        </w:tc>
      </w:tr>
    </w:tbl>
    <w:p>
      <w:pPr>
        <w:spacing w:after="240"/>
      </w:pPr>
    </w:p>
    <w:tbl>
      <w:tblPr>
        <w:tblW w:type="dxa" w:w="9360"/>
        <w:tblBorders>
          <w:top w:val="single" w:color="EEF2F8" w:sz="2"/>
          <w:left w:val="single" w:color="345D9D" w:sz="18"/>
          <w:bottom w:val="single" w:color="EEF2F8" w:sz="2"/>
          <w:right w:val="single" w:color="EEF2F8" w:sz="2"/>
          <w:insideH w:val="none"/>
          <w:insideV w:val="none"/>
        </w:tblBorders>
      </w:tblPr>
      <w:tblGrid>
        <w:gridCol w:w="9360"/>
      </w:tblGrid>
      <w:tr>
        <w:tc>
          <w:tcPr>
            <w:tcW w:type="dxa" w:w="9360"/>
            <w:shd w:fill="EEF2F8" w:val="clear"/>
            <w:tcMar>
              <w:top w:type="dxa" w:w="160"/>
              <w:left w:type="dxa" w:w="220"/>
              <w:bottom w:type="dxa" w:w="160"/>
              <w:right w:type="dxa" w:w="220"/>
            </w:tcMar>
          </w:tcPr>
          <w:p>
            <w:pPr>
              <w:spacing w:after="100" w:line="264"/>
            </w:pPr>
            <w:r>
              <w:rPr>
                <w:rFonts w:ascii="Calibri" w:cs="Calibri" w:eastAsia="Calibri" w:hAnsi="Calibri"/>
                <w:color w:val="20242B"/>
                <w:sz w:val="20"/>
                <w:szCs w:val="20"/>
              </w:rPr>
              <w:t xml:space="preserve">Léanlo dos veces: </w:t>
            </w:r>
            <w:r>
              <w:rPr>
                <w:rFonts w:ascii="Calibri" w:cs="Calibri" w:eastAsia="Calibri" w:hAnsi="Calibri"/>
                <w:b/>
                <w:bCs/>
                <w:color w:val="20242B"/>
                <w:sz w:val="20"/>
                <w:szCs w:val="20"/>
              </w:rPr>
              <w:t xml:space="preserve">cuatro de los seis criterios no hablan del modelo.</w:t>
            </w:r>
            <w:r>
              <w:rPr>
                <w:rFonts w:ascii="Calibri" w:cs="Calibri" w:eastAsia="Calibri" w:hAnsi="Calibri"/>
                <w:color w:val="20242B"/>
                <w:sz w:val="20"/>
                <w:szCs w:val="20"/>
              </w:rPr>
              <w:t xml:space="preserve"> Hablan de cómo escribimos, cómo citamos y cómo exponemos. Eso es el 66 % de la nota.</w:t>
            </w:r>
          </w:p>
          <w:p>
            <w:pPr>
              <w:spacing w:after="0" w:line="264"/>
            </w:pPr>
            <w:r>
              <w:rPr>
                <w:rFonts w:ascii="Calibri" w:cs="Calibri" w:eastAsia="Calibri" w:hAnsi="Calibri"/>
                <w:color w:val="20242B"/>
                <w:sz w:val="20"/>
                <w:szCs w:val="20"/>
              </w:rPr>
              <w:t xml:space="preserve">Un modelo brillante con un documento apurado saca menos que un modelo decente con un documento impecable. Por eso, en este proyecto, </w:t>
            </w:r>
            <w:r>
              <w:rPr>
                <w:rFonts w:ascii="Calibri" w:cs="Calibri" w:eastAsia="Calibri" w:hAnsi="Calibri"/>
                <w:b/>
                <w:bCs/>
                <w:color w:val="20242B"/>
                <w:sz w:val="20"/>
                <w:szCs w:val="20"/>
              </w:rPr>
              <w:t xml:space="preserve">escribir la sección del documento es parte de terminar la tarea</w:t>
            </w:r>
            <w:r>
              <w:rPr>
                <w:rFonts w:ascii="Calibri" w:cs="Calibri" w:eastAsia="Calibri" w:hAnsi="Calibri"/>
                <w:color w:val="20242B"/>
                <w:sz w:val="20"/>
                <w:szCs w:val="20"/>
              </w:rPr>
              <w:t xml:space="preserve">, no algo que se hace después.</w:t>
            </w:r>
          </w:p>
        </w:tc>
      </w:tr>
    </w:tbl>
    <w:p>
      <w:pPr>
        <w:spacing w:after="120"/>
      </w:pPr>
    </w:p>
    <w:p>
      <w:pPr>
        <w:pStyle w:val="Heading2"/>
      </w:pPr>
      <w:r>
        <w:t xml:space="preserve">3.2 Éxito técnico</w:t>
      </w:r>
    </w:p>
    <w:p>
      <w:pPr>
        <w:spacing w:after="140" w:line="276"/>
      </w:pPr>
      <w:r>
        <w:rPr>
          <w:rFonts w:ascii="Calibri" w:cs="Calibri" w:eastAsia="Calibri" w:hAnsi="Calibri"/>
          <w:color w:val="20242B"/>
          <w:sz w:val="21"/>
          <w:szCs w:val="21"/>
        </w:rPr>
        <w:t xml:space="preserve">El proyecto es exitoso técnicamente si:</w:t>
      </w:r>
    </w:p>
    <w:p>
      <w:pPr>
        <w:pStyle w:val="ListParagraph"/>
        <w:numPr>
          <w:ilvl w:val="0"/>
          <w:numId w:val="4"/>
        </w:numPr>
        <w:spacing w:after="80" w:line="276"/>
      </w:pPr>
      <w:r>
        <w:rPr>
          <w:rFonts w:ascii="Calibri" w:cs="Calibri" w:eastAsia="Calibri" w:hAnsi="Calibri"/>
          <w:color w:val="20242B"/>
          <w:sz w:val="21"/>
          <w:szCs w:val="21"/>
        </w:rPr>
        <w:t xml:space="preserve">El modelo supera de forma medible a un </w:t>
      </w:r>
      <w:r>
        <w:rPr>
          <w:rFonts w:ascii="Calibri" w:cs="Calibri" w:eastAsia="Calibri" w:hAnsi="Calibri"/>
          <w:b/>
          <w:bCs/>
          <w:color w:val="20242B"/>
          <w:sz w:val="21"/>
          <w:szCs w:val="21"/>
        </w:rPr>
        <w:t xml:space="preserve">baseline trivial</w:t>
      </w:r>
      <w:r>
        <w:rPr>
          <w:rFonts w:ascii="Calibri" w:cs="Calibri" w:eastAsia="Calibri" w:hAnsi="Calibri"/>
          <w:color w:val="20242B"/>
          <w:sz w:val="21"/>
          <w:szCs w:val="21"/>
        </w:rPr>
        <w:t xml:space="preserve">. El baseline trivial es un modelo que siempre responde “Zona de Continuidad”. Como las clases van a estar desbalanceadas, ese modelo tonto va a tener buena exactitud, y si no lo superamos en F1 no tenemos nada.</w:t>
      </w:r>
    </w:p>
    <w:p>
      <w:pPr>
        <w:pStyle w:val="ListParagraph"/>
        <w:numPr>
          <w:ilvl w:val="0"/>
          <w:numId w:val="4"/>
        </w:numPr>
        <w:spacing w:after="80" w:line="276"/>
      </w:pPr>
      <w:r>
        <w:rPr>
          <w:rFonts w:ascii="Calibri" w:cs="Calibri" w:eastAsia="Calibri" w:hAnsi="Calibri"/>
          <w:color w:val="20242B"/>
          <w:sz w:val="21"/>
          <w:szCs w:val="21"/>
        </w:rPr>
        <w:t xml:space="preserve">Existen </w:t>
      </w:r>
      <w:r>
        <w:rPr>
          <w:rFonts w:ascii="Calibri" w:cs="Calibri" w:eastAsia="Calibri" w:hAnsi="Calibri"/>
          <w:b/>
          <w:bCs/>
          <w:color w:val="20242B"/>
          <w:sz w:val="21"/>
          <w:szCs w:val="21"/>
        </w:rPr>
        <w:t xml:space="preserve">dos modelos</w:t>
      </w:r>
      <w:r>
        <w:rPr>
          <w:rFonts w:ascii="Calibri" w:cs="Calibri" w:eastAsia="Calibri" w:hAnsi="Calibri"/>
          <w:color w:val="20242B"/>
          <w:sz w:val="21"/>
          <w:szCs w:val="21"/>
        </w:rPr>
        <w:t xml:space="preserve"> funcionando y comparados con la misma métrica y la misma partición de datos: uno fundacional de Hugging Face y uno avanzado.</w:t>
      </w:r>
    </w:p>
    <w:p>
      <w:pPr>
        <w:pStyle w:val="ListParagraph"/>
        <w:numPr>
          <w:ilvl w:val="0"/>
          <w:numId w:val="4"/>
        </w:numPr>
        <w:spacing w:after="80" w:line="276"/>
      </w:pPr>
      <w:r>
        <w:rPr>
          <w:rFonts w:ascii="Calibri" w:cs="Calibri" w:eastAsia="Calibri" w:hAnsi="Calibri"/>
          <w:color w:val="20242B"/>
          <w:sz w:val="21"/>
          <w:szCs w:val="21"/>
        </w:rPr>
        <w:t xml:space="preserve">Todo resultado del informe se puede </w:t>
      </w:r>
      <w:r>
        <w:rPr>
          <w:rFonts w:ascii="Calibri" w:cs="Calibri" w:eastAsia="Calibri" w:hAnsi="Calibri"/>
          <w:b/>
          <w:bCs/>
          <w:color w:val="20242B"/>
          <w:sz w:val="21"/>
          <w:szCs w:val="21"/>
        </w:rPr>
        <w:t xml:space="preserve">regenerar con un comando</w:t>
      </w:r>
      <w:r>
        <w:rPr>
          <w:rFonts w:ascii="Calibri" w:cs="Calibri" w:eastAsia="Calibri" w:hAnsi="Calibri"/>
          <w:color w:val="20242B"/>
          <w:sz w:val="21"/>
          <w:szCs w:val="21"/>
        </w:rPr>
        <w:t xml:space="preserve">. Si un número no se puede volver a producir, no entra al informe.</w:t>
      </w:r>
    </w:p>
    <w:p>
      <w:pPr>
        <w:pStyle w:val="Heading2"/>
      </w:pPr>
      <w:r>
        <w:t xml:space="preserve">3.3 Criterio de decisión, fijado de antemano</w:t>
      </w:r>
    </w:p>
    <w:p>
      <w:pPr>
        <w:spacing w:after="140" w:line="276"/>
      </w:pPr>
      <w:r>
        <w:rPr>
          <w:rFonts w:ascii="Calibri" w:cs="Calibri" w:eastAsia="Calibri" w:hAnsi="Calibri"/>
          <w:color w:val="20242B"/>
          <w:sz w:val="21"/>
          <w:szCs w:val="21"/>
        </w:rPr>
        <w:t xml:space="preserve">Para no terminar justificando lo que ya queríamos hacer, dejamos escrito ahora — antes de medir nada — cómo se elige el modelo que va al reporte final:</w:t>
      </w:r>
    </w:p>
    <w:tbl>
      <w:tblPr>
        <w:tblW w:type="dxa" w:w="9360"/>
        <w:tblBorders>
          <w:top w:val="single" w:color="EEF2F8" w:sz="2"/>
          <w:left w:val="single" w:color="345D9D" w:sz="18"/>
          <w:bottom w:val="single" w:color="EEF2F8" w:sz="2"/>
          <w:right w:val="single" w:color="EEF2F8" w:sz="2"/>
          <w:insideH w:val="none"/>
          <w:insideV w:val="none"/>
        </w:tblBorders>
      </w:tblPr>
      <w:tblGrid>
        <w:gridCol w:w="9360"/>
      </w:tblGrid>
      <w:tr>
        <w:tc>
          <w:tcPr>
            <w:tcW w:type="dxa" w:w="9360"/>
            <w:shd w:fill="EEF2F8" w:val="clear"/>
            <w:tcMar>
              <w:top w:type="dxa" w:w="160"/>
              <w:left w:type="dxa" w:w="220"/>
              <w:bottom w:type="dxa" w:w="160"/>
              <w:right w:type="dxa" w:w="220"/>
            </w:tcMar>
          </w:tcPr>
          <w:p>
            <w:pPr>
              <w:spacing w:after="0" w:line="264"/>
            </w:pPr>
            <w:r>
              <w:rPr>
                <w:rFonts w:ascii="Calibri" w:cs="Calibri" w:eastAsia="Calibri" w:hAnsi="Calibri"/>
                <w:color w:val="20242B"/>
                <w:sz w:val="20"/>
                <w:szCs w:val="20"/>
              </w:rPr>
              <w:t xml:space="preserve">Gana el modelo con mayor </w:t>
            </w:r>
            <w:r>
              <w:rPr>
                <w:rFonts w:ascii="Calibri" w:cs="Calibri" w:eastAsia="Calibri" w:hAnsi="Calibri"/>
                <w:b/>
                <w:bCs/>
                <w:color w:val="20242B"/>
                <w:sz w:val="20"/>
                <w:szCs w:val="20"/>
              </w:rPr>
              <w:t xml:space="preserve">F1 macro</w:t>
            </w:r>
            <w:r>
              <w:rPr>
                <w:rFonts w:ascii="Calibri" w:cs="Calibri" w:eastAsia="Calibri" w:hAnsi="Calibri"/>
                <w:color w:val="20242B"/>
                <w:sz w:val="20"/>
                <w:szCs w:val="20"/>
              </w:rPr>
              <w:t xml:space="preserve"> sobre el conjunto de prueba. Si la diferencia entre el fundacional y el avanzado es </w:t>
            </w:r>
            <w:r>
              <w:rPr>
                <w:rFonts w:ascii="Calibri" w:cs="Calibri" w:eastAsia="Calibri" w:hAnsi="Calibri"/>
                <w:b/>
                <w:bCs/>
                <w:color w:val="20242B"/>
                <w:sz w:val="20"/>
                <w:szCs w:val="20"/>
              </w:rPr>
              <w:t xml:space="preserve">menor a 0,02 absoluto</w:t>
            </w:r>
            <w:r>
              <w:rPr>
                <w:rFonts w:ascii="Calibri" w:cs="Calibri" w:eastAsia="Calibri" w:hAnsi="Calibri"/>
                <w:color w:val="20242B"/>
                <w:sz w:val="20"/>
                <w:szCs w:val="20"/>
              </w:rPr>
              <w:t xml:space="preserve">, se recomienda el fundacional por ser más simple, y el avanzado se documenta igual con su resultado.</w:t>
            </w:r>
          </w:p>
        </w:tc>
      </w:tr>
    </w:tbl>
    <w:p>
      <w:pPr>
        <w:spacing w:after="120"/>
      </w:pPr>
    </w:p>
    <w:p>
      <w:pPr>
        <w:spacing w:after="140" w:line="276"/>
      </w:pPr>
      <w:r>
        <w:rPr>
          <w:rFonts w:ascii="Calibri" w:cs="Calibri" w:eastAsia="Calibri" w:hAnsi="Calibri"/>
          <w:color w:val="20242B"/>
          <w:sz w:val="21"/>
          <w:szCs w:val="21"/>
        </w:rPr>
        <w:t xml:space="preserve">El umbral de 0,02 es una propuesta del PM, no un número sacado de un artículo académico. Si alguien tiene un criterio mejor, se cambia </w:t>
      </w:r>
      <w:r>
        <w:rPr>
          <w:rFonts w:ascii="Calibri" w:cs="Calibri" w:eastAsia="Calibri" w:hAnsi="Calibri"/>
          <w:b/>
          <w:bCs/>
          <w:color w:val="20242B"/>
          <w:sz w:val="21"/>
          <w:szCs w:val="21"/>
        </w:rPr>
        <w:t xml:space="preserve">ahora</w:t>
      </w:r>
      <w:r>
        <w:rPr>
          <w:rFonts w:ascii="Calibri" w:cs="Calibri" w:eastAsia="Calibri" w:hAnsi="Calibri"/>
          <w:color w:val="20242B"/>
          <w:sz w:val="21"/>
          <w:szCs w:val="21"/>
        </w:rPr>
        <w:t xml:space="preserve">. Después de ver los resultados ya no se puede cambiar sin decirlo explícitamente en el informe.</w:t>
      </w:r>
    </w:p>
    <w:p>
      <w:pPr>
        <w:pStyle w:val="Heading1"/>
      </w:pPr>
      <w:r>
        <w:t xml:space="preserve">4. Alcance</w:t>
      </w:r>
    </w:p>
    <w:p>
      <w:pPr>
        <w:pStyle w:val="Heading2"/>
      </w:pPr>
      <w:r>
        <w:t xml:space="preserve">4.1 Dentro del alcance</w:t>
      </w:r>
    </w:p>
    <w:p>
      <w:pPr>
        <w:pStyle w:val="ListParagraph"/>
        <w:numPr>
          <w:ilvl w:val="0"/>
          <w:numId w:val="5"/>
        </w:numPr>
        <w:spacing w:after="80" w:line="276"/>
      </w:pPr>
      <w:r>
        <w:rPr>
          <w:rFonts w:ascii="Calibri" w:cs="Calibri" w:eastAsia="Calibri" w:hAnsi="Calibri"/>
          <w:color w:val="20242B"/>
          <w:sz w:val="21"/>
          <w:szCs w:val="21"/>
        </w:rPr>
        <w:t xml:space="preserve">Descarga y limpieza de series históricas de las seis criptomonedas.</w:t>
      </w:r>
    </w:p>
    <w:p>
      <w:pPr>
        <w:pStyle w:val="ListParagraph"/>
        <w:numPr>
          <w:ilvl w:val="0"/>
          <w:numId w:val="5"/>
        </w:numPr>
        <w:spacing w:after="80" w:line="276"/>
      </w:pPr>
      <w:r>
        <w:rPr>
          <w:rFonts w:ascii="Calibri" w:cs="Calibri" w:eastAsia="Calibri" w:hAnsi="Calibri"/>
          <w:color w:val="20242B"/>
          <w:sz w:val="21"/>
          <w:szCs w:val="21"/>
        </w:rPr>
        <w:t xml:space="preserve">Análisis exploratorio y diagnóstico estadístico de las series.</w:t>
      </w:r>
    </w:p>
    <w:p>
      <w:pPr>
        <w:pStyle w:val="ListParagraph"/>
        <w:numPr>
          <w:ilvl w:val="0"/>
          <w:numId w:val="5"/>
        </w:numPr>
        <w:spacing w:after="80" w:line="276"/>
      </w:pPr>
      <w:r>
        <w:rPr>
          <w:rFonts w:ascii="Calibri" w:cs="Calibri" w:eastAsia="Calibri" w:hAnsi="Calibri"/>
          <w:color w:val="20242B"/>
          <w:sz w:val="21"/>
          <w:szCs w:val="21"/>
        </w:rPr>
        <w:t xml:space="preserve">Definición operativa del punto de inflexión y generación de etiquetas.</w:t>
      </w:r>
    </w:p>
    <w:p>
      <w:pPr>
        <w:pStyle w:val="ListParagraph"/>
        <w:numPr>
          <w:ilvl w:val="0"/>
          <w:numId w:val="5"/>
        </w:numPr>
        <w:spacing w:after="80" w:line="276"/>
      </w:pPr>
      <w:r>
        <w:rPr>
          <w:rFonts w:ascii="Calibri" w:cs="Calibri" w:eastAsia="Calibri" w:hAnsi="Calibri"/>
          <w:color w:val="20242B"/>
          <w:sz w:val="21"/>
          <w:szCs w:val="21"/>
        </w:rPr>
        <w:t xml:space="preserve">Ingeniería de características: indicadores técnicos, rezagos, ventanas, volatilidad y correlación.</w:t>
      </w:r>
    </w:p>
    <w:p>
      <w:pPr>
        <w:pStyle w:val="ListParagraph"/>
        <w:numPr>
          <w:ilvl w:val="0"/>
          <w:numId w:val="5"/>
        </w:numPr>
        <w:spacing w:after="80" w:line="276"/>
      </w:pPr>
      <w:r>
        <w:rPr>
          <w:rFonts w:ascii="Calibri" w:cs="Calibri" w:eastAsia="Calibri" w:hAnsi="Calibri"/>
          <w:color w:val="20242B"/>
          <w:sz w:val="21"/>
          <w:szCs w:val="21"/>
        </w:rPr>
        <w:t xml:space="preserve">Un modelo fundacional de Hugging Face.</w:t>
      </w:r>
    </w:p>
    <w:p>
      <w:pPr>
        <w:pStyle w:val="ListParagraph"/>
        <w:numPr>
          <w:ilvl w:val="0"/>
          <w:numId w:val="5"/>
        </w:numPr>
        <w:spacing w:after="80" w:line="276"/>
      </w:pPr>
      <w:r>
        <w:rPr>
          <w:rFonts w:ascii="Calibri" w:cs="Calibri" w:eastAsia="Calibri" w:hAnsi="Calibri"/>
          <w:color w:val="20242B"/>
          <w:sz w:val="21"/>
          <w:szCs w:val="21"/>
        </w:rPr>
        <w:t xml:space="preserve">Un modelo avanzado — iTransformer, CryptoMamba, Informer, VTA o FinLSPM.</w:t>
      </w:r>
    </w:p>
    <w:p>
      <w:pPr>
        <w:pStyle w:val="ListParagraph"/>
        <w:numPr>
          <w:ilvl w:val="0"/>
          <w:numId w:val="5"/>
        </w:numPr>
        <w:spacing w:after="80" w:line="276"/>
      </w:pPr>
      <w:r>
        <w:rPr>
          <w:rFonts w:ascii="Calibri" w:cs="Calibri" w:eastAsia="Calibri" w:hAnsi="Calibri"/>
          <w:color w:val="20242B"/>
          <w:sz w:val="21"/>
          <w:szCs w:val="21"/>
        </w:rPr>
        <w:t xml:space="preserve">Arnés de evaluación con métricas comunes y partición temporal fija.</w:t>
      </w:r>
    </w:p>
    <w:p>
      <w:pPr>
        <w:pStyle w:val="ListParagraph"/>
        <w:numPr>
          <w:ilvl w:val="0"/>
          <w:numId w:val="5"/>
        </w:numPr>
        <w:spacing w:after="80" w:line="276"/>
      </w:pPr>
      <w:r>
        <w:rPr>
          <w:rFonts w:ascii="Calibri" w:cs="Calibri" w:eastAsia="Calibri" w:hAnsi="Calibri"/>
          <w:color w:val="20242B"/>
          <w:sz w:val="21"/>
          <w:szCs w:val="21"/>
        </w:rPr>
        <w:t xml:space="preserve">Generador de series sintéticas con puntos de inflexión conocidos.</w:t>
      </w:r>
    </w:p>
    <w:p>
      <w:pPr>
        <w:pStyle w:val="ListParagraph"/>
        <w:numPr>
          <w:ilvl w:val="0"/>
          <w:numId w:val="5"/>
        </w:numPr>
        <w:spacing w:after="80" w:line="276"/>
      </w:pPr>
      <w:r>
        <w:rPr>
          <w:rFonts w:ascii="Calibri" w:cs="Calibri" w:eastAsia="Calibri" w:hAnsi="Calibri"/>
          <w:color w:val="20242B"/>
          <w:sz w:val="21"/>
          <w:szCs w:val="21"/>
        </w:rPr>
        <w:t xml:space="preserve">Aplicación web con tres modos de prueba.</w:t>
      </w:r>
    </w:p>
    <w:p>
      <w:pPr>
        <w:pStyle w:val="ListParagraph"/>
        <w:numPr>
          <w:ilvl w:val="0"/>
          <w:numId w:val="5"/>
        </w:numPr>
        <w:spacing w:after="80" w:line="276"/>
      </w:pPr>
      <w:r>
        <w:rPr>
          <w:rFonts w:ascii="Calibri" w:cs="Calibri" w:eastAsia="Calibri" w:hAnsi="Calibri"/>
          <w:color w:val="20242B"/>
          <w:sz w:val="21"/>
          <w:szCs w:val="21"/>
        </w:rPr>
        <w:t xml:space="preserve">Cinco documentos semanales y cinco presentaciones.</w:t>
      </w:r>
    </w:p>
    <w:p>
      <w:pPr>
        <w:pStyle w:val="Heading2"/>
      </w:pPr>
      <w:r>
        <w:t xml:space="preserve">4.2 Fuera del alcance</w:t>
      </w:r>
    </w:p>
    <w:p>
      <w:pPr>
        <w:spacing w:after="140" w:line="276"/>
      </w:pPr>
      <w:r>
        <w:rPr>
          <w:rFonts w:ascii="Calibri" w:cs="Calibri" w:eastAsia="Calibri" w:hAnsi="Calibri"/>
          <w:color w:val="20242B"/>
          <w:sz w:val="21"/>
          <w:szCs w:val="21"/>
        </w:rPr>
        <w:t xml:space="preserve">Esto no se construye, y si a alguien se le ocurre a mitad de camino, se discute antes de escribir una línea:</w:t>
      </w:r>
    </w:p>
    <w:p>
      <w:pPr>
        <w:pStyle w:val="ListParagraph"/>
        <w:numPr>
          <w:ilvl w:val="0"/>
          <w:numId w:val="6"/>
        </w:numPr>
        <w:spacing w:after="80" w:line="276"/>
      </w:pPr>
      <w:r>
        <w:rPr>
          <w:rFonts w:ascii="Calibri" w:cs="Calibri" w:eastAsia="Calibri" w:hAnsi="Calibri"/>
          <w:color w:val="20242B"/>
          <w:sz w:val="21"/>
          <w:szCs w:val="21"/>
        </w:rPr>
        <w:t xml:space="preserve">Ejecución de operaciones reales, conexión a un exchange o gestión de órdenes.</w:t>
      </w:r>
    </w:p>
    <w:p>
      <w:pPr>
        <w:pStyle w:val="ListParagraph"/>
        <w:numPr>
          <w:ilvl w:val="0"/>
          <w:numId w:val="6"/>
        </w:numPr>
        <w:spacing w:after="80" w:line="276"/>
      </w:pPr>
      <w:r>
        <w:rPr>
          <w:rFonts w:ascii="Calibri" w:cs="Calibri" w:eastAsia="Calibri" w:hAnsi="Calibri"/>
          <w:color w:val="20242B"/>
          <w:sz w:val="21"/>
          <w:szCs w:val="21"/>
        </w:rPr>
        <w:t xml:space="preserve">Recomendaciones de inversión de cualquier tipo.</w:t>
      </w:r>
    </w:p>
    <w:p>
      <w:pPr>
        <w:pStyle w:val="ListParagraph"/>
        <w:numPr>
          <w:ilvl w:val="0"/>
          <w:numId w:val="6"/>
        </w:numPr>
        <w:spacing w:after="80" w:line="276"/>
      </w:pPr>
      <w:r>
        <w:rPr>
          <w:rFonts w:ascii="Calibri" w:cs="Calibri" w:eastAsia="Calibri" w:hAnsi="Calibri"/>
          <w:color w:val="20242B"/>
          <w:sz w:val="21"/>
          <w:szCs w:val="21"/>
        </w:rPr>
        <w:t xml:space="preserve">Autenticación, usuarios, base de datos o despliegue en producción.</w:t>
      </w:r>
    </w:p>
    <w:p>
      <w:pPr>
        <w:pStyle w:val="ListParagraph"/>
        <w:numPr>
          <w:ilvl w:val="0"/>
          <w:numId w:val="6"/>
        </w:numPr>
        <w:spacing w:after="80" w:line="276"/>
      </w:pPr>
      <w:r>
        <w:rPr>
          <w:rFonts w:ascii="Calibri" w:cs="Calibri" w:eastAsia="Calibri" w:hAnsi="Calibri"/>
          <w:color w:val="20242B"/>
          <w:sz w:val="21"/>
          <w:szCs w:val="21"/>
        </w:rPr>
        <w:t xml:space="preserve">Reentrenamiento automático o pipelines de MLOps.</w:t>
      </w:r>
    </w:p>
    <w:p>
      <w:pPr>
        <w:pStyle w:val="ListParagraph"/>
        <w:numPr>
          <w:ilvl w:val="0"/>
          <w:numId w:val="6"/>
        </w:numPr>
        <w:spacing w:after="80" w:line="276"/>
      </w:pPr>
      <w:r>
        <w:rPr>
          <w:rFonts w:ascii="Calibri" w:cs="Calibri" w:eastAsia="Calibri" w:hAnsi="Calibri"/>
          <w:color w:val="20242B"/>
          <w:sz w:val="21"/>
          <w:szCs w:val="21"/>
        </w:rPr>
        <w:t xml:space="preserve">Más criptomonedas que las seis del enunciado.</w:t>
      </w:r>
    </w:p>
    <w:p>
      <w:pPr>
        <w:pStyle w:val="ListParagraph"/>
        <w:numPr>
          <w:ilvl w:val="0"/>
          <w:numId w:val="6"/>
        </w:numPr>
        <w:spacing w:after="80" w:line="276"/>
      </w:pPr>
      <w:r>
        <w:rPr>
          <w:rFonts w:ascii="Calibri" w:cs="Calibri" w:eastAsia="Calibri" w:hAnsi="Calibri"/>
          <w:color w:val="20242B"/>
          <w:sz w:val="21"/>
          <w:szCs w:val="21"/>
        </w:rPr>
        <w:t xml:space="preserve">Análisis de sentimiento, noticias o redes sociales.</w:t>
      </w:r>
    </w:p>
    <w:p>
      <w:pPr>
        <w:pStyle w:val="Heading1"/>
      </w:pPr>
      <w:r>
        <w:t xml:space="preserve">5. El producto</w:t>
      </w:r>
    </w:p>
    <w:p>
      <w:pPr>
        <w:pStyle w:val="Heading2"/>
      </w:pPr>
      <w:r>
        <w:t xml:space="preserve">5.1 Quién lo usa</w:t>
      </w:r>
    </w:p>
    <w:p>
      <w:pPr>
        <w:spacing w:after="140" w:line="276"/>
      </w:pPr>
      <w:r>
        <w:rPr>
          <w:rFonts w:ascii="Calibri" w:cs="Calibri" w:eastAsia="Calibri" w:hAnsi="Calibri"/>
          <w:color w:val="20242B"/>
          <w:sz w:val="21"/>
          <w:szCs w:val="21"/>
        </w:rPr>
        <w:t xml:space="preserve">Seamos honestos sobre esto, porque cambia las decisiones de diseño: </w:t>
      </w:r>
      <w:r>
        <w:rPr>
          <w:rFonts w:ascii="Calibri" w:cs="Calibri" w:eastAsia="Calibri" w:hAnsi="Calibri"/>
          <w:b/>
          <w:bCs/>
          <w:color w:val="20242B"/>
          <w:sz w:val="21"/>
          <w:szCs w:val="21"/>
        </w:rPr>
        <w:t xml:space="preserve">el usuario real es quien evalúa el proyecto, y nosotros mismos.</w:t>
      </w:r>
      <w:r>
        <w:rPr>
          <w:rFonts w:ascii="Calibri" w:cs="Calibri" w:eastAsia="Calibri" w:hAnsi="Calibri"/>
          <w:color w:val="20242B"/>
          <w:sz w:val="21"/>
          <w:szCs w:val="21"/>
        </w:rPr>
        <w:t xml:space="preserve"> No hay un inversionista esperando esta herramienta. Diseñar para un usuario imaginario nos llevaría a construir cosas que nadie va a mirar.</w:t>
      </w:r>
    </w:p>
    <w:p>
      <w:pPr>
        <w:spacing w:after="140" w:line="276"/>
      </w:pPr>
      <w:r>
        <w:rPr>
          <w:rFonts w:ascii="Calibri" w:cs="Calibri" w:eastAsia="Calibri" w:hAnsi="Calibri"/>
          <w:color w:val="20242B"/>
          <w:sz w:val="21"/>
          <w:szCs w:val="21"/>
        </w:rPr>
        <w:t xml:space="preserve">Por eso la aplicación tiene una sola misión: </w:t>
      </w:r>
      <w:r>
        <w:rPr>
          <w:rFonts w:ascii="Calibri" w:cs="Calibri" w:eastAsia="Calibri" w:hAnsi="Calibri"/>
          <w:b/>
          <w:bCs/>
          <w:color w:val="20242B"/>
          <w:sz w:val="21"/>
          <w:szCs w:val="21"/>
        </w:rPr>
        <w:t xml:space="preserve">hacer visible y comprensible, en segundos, lo que el modelo hace bien y lo que hace mal.</w:t>
      </w:r>
    </w:p>
    <w:p>
      <w:pPr>
        <w:pStyle w:val="Heading2"/>
      </w:pPr>
      <w:r>
        <w:t xml:space="preserve">5.2 Los tres modos</w:t>
      </w:r>
    </w:p>
    <w:p>
      <w:pPr>
        <w:spacing w:after="140" w:line="276"/>
      </w:pPr>
      <w:r>
        <w:rPr>
          <w:rFonts w:ascii="Calibri" w:cs="Calibri" w:eastAsia="Calibri" w:hAnsi="Calibri"/>
          <w:color w:val="20242B"/>
          <w:sz w:val="21"/>
          <w:szCs w:val="21"/>
        </w:rPr>
        <w:t xml:space="preserve">El enunciado exige pruebas de detección “con datos sintéticos, de entrenamiento y tiempo real”. La aplicación tiene exactamente esos tres modos, ni uno más.</w:t>
      </w:r>
    </w:p>
    <w:tbl>
      <w:tblPr>
        <w:tblW w:type="dxa" w:w="9360"/>
        <w:tblBorders>
          <w:top w:val="single" w:color="1B2A4A" w:sz="4"/>
          <w:left w:val="none"/>
          <w:bottom w:val="single" w:color="1B2A4A" w:sz="4"/>
          <w:right w:val="none"/>
          <w:insideH w:val="single" w:color="C9D3E0" w:sz="2"/>
          <w:insideV w:val="none"/>
        </w:tblBorders>
      </w:tblPr>
      <w:tblGrid>
        <w:gridCol w:w="1498"/>
        <w:gridCol w:w="4118"/>
        <w:gridCol w:w="3744"/>
      </w:tblGrid>
      <w:tr>
        <w:trPr>
          <w:tblHeader/>
        </w:trPr>
        <w:tc>
          <w:tcPr>
            <w:tcW w:type="dxa" w:w="1498"/>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Modo</w:t>
            </w:r>
          </w:p>
        </w:tc>
        <w:tc>
          <w:tcPr>
            <w:tcW w:type="dxa" w:w="4118"/>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Qué muestra</w:t>
            </w:r>
          </w:p>
        </w:tc>
        <w:tc>
          <w:tcPr>
            <w:tcW w:type="dxa" w:w="3744"/>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Por qué existe</w:t>
            </w:r>
          </w:p>
        </w:tc>
      </w:tr>
      <w:tr>
        <w:tc>
          <w:tcPr>
            <w:tcW w:type="dxa" w:w="1498"/>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Sintético</w:t>
            </w:r>
          </w:p>
        </w:tc>
        <w:tc>
          <w:tcPr>
            <w:tcW w:type="dxa" w:w="4118"/>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Serie generada con giros que nosotros mismos pusimos, así que sabemos con certeza absoluta dónde están. El modelo la analiza y se ve si los encuentra.</w:t>
            </w:r>
          </w:p>
        </w:tc>
        <w:tc>
          <w:tcPr>
            <w:tcW w:type="dxa" w:w="3744"/>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Es la única prueba donde la verdad no está en discusión. Detecta errores de implementación que en datos reales pasarían desapercibidos.</w:t>
            </w:r>
          </w:p>
        </w:tc>
      </w:tr>
      <w:tr>
        <w:tc>
          <w:tcPr>
            <w:tcW w:type="dxa" w:w="1498"/>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Histórico</w:t>
            </w:r>
          </w:p>
        </w:tc>
        <w:tc>
          <w:tcPr>
            <w:tcW w:type="dxa" w:w="4118"/>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Un rango de fechas del panel real, con las etiquetas verdaderas y las predichas sobre el mismo gráfico, más las métricas del período.</w:t>
            </w:r>
          </w:p>
        </w:tc>
        <w:tc>
          <w:tcPr>
            <w:tcW w:type="dxa" w:w="3744"/>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Es la evaluación formal del enunciado, hecha visible.</w:t>
            </w:r>
          </w:p>
        </w:tc>
      </w:tr>
      <w:tr>
        <w:tc>
          <w:tcPr>
            <w:tcW w:type="dxa" w:w="1498"/>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Tiempo real</w:t>
            </w:r>
          </w:p>
        </w:tc>
        <w:tc>
          <w:tcPr>
            <w:tcW w:type="dxa" w:w="4118"/>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Las velas más recientes descargadas en vivo; el modelo predice sobre datos que todavía no tienen etiqueta conocida. Muestra siempre la fecha y hora del dato.</w:t>
            </w:r>
          </w:p>
        </w:tc>
        <w:tc>
          <w:tcPr>
            <w:tcW w:type="dxa" w:w="3744"/>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Es lo que el enunciado llama “tiempo real”.</w:t>
            </w:r>
          </w:p>
        </w:tc>
      </w:tr>
    </w:tbl>
    <w:p>
      <w:pPr>
        <w:spacing w:after="240"/>
      </w:pPr>
    </w:p>
    <w:p>
      <w:pPr>
        <w:spacing w:after="140" w:line="276"/>
      </w:pPr>
      <w:r>
        <w:rPr>
          <w:rFonts w:ascii="Calibri" w:cs="Calibri" w:eastAsia="Calibri" w:hAnsi="Calibri"/>
          <w:color w:val="20242B"/>
          <w:sz w:val="21"/>
          <w:szCs w:val="21"/>
        </w:rPr>
        <w:t xml:space="preserve">Además: selector de criptomoneda, comparación lado a lado del modelo fundacional contra el avanzado, y un panel de métricas.</w:t>
      </w:r>
    </w:p>
    <w:p>
      <w:pPr>
        <w:pStyle w:val="Heading2"/>
      </w:pPr>
      <w:r>
        <w:t xml:space="preserve">5.3 Requisitos funcionales</w:t>
      </w:r>
    </w:p>
    <w:p>
      <w:pPr>
        <w:spacing w:after="140" w:line="276"/>
      </w:pPr>
      <w:r>
        <w:rPr>
          <w:rFonts w:ascii="Calibri" w:cs="Calibri" w:eastAsia="Calibri" w:hAnsi="Calibri"/>
          <w:color w:val="20242B"/>
          <w:sz w:val="21"/>
          <w:szCs w:val="21"/>
        </w:rPr>
        <w:t xml:space="preserve">Numerados para poder rastrearlos después. Cada tarea del backlog va a apuntar a uno de estos.</w:t>
      </w:r>
    </w:p>
    <w:p>
      <w:pPr>
        <w:pStyle w:val="Heading3"/>
      </w:pPr>
      <w:r>
        <w:t xml:space="preserve">Datos</w:t>
      </w:r>
    </w:p>
    <w:tbl>
      <w:tblPr>
        <w:tblW w:type="dxa" w:w="9360"/>
        <w:tblBorders>
          <w:top w:val="single" w:color="1B2A4A" w:sz="4"/>
          <w:left w:val="none"/>
          <w:bottom w:val="single" w:color="1B2A4A" w:sz="4"/>
          <w:right w:val="none"/>
          <w:insideH w:val="single" w:color="C9D3E0" w:sz="2"/>
          <w:insideV w:val="none"/>
        </w:tblBorders>
      </w:tblPr>
      <w:tblGrid>
        <w:gridCol w:w="1123"/>
        <w:gridCol w:w="8237"/>
      </w:tblGrid>
      <w:tr>
        <w:trPr>
          <w:tblHeader/>
        </w:trPr>
        <w:tc>
          <w:tcPr>
            <w:tcW w:type="dxa" w:w="1123"/>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ID</w:t>
            </w:r>
          </w:p>
        </w:tc>
        <w:tc>
          <w:tcPr>
            <w:tcW w:type="dxa" w:w="8237"/>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Requisito</w:t>
            </w:r>
          </w:p>
        </w:tc>
      </w:tr>
      <w:tr>
        <w:tc>
          <w:tcPr>
            <w:tcW w:type="dxa" w:w="1123"/>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RF-D1</w:t>
            </w:r>
          </w:p>
        </w:tc>
        <w:tc>
          <w:tcPr>
            <w:tcW w:type="dxa" w:w="823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El sistema obtiene velas OHLCV de las seis criptomonedas desde una única fuente documentada.</w:t>
            </w:r>
          </w:p>
        </w:tc>
      </w:tr>
      <w:tr>
        <w:tc>
          <w:tcPr>
            <w:tcW w:type="dxa" w:w="1123"/>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RF-D2</w:t>
            </w:r>
          </w:p>
        </w:tc>
        <w:tc>
          <w:tcPr>
            <w:tcW w:type="dxa" w:w="8237"/>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Cada descarga queda registrada con fuente, fecha y hora, rango de fechas y hash del archivo. Sin ese registro, el dato no se usa.</w:t>
            </w:r>
          </w:p>
        </w:tc>
      </w:tr>
      <w:tr>
        <w:tc>
          <w:tcPr>
            <w:tcW w:type="dxa" w:w="1123"/>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RF-D3</w:t>
            </w:r>
          </w:p>
        </w:tc>
        <w:tc>
          <w:tcPr>
            <w:tcW w:type="dxa" w:w="823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Los huecos y valores anómalos se tratan con una regla escrita y auditable. Nada se corrige “a ojo”.</w:t>
            </w:r>
          </w:p>
        </w:tc>
      </w:tr>
      <w:tr>
        <w:tc>
          <w:tcPr>
            <w:tcW w:type="dxa" w:w="1123"/>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RF-D4</w:t>
            </w:r>
          </w:p>
        </w:tc>
        <w:tc>
          <w:tcPr>
            <w:tcW w:type="dxa" w:w="8237"/>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El panel combinado se guarda versionado y es idéntico para las cuatro personas.</w:t>
            </w:r>
          </w:p>
        </w:tc>
      </w:tr>
    </w:tbl>
    <w:p>
      <w:pPr>
        <w:spacing w:after="240"/>
      </w:pPr>
    </w:p>
    <w:p>
      <w:pPr>
        <w:pStyle w:val="Heading3"/>
      </w:pPr>
      <w:r>
        <w:t xml:space="preserve">Etiquetado</w:t>
      </w:r>
    </w:p>
    <w:tbl>
      <w:tblPr>
        <w:tblW w:type="dxa" w:w="9360"/>
        <w:tblBorders>
          <w:top w:val="single" w:color="1B2A4A" w:sz="4"/>
          <w:left w:val="none"/>
          <w:bottom w:val="single" w:color="1B2A4A" w:sz="4"/>
          <w:right w:val="none"/>
          <w:insideH w:val="single" w:color="C9D3E0" w:sz="2"/>
          <w:insideV w:val="none"/>
        </w:tblBorders>
      </w:tblPr>
      <w:tblGrid>
        <w:gridCol w:w="1123"/>
        <w:gridCol w:w="8237"/>
      </w:tblGrid>
      <w:tr>
        <w:trPr>
          <w:tblHeader/>
        </w:trPr>
        <w:tc>
          <w:tcPr>
            <w:tcW w:type="dxa" w:w="1123"/>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ID</w:t>
            </w:r>
          </w:p>
        </w:tc>
        <w:tc>
          <w:tcPr>
            <w:tcW w:type="dxa" w:w="8237"/>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Requisito</w:t>
            </w:r>
          </w:p>
        </w:tc>
      </w:tr>
      <w:tr>
        <w:tc>
          <w:tcPr>
            <w:tcW w:type="dxa" w:w="1123"/>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RF-E1</w:t>
            </w:r>
          </w:p>
        </w:tc>
        <w:tc>
          <w:tcPr>
            <w:tcW w:type="dxa" w:w="823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Una única función pura asigna las tres clases a partir del precio de cierre, </w:t>
            </w:r>
            <w:r>
              <w:rPr>
                <w:rFonts w:ascii="Consolas" w:cs="Consolas" w:eastAsia="Consolas" w:hAnsi="Consolas"/>
                <w:color w:val="345D9D"/>
                <w:sz w:val="17"/>
                <w:szCs w:val="17"/>
              </w:rPr>
              <w:t xml:space="preserve">w</w:t>
            </w:r>
            <w:r>
              <w:rPr>
                <w:rFonts w:ascii="Calibri" w:cs="Calibri" w:eastAsia="Calibri" w:hAnsi="Calibri"/>
                <w:color w:val="20242B"/>
                <w:sz w:val="19"/>
                <w:szCs w:val="19"/>
              </w:rPr>
              <w:t xml:space="preserve"> y </w:t>
            </w:r>
            <w:r>
              <w:rPr>
                <w:rFonts w:ascii="Consolas" w:cs="Consolas" w:eastAsia="Consolas" w:hAnsi="Consolas"/>
                <w:color w:val="345D9D"/>
                <w:sz w:val="17"/>
                <w:szCs w:val="17"/>
              </w:rPr>
              <w:t xml:space="preserve">h</w:t>
            </w:r>
            <w:r>
              <w:rPr>
                <w:rFonts w:ascii="Calibri" w:cs="Calibri" w:eastAsia="Calibri" w:hAnsi="Calibri"/>
                <w:color w:val="20242B"/>
                <w:sz w:val="19"/>
                <w:szCs w:val="19"/>
              </w:rPr>
              <w:t xml:space="preserve">. Ningún módulo implementa su propia versión.</w:t>
            </w:r>
          </w:p>
        </w:tc>
      </w:tr>
      <w:tr>
        <w:tc>
          <w:tcPr>
            <w:tcW w:type="dxa" w:w="1123"/>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RF-E2</w:t>
            </w:r>
          </w:p>
        </w:tc>
        <w:tc>
          <w:tcPr>
            <w:tcW w:type="dxa" w:w="8237"/>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Ninguna característica usa información posterior al instante de predicción. Se verifica con una prueba automática, no con buena fe.</w:t>
            </w:r>
          </w:p>
        </w:tc>
      </w:tr>
      <w:tr>
        <w:tc>
          <w:tcPr>
            <w:tcW w:type="dxa" w:w="1123"/>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RF-E3</w:t>
            </w:r>
          </w:p>
        </w:tc>
        <w:tc>
          <w:tcPr>
            <w:tcW w:type="dxa" w:w="823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La partición entrenamiento / validación / prueba es temporal y está fija. Nunca aleatoria.</w:t>
            </w:r>
          </w:p>
        </w:tc>
      </w:tr>
    </w:tbl>
    <w:p>
      <w:pPr>
        <w:spacing w:after="240"/>
      </w:pPr>
    </w:p>
    <w:p>
      <w:pPr>
        <w:pStyle w:val="Heading3"/>
      </w:pPr>
      <w:r>
        <w:t xml:space="preserve">Características</w:t>
      </w:r>
    </w:p>
    <w:tbl>
      <w:tblPr>
        <w:tblW w:type="dxa" w:w="9360"/>
        <w:tblBorders>
          <w:top w:val="single" w:color="1B2A4A" w:sz="4"/>
          <w:left w:val="none"/>
          <w:bottom w:val="single" w:color="1B2A4A" w:sz="4"/>
          <w:right w:val="none"/>
          <w:insideH w:val="single" w:color="C9D3E0" w:sz="2"/>
          <w:insideV w:val="none"/>
        </w:tblBorders>
      </w:tblPr>
      <w:tblGrid>
        <w:gridCol w:w="1123"/>
        <w:gridCol w:w="8237"/>
      </w:tblGrid>
      <w:tr>
        <w:trPr>
          <w:tblHeader/>
        </w:trPr>
        <w:tc>
          <w:tcPr>
            <w:tcW w:type="dxa" w:w="1123"/>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ID</w:t>
            </w:r>
          </w:p>
        </w:tc>
        <w:tc>
          <w:tcPr>
            <w:tcW w:type="dxa" w:w="8237"/>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Requisito</w:t>
            </w:r>
          </w:p>
        </w:tc>
      </w:tr>
      <w:tr>
        <w:tc>
          <w:tcPr>
            <w:tcW w:type="dxa" w:w="1123"/>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RF-F1</w:t>
            </w:r>
          </w:p>
        </w:tc>
        <w:tc>
          <w:tcPr>
            <w:tcW w:type="dxa" w:w="823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Se generan características de al menos cuatro familias: indicadores técnicos, rezagos, ventana deslizante y volatilidad.</w:t>
            </w:r>
          </w:p>
        </w:tc>
      </w:tr>
      <w:tr>
        <w:tc>
          <w:tcPr>
            <w:tcW w:type="dxa" w:w="1123"/>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RF-F2</w:t>
            </w:r>
          </w:p>
        </w:tc>
        <w:tc>
          <w:tcPr>
            <w:tcW w:type="dxa" w:w="8237"/>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Se generan características de correlación cruzada entre LTC y las otras cinco criptomonedas.</w:t>
            </w:r>
          </w:p>
        </w:tc>
      </w:tr>
      <w:tr>
        <w:tc>
          <w:tcPr>
            <w:tcW w:type="dxa" w:w="1123"/>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RF-F3</w:t>
            </w:r>
          </w:p>
        </w:tc>
        <w:tc>
          <w:tcPr>
            <w:tcW w:type="dxa" w:w="823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Todas las características se calculan sobre la misma escala documentada, y el escalado se ajusta solo con datos de entrenamiento.</w:t>
            </w:r>
          </w:p>
        </w:tc>
      </w:tr>
      <w:tr>
        <w:tc>
          <w:tcPr>
            <w:tcW w:type="dxa" w:w="1123"/>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RF-F4</w:t>
            </w:r>
          </w:p>
        </w:tc>
        <w:tc>
          <w:tcPr>
            <w:tcW w:type="dxa" w:w="8237"/>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Se documenta qué características quedaron y por qué, con una medición de importancia.</w:t>
            </w:r>
          </w:p>
        </w:tc>
      </w:tr>
    </w:tbl>
    <w:p>
      <w:pPr>
        <w:spacing w:after="240"/>
      </w:pPr>
    </w:p>
    <w:p>
      <w:pPr>
        <w:pStyle w:val="Heading3"/>
      </w:pPr>
      <w:r>
        <w:t xml:space="preserve">Modelos</w:t>
      </w:r>
    </w:p>
    <w:tbl>
      <w:tblPr>
        <w:tblW w:type="dxa" w:w="9360"/>
        <w:tblBorders>
          <w:top w:val="single" w:color="1B2A4A" w:sz="4"/>
          <w:left w:val="none"/>
          <w:bottom w:val="single" w:color="1B2A4A" w:sz="4"/>
          <w:right w:val="none"/>
          <w:insideH w:val="single" w:color="C9D3E0" w:sz="2"/>
          <w:insideV w:val="none"/>
        </w:tblBorders>
      </w:tblPr>
      <w:tblGrid>
        <w:gridCol w:w="1123"/>
        <w:gridCol w:w="8237"/>
      </w:tblGrid>
      <w:tr>
        <w:trPr>
          <w:tblHeader/>
        </w:trPr>
        <w:tc>
          <w:tcPr>
            <w:tcW w:type="dxa" w:w="1123"/>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ID</w:t>
            </w:r>
          </w:p>
        </w:tc>
        <w:tc>
          <w:tcPr>
            <w:tcW w:type="dxa" w:w="8237"/>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Requisito</w:t>
            </w:r>
          </w:p>
        </w:tc>
      </w:tr>
      <w:tr>
        <w:tc>
          <w:tcPr>
            <w:tcW w:type="dxa" w:w="1123"/>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RF-M1</w:t>
            </w:r>
          </w:p>
        </w:tc>
        <w:tc>
          <w:tcPr>
            <w:tcW w:type="dxa" w:w="823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Un modelo fundacional de Hugging Face, con su elección justificada según las características medidas de los datos, no por popularidad.</w:t>
            </w:r>
          </w:p>
        </w:tc>
      </w:tr>
      <w:tr>
        <w:tc>
          <w:tcPr>
            <w:tcW w:type="dxa" w:w="1123"/>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RF-M2</w:t>
            </w:r>
          </w:p>
        </w:tc>
        <w:tc>
          <w:tcPr>
            <w:tcW w:type="dxa" w:w="8237"/>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Un modelo avanzado de la lista del enunciado, con código disponible públicamente.</w:t>
            </w:r>
          </w:p>
        </w:tc>
      </w:tr>
      <w:tr>
        <w:tc>
          <w:tcPr>
            <w:tcW w:type="dxa" w:w="1123"/>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RF-M3</w:t>
            </w:r>
          </w:p>
        </w:tc>
        <w:tc>
          <w:tcPr>
            <w:tcW w:type="dxa" w:w="823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Ambos modelos exponen la misma interfaz de predicción, para que el arnés de evaluación y la aplicación no sepan cuál están usando.</w:t>
            </w:r>
          </w:p>
        </w:tc>
      </w:tr>
      <w:tr>
        <w:tc>
          <w:tcPr>
            <w:tcW w:type="dxa" w:w="1123"/>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RF-M4</w:t>
            </w:r>
          </w:p>
        </w:tc>
        <w:tc>
          <w:tcPr>
            <w:tcW w:type="dxa" w:w="8237"/>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Ambos entrenan con semilla fija y el proceso es reproducible.</w:t>
            </w:r>
          </w:p>
        </w:tc>
      </w:tr>
    </w:tbl>
    <w:p>
      <w:pPr>
        <w:spacing w:after="240"/>
      </w:pPr>
    </w:p>
    <w:p>
      <w:pPr>
        <w:pStyle w:val="Heading3"/>
      </w:pPr>
      <w:r>
        <w:t xml:space="preserve">Evaluación</w:t>
      </w:r>
    </w:p>
    <w:tbl>
      <w:tblPr>
        <w:tblW w:type="dxa" w:w="9360"/>
        <w:tblBorders>
          <w:top w:val="single" w:color="1B2A4A" w:sz="4"/>
          <w:left w:val="none"/>
          <w:bottom w:val="single" w:color="1B2A4A" w:sz="4"/>
          <w:right w:val="none"/>
          <w:insideH w:val="single" w:color="C9D3E0" w:sz="2"/>
          <w:insideV w:val="none"/>
        </w:tblBorders>
      </w:tblPr>
      <w:tblGrid>
        <w:gridCol w:w="1123"/>
        <w:gridCol w:w="8237"/>
      </w:tblGrid>
      <w:tr>
        <w:trPr>
          <w:tblHeader/>
        </w:trPr>
        <w:tc>
          <w:tcPr>
            <w:tcW w:type="dxa" w:w="1123"/>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ID</w:t>
            </w:r>
          </w:p>
        </w:tc>
        <w:tc>
          <w:tcPr>
            <w:tcW w:type="dxa" w:w="8237"/>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Requisito</w:t>
            </w:r>
          </w:p>
        </w:tc>
      </w:tr>
      <w:tr>
        <w:tc>
          <w:tcPr>
            <w:tcW w:type="dxa" w:w="1123"/>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RF-V1</w:t>
            </w:r>
          </w:p>
        </w:tc>
        <w:tc>
          <w:tcPr>
            <w:tcW w:type="dxa" w:w="823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Todas las métricas salen de una única función compartida: Precisión Direccional, F1 macro, F1 por clase y matriz de confusión.</w:t>
            </w:r>
          </w:p>
        </w:tc>
      </w:tr>
      <w:tr>
        <w:tc>
          <w:tcPr>
            <w:tcW w:type="dxa" w:w="1123"/>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RF-V2</w:t>
            </w:r>
          </w:p>
        </w:tc>
        <w:tc>
          <w:tcPr>
            <w:tcW w:type="dxa" w:w="8237"/>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Todo reporte de resultados incluye el baseline trivial como punto de comparación obligatorio.</w:t>
            </w:r>
          </w:p>
        </w:tc>
      </w:tr>
      <w:tr>
        <w:tc>
          <w:tcPr>
            <w:tcW w:type="dxa" w:w="1123"/>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RF-V3</w:t>
            </w:r>
          </w:p>
        </w:tc>
        <w:tc>
          <w:tcPr>
            <w:tcW w:type="dxa" w:w="823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Los resultados se guardan en un archivo versionado con la fecha de ejecución.</w:t>
            </w:r>
          </w:p>
        </w:tc>
      </w:tr>
    </w:tbl>
    <w:p>
      <w:pPr>
        <w:spacing w:after="240"/>
      </w:pPr>
    </w:p>
    <w:p>
      <w:pPr>
        <w:pStyle w:val="Heading3"/>
      </w:pPr>
      <w:r>
        <w:t xml:space="preserve">Aplicación</w:t>
      </w:r>
    </w:p>
    <w:tbl>
      <w:tblPr>
        <w:tblW w:type="dxa" w:w="9360"/>
        <w:tblBorders>
          <w:top w:val="single" w:color="1B2A4A" w:sz="4"/>
          <w:left w:val="none"/>
          <w:bottom w:val="single" w:color="1B2A4A" w:sz="4"/>
          <w:right w:val="none"/>
          <w:insideH w:val="single" w:color="C9D3E0" w:sz="2"/>
          <w:insideV w:val="none"/>
        </w:tblBorders>
      </w:tblPr>
      <w:tblGrid>
        <w:gridCol w:w="1123"/>
        <w:gridCol w:w="8237"/>
      </w:tblGrid>
      <w:tr>
        <w:trPr>
          <w:tblHeader/>
        </w:trPr>
        <w:tc>
          <w:tcPr>
            <w:tcW w:type="dxa" w:w="1123"/>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ID</w:t>
            </w:r>
          </w:p>
        </w:tc>
        <w:tc>
          <w:tcPr>
            <w:tcW w:type="dxa" w:w="8237"/>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Requisito</w:t>
            </w:r>
          </w:p>
        </w:tc>
      </w:tr>
      <w:tr>
        <w:tc>
          <w:tcPr>
            <w:tcW w:type="dxa" w:w="1123"/>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RF-U1</w:t>
            </w:r>
          </w:p>
        </w:tc>
        <w:tc>
          <w:tcPr>
            <w:tcW w:type="dxa" w:w="823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Modo sintético operativo.</w:t>
            </w:r>
          </w:p>
        </w:tc>
      </w:tr>
      <w:tr>
        <w:tc>
          <w:tcPr>
            <w:tcW w:type="dxa" w:w="1123"/>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RF-U2</w:t>
            </w:r>
          </w:p>
        </w:tc>
        <w:tc>
          <w:tcPr>
            <w:tcW w:type="dxa" w:w="8237"/>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Modo histórico operativo, con selección de rango de fechas.</w:t>
            </w:r>
          </w:p>
        </w:tc>
      </w:tr>
      <w:tr>
        <w:tc>
          <w:tcPr>
            <w:tcW w:type="dxa" w:w="1123"/>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RF-U3</w:t>
            </w:r>
          </w:p>
        </w:tc>
        <w:tc>
          <w:tcPr>
            <w:tcW w:type="dxa" w:w="823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Modo tiempo real operativo, mostrando siempre la fecha del dato.</w:t>
            </w:r>
          </w:p>
        </w:tc>
      </w:tr>
      <w:tr>
        <w:tc>
          <w:tcPr>
            <w:tcW w:type="dxa" w:w="1123"/>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RF-U4</w:t>
            </w:r>
          </w:p>
        </w:tc>
        <w:tc>
          <w:tcPr>
            <w:tcW w:type="dxa" w:w="8237"/>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Comparación de los dos modelos sobre el mismo período.</w:t>
            </w:r>
          </w:p>
        </w:tc>
      </w:tr>
      <w:tr>
        <w:tc>
          <w:tcPr>
            <w:tcW w:type="dxa" w:w="1123"/>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RF-U5</w:t>
            </w:r>
          </w:p>
        </w:tc>
        <w:tc>
          <w:tcPr>
            <w:tcW w:type="dxa" w:w="823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La aplicación arranca y es usable </w:t>
            </w:r>
            <w:r>
              <w:rPr>
                <w:rFonts w:ascii="Calibri" w:cs="Calibri" w:eastAsia="Calibri" w:hAnsi="Calibri"/>
                <w:b/>
                <w:bCs/>
                <w:color w:val="20242B"/>
                <w:sz w:val="19"/>
                <w:szCs w:val="19"/>
              </w:rPr>
              <w:t xml:space="preserve">sin conexión a internet</w:t>
            </w:r>
            <w:r>
              <w:rPr>
                <w:rFonts w:ascii="Calibri" w:cs="Calibri" w:eastAsia="Calibri" w:hAnsi="Calibri"/>
                <w:color w:val="20242B"/>
                <w:sz w:val="19"/>
                <w:szCs w:val="19"/>
              </w:rPr>
              <w:t xml:space="preserve">, con el último dato cacheado, indicando su antigüedad.</w:t>
            </w:r>
          </w:p>
        </w:tc>
      </w:tr>
      <w:tr>
        <w:tc>
          <w:tcPr>
            <w:tcW w:type="dxa" w:w="1123"/>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RF-U6</w:t>
            </w:r>
          </w:p>
        </w:tc>
        <w:tc>
          <w:tcPr>
            <w:tcW w:type="dxa" w:w="8237"/>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La aplicación no contiene lógica de negocio. Ninguna métrica, etiqueta o predicción se calcula dentro de ella.</w:t>
            </w:r>
          </w:p>
        </w:tc>
      </w:tr>
    </w:tbl>
    <w:p>
      <w:pPr>
        <w:spacing w:after="240"/>
      </w:pPr>
    </w:p>
    <w:p>
      <w:pPr>
        <w:pStyle w:val="Heading3"/>
      </w:pPr>
      <w:r>
        <w:t xml:space="preserve">Documentación</w:t>
      </w:r>
    </w:p>
    <w:tbl>
      <w:tblPr>
        <w:tblW w:type="dxa" w:w="9360"/>
        <w:tblBorders>
          <w:top w:val="single" w:color="1B2A4A" w:sz="4"/>
          <w:left w:val="none"/>
          <w:bottom w:val="single" w:color="1B2A4A" w:sz="4"/>
          <w:right w:val="none"/>
          <w:insideH w:val="single" w:color="C9D3E0" w:sz="2"/>
          <w:insideV w:val="none"/>
        </w:tblBorders>
      </w:tblPr>
      <w:tblGrid>
        <w:gridCol w:w="1123"/>
        <w:gridCol w:w="8237"/>
      </w:tblGrid>
      <w:tr>
        <w:trPr>
          <w:tblHeader/>
        </w:trPr>
        <w:tc>
          <w:tcPr>
            <w:tcW w:type="dxa" w:w="1123"/>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ID</w:t>
            </w:r>
          </w:p>
        </w:tc>
        <w:tc>
          <w:tcPr>
            <w:tcW w:type="dxa" w:w="8237"/>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Requisito</w:t>
            </w:r>
          </w:p>
        </w:tc>
      </w:tr>
      <w:tr>
        <w:tc>
          <w:tcPr>
            <w:tcW w:type="dxa" w:w="1123"/>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RF-I1</w:t>
            </w:r>
          </w:p>
        </w:tc>
        <w:tc>
          <w:tcPr>
            <w:tcW w:type="dxa" w:w="823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Cada módulo entrega su sección del documento en la misma semana en que entrega su código.</w:t>
            </w:r>
          </w:p>
        </w:tc>
      </w:tr>
      <w:tr>
        <w:tc>
          <w:tcPr>
            <w:tcW w:type="dxa" w:w="1123"/>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RF-I2</w:t>
            </w:r>
          </w:p>
        </w:tc>
        <w:tc>
          <w:tcPr>
            <w:tcW w:type="dxa" w:w="8237"/>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Toda figura lleva número, pie, y está referenciada en el texto.</w:t>
            </w:r>
          </w:p>
        </w:tc>
      </w:tr>
      <w:tr>
        <w:tc>
          <w:tcPr>
            <w:tcW w:type="dxa" w:w="1123"/>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RF-I3</w:t>
            </w:r>
          </w:p>
        </w:tc>
        <w:tc>
          <w:tcPr>
            <w:tcW w:type="dxa" w:w="823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Toda cita sigue formato APA.</w:t>
            </w:r>
          </w:p>
        </w:tc>
      </w:tr>
      <w:tr>
        <w:tc>
          <w:tcPr>
            <w:tcW w:type="dxa" w:w="1123"/>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RF-I4</w:t>
            </w:r>
          </w:p>
        </w:tc>
        <w:tc>
          <w:tcPr>
            <w:tcW w:type="dxa" w:w="8237"/>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Toda figura y toda tabla se regenera con un script commiteado. Nada de capturas pegadas.</w:t>
            </w:r>
          </w:p>
        </w:tc>
      </w:tr>
    </w:tbl>
    <w:p>
      <w:pPr>
        <w:spacing w:after="240"/>
      </w:pPr>
    </w:p>
    <w:p>
      <w:pPr>
        <w:pStyle w:val="Heading2"/>
      </w:pPr>
      <w:r>
        <w:t xml:space="preserve">5.4 Requisitos no funcionales</w:t>
      </w:r>
    </w:p>
    <w:tbl>
      <w:tblPr>
        <w:tblW w:type="dxa" w:w="9360"/>
        <w:tblBorders>
          <w:top w:val="single" w:color="1B2A4A" w:sz="4"/>
          <w:left w:val="none"/>
          <w:bottom w:val="single" w:color="1B2A4A" w:sz="4"/>
          <w:right w:val="none"/>
          <w:insideH w:val="single" w:color="C9D3E0" w:sz="2"/>
          <w:insideV w:val="none"/>
        </w:tblBorders>
      </w:tblPr>
      <w:tblGrid>
        <w:gridCol w:w="1217"/>
        <w:gridCol w:w="8143"/>
      </w:tblGrid>
      <w:tr>
        <w:trPr>
          <w:tblHeader/>
        </w:trPr>
        <w:tc>
          <w:tcPr>
            <w:tcW w:type="dxa" w:w="1217"/>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ID</w:t>
            </w:r>
          </w:p>
        </w:tc>
        <w:tc>
          <w:tcPr>
            <w:tcW w:type="dxa" w:w="8143"/>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Requisito</w:t>
            </w:r>
          </w:p>
        </w:tc>
      </w:tr>
      <w:tr>
        <w:tc>
          <w:tcPr>
            <w:tcW w:type="dxa" w:w="121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RNF-1</w:t>
            </w:r>
          </w:p>
        </w:tc>
        <w:tc>
          <w:tcPr>
            <w:tcW w:type="dxa" w:w="8143"/>
            <w:shd w:fill="F7F9FC" w:val="clear"/>
            <w:tcMar>
              <w:top w:type="dxa" w:w="90"/>
              <w:left w:type="dxa" w:w="130"/>
              <w:bottom w:type="dxa" w:w="90"/>
              <w:right w:type="dxa" w:w="130"/>
            </w:tcMar>
            <w:vAlign w:val="top"/>
          </w:tcPr>
          <w:p>
            <w:pPr>
              <w:spacing w:after="0" w:line="252"/>
            </w:pPr>
            <w:r>
              <w:rPr>
                <w:rFonts w:ascii="Calibri" w:cs="Calibri" w:eastAsia="Calibri" w:hAnsi="Calibri"/>
                <w:b/>
                <w:bCs/>
                <w:color w:val="20242B"/>
                <w:sz w:val="19"/>
                <w:szCs w:val="19"/>
              </w:rPr>
              <w:t xml:space="preserve">Todo corre en CPU.</w:t>
            </w:r>
            <w:r>
              <w:rPr>
                <w:rFonts w:ascii="Calibri" w:cs="Calibri" w:eastAsia="Calibri" w:hAnsi="Calibri"/>
                <w:color w:val="20242B"/>
                <w:sz w:val="19"/>
                <w:szCs w:val="19"/>
              </w:rPr>
              <w:t xml:space="preserve"> Si algo exige GPU, tiene que existir un camino en CPU aunque sea más lento. Todavía no sabemos qué máquinas tiene el equipo.</w:t>
            </w:r>
          </w:p>
        </w:tc>
      </w:tr>
      <w:tr>
        <w:tc>
          <w:tcPr>
            <w:tcW w:type="dxa" w:w="1217"/>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RNF-2</w:t>
            </w:r>
          </w:p>
        </w:tc>
        <w:tc>
          <w:tcPr>
            <w:tcW w:type="dxa" w:w="8143"/>
            <w:shd w:fill="FFFFFF" w:val="clear"/>
            <w:tcMar>
              <w:top w:type="dxa" w:w="90"/>
              <w:left w:type="dxa" w:w="130"/>
              <w:bottom w:type="dxa" w:w="90"/>
              <w:right w:type="dxa" w:w="130"/>
            </w:tcMar>
            <w:vAlign w:val="top"/>
          </w:tcPr>
          <w:p>
            <w:pPr>
              <w:spacing w:after="0" w:line="252"/>
            </w:pPr>
            <w:r>
              <w:rPr>
                <w:rFonts w:ascii="Calibri" w:cs="Calibri" w:eastAsia="Calibri" w:hAnsi="Calibri"/>
                <w:b/>
                <w:bCs/>
                <w:color w:val="20242B"/>
                <w:sz w:val="19"/>
                <w:szCs w:val="19"/>
              </w:rPr>
              <w:t xml:space="preserve">Reproducibilidad.</w:t>
            </w:r>
            <w:r>
              <w:rPr>
                <w:rFonts w:ascii="Calibri" w:cs="Calibri" w:eastAsia="Calibri" w:hAnsi="Calibri"/>
                <w:color w:val="20242B"/>
                <w:sz w:val="19"/>
                <w:szCs w:val="19"/>
              </w:rPr>
              <w:t xml:space="preserve"> Cualquier número del informe se regenera con un comando. Semillas fijas en todo.</w:t>
            </w:r>
          </w:p>
        </w:tc>
      </w:tr>
      <w:tr>
        <w:tc>
          <w:tcPr>
            <w:tcW w:type="dxa" w:w="121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RNF-3</w:t>
            </w:r>
          </w:p>
        </w:tc>
        <w:tc>
          <w:tcPr>
            <w:tcW w:type="dxa" w:w="8143"/>
            <w:shd w:fill="F7F9FC" w:val="clear"/>
            <w:tcMar>
              <w:top w:type="dxa" w:w="90"/>
              <w:left w:type="dxa" w:w="130"/>
              <w:bottom w:type="dxa" w:w="90"/>
              <w:right w:type="dxa" w:w="130"/>
            </w:tcMar>
            <w:vAlign w:val="top"/>
          </w:tcPr>
          <w:p>
            <w:pPr>
              <w:spacing w:after="0" w:line="252"/>
            </w:pPr>
            <w:r>
              <w:rPr>
                <w:rFonts w:ascii="Calibri" w:cs="Calibri" w:eastAsia="Calibri" w:hAnsi="Calibri"/>
                <w:b/>
                <w:bCs/>
                <w:color w:val="20242B"/>
                <w:sz w:val="19"/>
                <w:szCs w:val="19"/>
              </w:rPr>
              <w:t xml:space="preserve">Entorno idéntico.</w:t>
            </w:r>
            <w:r>
              <w:rPr>
                <w:rFonts w:ascii="Calibri" w:cs="Calibri" w:eastAsia="Calibri" w:hAnsi="Calibri"/>
                <w:color w:val="20242B"/>
                <w:sz w:val="19"/>
                <w:szCs w:val="19"/>
              </w:rPr>
              <w:t xml:space="preserve"> Las cuatro máquinas instalan exactamente las mismas versiones desde un archivo de bloqueo.</w:t>
            </w:r>
          </w:p>
        </w:tc>
      </w:tr>
      <w:tr>
        <w:tc>
          <w:tcPr>
            <w:tcW w:type="dxa" w:w="1217"/>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RNF-4</w:t>
            </w:r>
          </w:p>
        </w:tc>
        <w:tc>
          <w:tcPr>
            <w:tcW w:type="dxa" w:w="8143"/>
            <w:shd w:fill="FFFFFF" w:val="clear"/>
            <w:tcMar>
              <w:top w:type="dxa" w:w="90"/>
              <w:left w:type="dxa" w:w="130"/>
              <w:bottom w:type="dxa" w:w="90"/>
              <w:right w:type="dxa" w:w="130"/>
            </w:tcMar>
            <w:vAlign w:val="top"/>
          </w:tcPr>
          <w:p>
            <w:pPr>
              <w:spacing w:after="0" w:line="252"/>
            </w:pPr>
            <w:r>
              <w:rPr>
                <w:rFonts w:ascii="Calibri" w:cs="Calibri" w:eastAsia="Calibri" w:hAnsi="Calibri"/>
                <w:b/>
                <w:bCs/>
                <w:color w:val="20242B"/>
                <w:sz w:val="19"/>
                <w:szCs w:val="19"/>
              </w:rPr>
              <w:t xml:space="preserve">Presupuesto de entrenamiento.</w:t>
            </w:r>
            <w:r>
              <w:rPr>
                <w:rFonts w:ascii="Calibri" w:cs="Calibri" w:eastAsia="Calibri" w:hAnsi="Calibri"/>
                <w:color w:val="20242B"/>
                <w:sz w:val="19"/>
                <w:szCs w:val="19"/>
              </w:rPr>
              <w:t xml:space="preserve"> El tiempo de entrenamiento del modelo avanzado se mide en la semana 3. Si supera dos horas en la máquina más lenta del equipo, se reduce el alcance del modelo en vez de aceptar que solo una persona pueda entrenarlo.</w:t>
            </w:r>
          </w:p>
        </w:tc>
      </w:tr>
    </w:tbl>
    <w:p>
      <w:pPr>
        <w:spacing w:after="240"/>
      </w:pPr>
    </w:p>
    <w:p>
      <w:pPr>
        <w:pStyle w:val="Heading1"/>
      </w:pPr>
      <w:r>
        <w:t xml:space="preserve">6. Arquitectura</w:t>
      </w:r>
    </w:p>
    <w:tbl>
      <w:tblPr>
        <w:tblW w:type="dxa" w:w="9360"/>
        <w:tblBorders>
          <w:top w:val="none"/>
          <w:left w:val="none"/>
          <w:bottom w:val="none"/>
          <w:right w:val="none"/>
          <w:insideH w:val="none"/>
          <w:insideV w:val="none"/>
        </w:tblBorders>
      </w:tblPr>
      <w:tblGrid>
        <w:gridCol w:w="3120"/>
        <w:gridCol w:w="3120"/>
        <w:gridCol w:w="3120"/>
      </w:tblGrid>
      <w:tr>
        <w:tc>
          <w:tcPr>
            <w:tcW w:type="dxa" w:w="9360"/>
            <w:gridSpan w:val="3"/>
            <w:tcBorders>
              <w:top w:val="single" w:color="FFFFFF" w:sz="6"/>
              <w:left w:val="single" w:color="FFFFFF" w:sz="6"/>
              <w:bottom w:val="single" w:color="FFFFFF" w:sz="6"/>
              <w:right w:val="single" w:color="FFFFFF" w:sz="6"/>
            </w:tcBorders>
            <w:shd w:fill="EEF2F8" w:val="clear"/>
            <w:tcMar>
              <w:top w:type="dxa" w:w="120"/>
              <w:left w:type="dxa" w:w="100"/>
              <w:bottom w:type="dxa" w:w="120"/>
              <w:right w:type="dxa" w:w="100"/>
            </w:tcMar>
            <w:vAlign w:val="center"/>
          </w:tcPr>
          <w:p>
            <w:pPr>
              <w:spacing w:after="0" w:line="240"/>
              <w:jc w:val="center"/>
            </w:pPr>
            <w:r>
              <w:rPr>
                <w:rFonts w:ascii="Calibri" w:cs="Calibri" w:eastAsia="Calibri" w:hAnsi="Calibri"/>
                <w:color w:val="1B2A4A"/>
                <w:sz w:val="18"/>
                <w:szCs w:val="18"/>
              </w:rPr>
              <w:t xml:space="preserve">Fuente de datos — API pública</w:t>
            </w:r>
          </w:p>
        </w:tc>
      </w:tr>
      <w:tr>
        <w:tc>
          <w:tcPr>
            <w:tcW w:type="dxa" w:w="9360"/>
            <w:tcBorders>
              <w:top w:val="none"/>
              <w:left w:val="none"/>
              <w:bottom w:val="none"/>
              <w:right w:val="none"/>
            </w:tcBorders>
            <w:tcMar>
              <w:top w:type="dxa" w:w="20"/>
              <w:bottom w:type="dxa" w:w="20"/>
            </w:tcMar>
          </w:tcPr>
          <w:p>
            <w:pPr>
              <w:spacing w:after="0"/>
              <w:jc w:val="center"/>
            </w:pPr>
            <w:r>
              <w:rPr>
                <w:rFonts w:ascii="Calibri" w:cs="Calibri" w:eastAsia="Calibri" w:hAnsi="Calibri"/>
                <w:b/>
                <w:bCs/>
                <w:color w:val="345D9D"/>
                <w:sz w:val="20"/>
                <w:szCs w:val="20"/>
              </w:rPr>
              <w:t xml:space="preserve">↓</w:t>
            </w:r>
          </w:p>
        </w:tc>
      </w:tr>
      <w:tr>
        <w:tc>
          <w:tcPr>
            <w:tcW w:type="dxa" w:w="9360"/>
            <w:gridSpan w:val="3"/>
            <w:tcBorders>
              <w:top w:val="single" w:color="FFFFFF" w:sz="6"/>
              <w:left w:val="single" w:color="FFFFFF" w:sz="6"/>
              <w:bottom w:val="single" w:color="FFFFFF" w:sz="6"/>
              <w:right w:val="single" w:color="FFFFFF" w:sz="6"/>
            </w:tcBorders>
            <w:shd w:fill="1B2A4A" w:val="clear"/>
            <w:tcMar>
              <w:top w:type="dxa" w:w="120"/>
              <w:left w:type="dxa" w:w="100"/>
              <w:bottom w:type="dxa" w:w="120"/>
              <w:right w:type="dxa" w:w="100"/>
            </w:tcMar>
            <w:vAlign w:val="center"/>
          </w:tcPr>
          <w:p>
            <w:pPr>
              <w:spacing w:after="0" w:line="240"/>
              <w:jc w:val="center"/>
            </w:pPr>
            <w:r>
              <w:rPr>
                <w:rFonts w:ascii="Calibri" w:cs="Calibri" w:eastAsia="Calibri" w:hAnsi="Calibri"/>
                <w:b/>
                <w:bCs/>
                <w:color w:val="FFFFFF"/>
                <w:sz w:val="18"/>
                <w:szCs w:val="18"/>
              </w:rPr>
              <w:t xml:space="preserve">M0</w:t>
            </w:r>
            <w:r>
              <w:rPr>
                <w:rFonts w:ascii="Calibri" w:cs="Calibri" w:eastAsia="Calibri" w:hAnsi="Calibri"/>
                <w:color w:val="FFFFFF"/>
                <w:sz w:val="18"/>
                <w:szCs w:val="18"/>
              </w:rPr>
              <w:t xml:space="preserve"> · descarga y consolidación</w:t>
            </w:r>
          </w:p>
        </w:tc>
      </w:tr>
      <w:tr>
        <w:tc>
          <w:tcPr>
            <w:tcW w:type="dxa" w:w="9360"/>
            <w:tcBorders>
              <w:top w:val="none"/>
              <w:left w:val="none"/>
              <w:bottom w:val="none"/>
              <w:right w:val="none"/>
            </w:tcBorders>
            <w:tcMar>
              <w:top w:type="dxa" w:w="20"/>
              <w:bottom w:type="dxa" w:w="20"/>
            </w:tcMar>
          </w:tcPr>
          <w:p>
            <w:pPr>
              <w:spacing w:after="0"/>
              <w:jc w:val="center"/>
            </w:pPr>
            <w:r>
              <w:rPr>
                <w:rFonts w:ascii="Calibri" w:cs="Calibri" w:eastAsia="Calibri" w:hAnsi="Calibri"/>
                <w:b/>
                <w:bCs/>
                <w:color w:val="345D9D"/>
                <w:sz w:val="20"/>
                <w:szCs w:val="20"/>
              </w:rPr>
              <w:t xml:space="preserve">↓</w:t>
            </w:r>
          </w:p>
        </w:tc>
      </w:tr>
      <w:tr>
        <w:tc>
          <w:tcPr>
            <w:tcW w:type="dxa" w:w="9360"/>
            <w:gridSpan w:val="3"/>
            <w:tcBorders>
              <w:top w:val="single" w:color="FFFFFF" w:sz="6"/>
              <w:left w:val="single" w:color="FFFFFF" w:sz="6"/>
              <w:bottom w:val="single" w:color="FFFFFF" w:sz="6"/>
              <w:right w:val="single" w:color="FFFFFF" w:sz="6"/>
            </w:tcBorders>
            <w:shd w:fill="345D9D" w:val="clear"/>
            <w:tcMar>
              <w:top w:type="dxa" w:w="120"/>
              <w:left w:type="dxa" w:w="100"/>
              <w:bottom w:type="dxa" w:w="120"/>
              <w:right w:type="dxa" w:w="100"/>
            </w:tcMar>
            <w:vAlign w:val="center"/>
          </w:tcPr>
          <w:p>
            <w:pPr>
              <w:spacing w:after="0" w:line="240"/>
              <w:jc w:val="center"/>
            </w:pPr>
            <w:r>
              <w:rPr>
                <w:rFonts w:ascii="Calibri" w:cs="Calibri" w:eastAsia="Calibri" w:hAnsi="Calibri"/>
                <w:b/>
                <w:bCs/>
                <w:color w:val="FFFFFF"/>
                <w:sz w:val="18"/>
                <w:szCs w:val="18"/>
              </w:rPr>
              <w:t xml:space="preserve">panel_v1.parquet</w:t>
            </w:r>
            <w:r>
              <w:rPr>
                <w:rFonts w:ascii="Calibri" w:cs="Calibri" w:eastAsia="Calibri" w:hAnsi="Calibri"/>
                <w:color w:val="FFFFFF"/>
                <w:sz w:val="18"/>
                <w:szCs w:val="18"/>
              </w:rPr>
              <w:t xml:space="preserve"> — artefacto congelado, idéntico para los cuatro</w:t>
            </w:r>
          </w:p>
        </w:tc>
      </w:tr>
      <w:tr>
        <w:tc>
          <w:tcPr>
            <w:tcW w:type="dxa" w:w="3120"/>
            <w:tcBorders>
              <w:top w:val="none"/>
              <w:left w:val="none"/>
              <w:bottom w:val="none"/>
              <w:right w:val="none"/>
            </w:tcBorders>
            <w:tcMar>
              <w:top w:type="dxa" w:w="20"/>
              <w:bottom w:type="dxa" w:w="20"/>
            </w:tcMar>
          </w:tcPr>
          <w:p>
            <w:pPr>
              <w:spacing w:after="0"/>
              <w:jc w:val="center"/>
            </w:pPr>
            <w:r>
              <w:rPr>
                <w:rFonts w:ascii="Calibri" w:cs="Calibri" w:eastAsia="Calibri" w:hAnsi="Calibri"/>
                <w:b/>
                <w:bCs/>
                <w:color w:val="345D9D"/>
                <w:sz w:val="20"/>
                <w:szCs w:val="20"/>
              </w:rPr>
              <w:t xml:space="preserve">↓</w:t>
            </w:r>
          </w:p>
        </w:tc>
        <w:tc>
          <w:tcPr>
            <w:tcW w:type="dxa" w:w="3120"/>
            <w:tcBorders>
              <w:top w:val="none"/>
              <w:left w:val="none"/>
              <w:bottom w:val="none"/>
              <w:right w:val="none"/>
            </w:tcBorders>
            <w:tcMar>
              <w:top w:type="dxa" w:w="20"/>
              <w:bottom w:type="dxa" w:w="20"/>
            </w:tcMar>
          </w:tcPr>
          <w:p>
            <w:pPr>
              <w:spacing w:after="0"/>
              <w:jc w:val="center"/>
            </w:pPr>
            <w:r>
              <w:rPr>
                <w:rFonts w:ascii="Calibri" w:cs="Calibri" w:eastAsia="Calibri" w:hAnsi="Calibri"/>
                <w:b/>
                <w:bCs/>
                <w:color w:val="345D9D"/>
                <w:sz w:val="20"/>
                <w:szCs w:val="20"/>
              </w:rPr>
              <w:t xml:space="preserve">↓</w:t>
            </w:r>
          </w:p>
        </w:tc>
        <w:tc>
          <w:tcPr>
            <w:tcW w:type="dxa" w:w="3120"/>
            <w:tcBorders>
              <w:top w:val="none"/>
              <w:left w:val="none"/>
              <w:bottom w:val="none"/>
              <w:right w:val="none"/>
            </w:tcBorders>
            <w:tcMar>
              <w:top w:type="dxa" w:w="20"/>
              <w:bottom w:type="dxa" w:w="20"/>
            </w:tcMar>
          </w:tcPr>
          <w:p>
            <w:pPr>
              <w:spacing w:after="0"/>
              <w:jc w:val="center"/>
            </w:pPr>
            <w:r>
              <w:rPr>
                <w:rFonts w:ascii="Calibri" w:cs="Calibri" w:eastAsia="Calibri" w:hAnsi="Calibri"/>
                <w:b/>
                <w:bCs/>
                <w:color w:val="345D9D"/>
                <w:sz w:val="20"/>
                <w:szCs w:val="20"/>
              </w:rPr>
              <w:t xml:space="preserve">↓</w:t>
            </w:r>
          </w:p>
        </w:tc>
      </w:tr>
      <w:tr>
        <w:tc>
          <w:tcPr>
            <w:tcW w:type="dxa" w:w="3120"/>
            <w:gridSpan w:val="1"/>
            <w:tcBorders>
              <w:top w:val="single" w:color="FFFFFF" w:sz="6"/>
              <w:left w:val="single" w:color="FFFFFF" w:sz="6"/>
              <w:bottom w:val="single" w:color="FFFFFF" w:sz="6"/>
              <w:right w:val="single" w:color="FFFFFF" w:sz="6"/>
            </w:tcBorders>
            <w:shd w:fill="EEF2F8" w:val="clear"/>
            <w:tcMar>
              <w:top w:type="dxa" w:w="120"/>
              <w:left w:type="dxa" w:w="100"/>
              <w:bottom w:type="dxa" w:w="120"/>
              <w:right w:type="dxa" w:w="100"/>
            </w:tcMar>
            <w:vAlign w:val="center"/>
          </w:tcPr>
          <w:p>
            <w:pPr>
              <w:spacing w:after="40" w:line="240"/>
              <w:jc w:val="center"/>
            </w:pPr>
            <w:r>
              <w:rPr>
                <w:rFonts w:ascii="Calibri" w:cs="Calibri" w:eastAsia="Calibri" w:hAnsi="Calibri"/>
                <w:b/>
                <w:bCs/>
                <w:color w:val="1B2A4A"/>
                <w:sz w:val="18"/>
                <w:szCs w:val="18"/>
              </w:rPr>
              <w:t xml:space="preserve">M1</w:t>
            </w:r>
          </w:p>
          <w:p>
            <w:pPr>
              <w:spacing w:after="0" w:line="240"/>
              <w:jc w:val="center"/>
            </w:pPr>
            <w:r>
              <w:rPr>
                <w:rFonts w:ascii="Calibri" w:cs="Calibri" w:eastAsia="Calibri" w:hAnsi="Calibri"/>
                <w:color w:val="1B2A4A"/>
                <w:sz w:val="18"/>
                <w:szCs w:val="18"/>
              </w:rPr>
              <w:t xml:space="preserve">EDA y diagnóstico</w:t>
            </w:r>
          </w:p>
        </w:tc>
        <w:tc>
          <w:tcPr>
            <w:tcW w:type="dxa" w:w="3120"/>
            <w:gridSpan w:val="1"/>
            <w:tcBorders>
              <w:top w:val="single" w:color="FFFFFF" w:sz="6"/>
              <w:left w:val="single" w:color="FFFFFF" w:sz="6"/>
              <w:bottom w:val="single" w:color="FFFFFF" w:sz="6"/>
              <w:right w:val="single" w:color="FFFFFF" w:sz="6"/>
            </w:tcBorders>
            <w:shd w:fill="EEF2F8" w:val="clear"/>
            <w:tcMar>
              <w:top w:type="dxa" w:w="120"/>
              <w:left w:type="dxa" w:w="100"/>
              <w:bottom w:type="dxa" w:w="120"/>
              <w:right w:type="dxa" w:w="100"/>
            </w:tcMar>
            <w:vAlign w:val="center"/>
          </w:tcPr>
          <w:p>
            <w:pPr>
              <w:spacing w:after="40" w:line="240"/>
              <w:jc w:val="center"/>
            </w:pPr>
            <w:r>
              <w:rPr>
                <w:rFonts w:ascii="Calibri" w:cs="Calibri" w:eastAsia="Calibri" w:hAnsi="Calibri"/>
                <w:b/>
                <w:bCs/>
                <w:color w:val="1B2A4A"/>
                <w:sz w:val="18"/>
                <w:szCs w:val="18"/>
              </w:rPr>
              <w:t xml:space="preserve">M2</w:t>
            </w:r>
          </w:p>
          <w:p>
            <w:pPr>
              <w:spacing w:after="0" w:line="240"/>
              <w:jc w:val="center"/>
            </w:pPr>
            <w:r>
              <w:rPr>
                <w:rFonts w:ascii="Calibri" w:cs="Calibri" w:eastAsia="Calibri" w:hAnsi="Calibri"/>
                <w:color w:val="1B2A4A"/>
                <w:sz w:val="18"/>
                <w:szCs w:val="18"/>
              </w:rPr>
              <w:t xml:space="preserve">etiquetas y características</w:t>
            </w:r>
          </w:p>
        </w:tc>
        <w:tc>
          <w:tcPr>
            <w:tcW w:type="dxa" w:w="3120"/>
            <w:gridSpan w:val="1"/>
            <w:tcBorders>
              <w:top w:val="single" w:color="FFFFFF" w:sz="6"/>
              <w:left w:val="single" w:color="FFFFFF" w:sz="6"/>
              <w:bottom w:val="single" w:color="FFFFFF" w:sz="6"/>
              <w:right w:val="single" w:color="FFFFFF" w:sz="6"/>
            </w:tcBorders>
            <w:shd w:fill="EEF2F8" w:val="clear"/>
            <w:tcMar>
              <w:top w:type="dxa" w:w="120"/>
              <w:left w:type="dxa" w:w="100"/>
              <w:bottom w:type="dxa" w:w="120"/>
              <w:right w:type="dxa" w:w="100"/>
            </w:tcMar>
            <w:vAlign w:val="center"/>
          </w:tcPr>
          <w:p>
            <w:pPr>
              <w:spacing w:after="40" w:line="240"/>
              <w:jc w:val="center"/>
            </w:pPr>
            <w:r>
              <w:rPr>
                <w:rFonts w:ascii="Calibri" w:cs="Calibri" w:eastAsia="Calibri" w:hAnsi="Calibri"/>
                <w:b/>
                <w:bCs/>
                <w:color w:val="1B2A4A"/>
                <w:sz w:val="18"/>
                <w:szCs w:val="18"/>
              </w:rPr>
              <w:t xml:space="preserve">M3</w:t>
            </w:r>
          </w:p>
          <w:p>
            <w:pPr>
              <w:spacing w:after="0" w:line="240"/>
              <w:jc w:val="center"/>
            </w:pPr>
            <w:r>
              <w:rPr>
                <w:rFonts w:ascii="Calibri" w:cs="Calibri" w:eastAsia="Calibri" w:hAnsi="Calibri"/>
                <w:color w:val="1B2A4A"/>
                <w:sz w:val="18"/>
                <w:szCs w:val="18"/>
              </w:rPr>
              <w:t xml:space="preserve">modelo fundacional y avanzado</w:t>
            </w:r>
          </w:p>
        </w:tc>
      </w:tr>
      <w:tr>
        <w:tc>
          <w:tcPr>
            <w:tcW w:type="dxa" w:w="3120"/>
            <w:tcBorders>
              <w:top w:val="none"/>
              <w:left w:val="none"/>
              <w:bottom w:val="none"/>
              <w:right w:val="none"/>
            </w:tcBorders>
            <w:tcMar>
              <w:top w:type="dxa" w:w="20"/>
              <w:bottom w:type="dxa" w:w="20"/>
            </w:tcMar>
          </w:tcPr>
          <w:p>
            <w:pPr>
              <w:spacing w:after="0"/>
              <w:jc w:val="center"/>
            </w:pPr>
            <w:r>
              <w:rPr>
                <w:rFonts w:ascii="Calibri" w:cs="Calibri" w:eastAsia="Calibri" w:hAnsi="Calibri"/>
                <w:b/>
                <w:bCs/>
                <w:color w:val="345D9D"/>
                <w:sz w:val="20"/>
                <w:szCs w:val="20"/>
              </w:rPr>
              <w:t xml:space="preserve">↓</w:t>
            </w:r>
          </w:p>
        </w:tc>
        <w:tc>
          <w:tcPr>
            <w:tcW w:type="dxa" w:w="3120"/>
            <w:tcBorders>
              <w:top w:val="none"/>
              <w:left w:val="none"/>
              <w:bottom w:val="none"/>
              <w:right w:val="none"/>
            </w:tcBorders>
            <w:tcMar>
              <w:top w:type="dxa" w:w="20"/>
              <w:bottom w:type="dxa" w:w="20"/>
            </w:tcMar>
          </w:tcPr>
          <w:p>
            <w:pPr>
              <w:spacing w:after="0"/>
              <w:jc w:val="center"/>
            </w:pPr>
            <w:r>
              <w:rPr>
                <w:rFonts w:ascii="Calibri" w:cs="Calibri" w:eastAsia="Calibri" w:hAnsi="Calibri"/>
                <w:b/>
                <w:bCs/>
                <w:color w:val="345D9D"/>
                <w:sz w:val="20"/>
                <w:szCs w:val="20"/>
              </w:rPr>
              <w:t xml:space="preserve">↓</w:t>
            </w:r>
          </w:p>
        </w:tc>
        <w:tc>
          <w:tcPr>
            <w:tcW w:type="dxa" w:w="3120"/>
            <w:tcBorders>
              <w:top w:val="none"/>
              <w:left w:val="none"/>
              <w:bottom w:val="none"/>
              <w:right w:val="none"/>
            </w:tcBorders>
            <w:tcMar>
              <w:top w:type="dxa" w:w="20"/>
              <w:bottom w:type="dxa" w:w="20"/>
            </w:tcMar>
          </w:tcPr>
          <w:p>
            <w:pPr>
              <w:spacing w:after="0"/>
              <w:jc w:val="center"/>
            </w:pPr>
            <w:r>
              <w:rPr>
                <w:rFonts w:ascii="Calibri" w:cs="Calibri" w:eastAsia="Calibri" w:hAnsi="Calibri"/>
                <w:b/>
                <w:bCs/>
                <w:color w:val="345D9D"/>
                <w:sz w:val="20"/>
                <w:szCs w:val="20"/>
              </w:rPr>
              <w:t xml:space="preserve">↓</w:t>
            </w:r>
          </w:p>
        </w:tc>
      </w:tr>
      <w:tr>
        <w:tc>
          <w:tcPr>
            <w:tcW w:type="dxa" w:w="9360"/>
            <w:gridSpan w:val="3"/>
            <w:tcBorders>
              <w:top w:val="single" w:color="FFFFFF" w:sz="6"/>
              <w:left w:val="single" w:color="FFFFFF" w:sz="6"/>
              <w:bottom w:val="single" w:color="FFFFFF" w:sz="6"/>
              <w:right w:val="single" w:color="FFFFFF" w:sz="6"/>
            </w:tcBorders>
            <w:shd w:fill="1B2A4A" w:val="clear"/>
            <w:tcMar>
              <w:top w:type="dxa" w:w="120"/>
              <w:left w:type="dxa" w:w="100"/>
              <w:bottom w:type="dxa" w:w="120"/>
              <w:right w:type="dxa" w:w="100"/>
            </w:tcMar>
            <w:vAlign w:val="center"/>
          </w:tcPr>
          <w:p>
            <w:pPr>
              <w:spacing w:after="0" w:line="240"/>
              <w:jc w:val="center"/>
            </w:pPr>
            <w:r>
              <w:rPr>
                <w:rFonts w:ascii="Calibri" w:cs="Calibri" w:eastAsia="Calibri" w:hAnsi="Calibri"/>
                <w:b/>
                <w:bCs/>
                <w:color w:val="FFFFFF"/>
                <w:sz w:val="18"/>
                <w:szCs w:val="18"/>
              </w:rPr>
              <w:t xml:space="preserve">M0</w:t>
            </w:r>
            <w:r>
              <w:rPr>
                <w:rFonts w:ascii="Calibri" w:cs="Calibri" w:eastAsia="Calibri" w:hAnsi="Calibri"/>
                <w:color w:val="FFFFFF"/>
                <w:sz w:val="18"/>
                <w:szCs w:val="18"/>
              </w:rPr>
              <w:t xml:space="preserve"> · arnés de evaluación</w:t>
            </w:r>
          </w:p>
        </w:tc>
      </w:tr>
      <w:tr>
        <w:tc>
          <w:tcPr>
            <w:tcW w:type="dxa" w:w="9360"/>
            <w:tcBorders>
              <w:top w:val="none"/>
              <w:left w:val="none"/>
              <w:bottom w:val="none"/>
              <w:right w:val="none"/>
            </w:tcBorders>
            <w:tcMar>
              <w:top w:type="dxa" w:w="20"/>
              <w:bottom w:type="dxa" w:w="20"/>
            </w:tcMar>
          </w:tcPr>
          <w:p>
            <w:pPr>
              <w:spacing w:after="0"/>
              <w:jc w:val="center"/>
            </w:pPr>
            <w:r>
              <w:rPr>
                <w:rFonts w:ascii="Calibri" w:cs="Calibri" w:eastAsia="Calibri" w:hAnsi="Calibri"/>
                <w:b/>
                <w:bCs/>
                <w:color w:val="345D9D"/>
                <w:sz w:val="20"/>
                <w:szCs w:val="20"/>
              </w:rPr>
              <w:t xml:space="preserve">↓</w:t>
            </w:r>
          </w:p>
        </w:tc>
      </w:tr>
      <w:tr>
        <w:tc>
          <w:tcPr>
            <w:tcW w:type="dxa" w:w="9360"/>
            <w:gridSpan w:val="3"/>
            <w:tcBorders>
              <w:top w:val="single" w:color="FFFFFF" w:sz="6"/>
              <w:left w:val="single" w:color="FFFFFF" w:sz="6"/>
              <w:bottom w:val="single" w:color="FFFFFF" w:sz="6"/>
              <w:right w:val="single" w:color="FFFFFF" w:sz="6"/>
            </w:tcBorders>
            <w:shd w:fill="1B2A4A" w:val="clear"/>
            <w:tcMar>
              <w:top w:type="dxa" w:w="120"/>
              <w:left w:type="dxa" w:w="100"/>
              <w:bottom w:type="dxa" w:w="120"/>
              <w:right w:type="dxa" w:w="100"/>
            </w:tcMar>
            <w:vAlign w:val="center"/>
          </w:tcPr>
          <w:p>
            <w:pPr>
              <w:spacing w:after="0" w:line="240"/>
              <w:jc w:val="center"/>
            </w:pPr>
            <w:r>
              <w:rPr>
                <w:rFonts w:ascii="Calibri" w:cs="Calibri" w:eastAsia="Calibri" w:hAnsi="Calibri"/>
                <w:b/>
                <w:bCs/>
                <w:color w:val="FFFFFF"/>
                <w:sz w:val="18"/>
                <w:szCs w:val="18"/>
              </w:rPr>
              <w:t xml:space="preserve">M0</w:t>
            </w:r>
            <w:r>
              <w:rPr>
                <w:rFonts w:ascii="Calibri" w:cs="Calibri" w:eastAsia="Calibri" w:hAnsi="Calibri"/>
                <w:color w:val="FFFFFF"/>
                <w:sz w:val="18"/>
                <w:szCs w:val="18"/>
              </w:rPr>
              <w:t xml:space="preserve"> · API del backend</w:t>
            </w:r>
          </w:p>
        </w:tc>
      </w:tr>
      <w:tr>
        <w:tc>
          <w:tcPr>
            <w:tcW w:type="dxa" w:w="9360"/>
            <w:tcBorders>
              <w:top w:val="none"/>
              <w:left w:val="none"/>
              <w:bottom w:val="none"/>
              <w:right w:val="none"/>
            </w:tcBorders>
            <w:tcMar>
              <w:top w:type="dxa" w:w="20"/>
              <w:bottom w:type="dxa" w:w="20"/>
            </w:tcMar>
          </w:tcPr>
          <w:p>
            <w:pPr>
              <w:spacing w:after="0"/>
              <w:jc w:val="center"/>
            </w:pPr>
            <w:r>
              <w:rPr>
                <w:rFonts w:ascii="Calibri" w:cs="Calibri" w:eastAsia="Calibri" w:hAnsi="Calibri"/>
                <w:b/>
                <w:bCs/>
                <w:color w:val="345D9D"/>
                <w:sz w:val="20"/>
                <w:szCs w:val="20"/>
              </w:rPr>
              <w:t xml:space="preserve">↓</w:t>
            </w:r>
          </w:p>
        </w:tc>
      </w:tr>
      <w:tr>
        <w:tc>
          <w:tcPr>
            <w:tcW w:type="dxa" w:w="9360"/>
            <w:gridSpan w:val="3"/>
            <w:tcBorders>
              <w:top w:val="single" w:color="FFFFFF" w:sz="6"/>
              <w:left w:val="single" w:color="FFFFFF" w:sz="6"/>
              <w:bottom w:val="single" w:color="FFFFFF" w:sz="6"/>
              <w:right w:val="single" w:color="FFFFFF" w:sz="6"/>
            </w:tcBorders>
            <w:shd w:fill="345D9D" w:val="clear"/>
            <w:tcMar>
              <w:top w:type="dxa" w:w="120"/>
              <w:left w:type="dxa" w:w="100"/>
              <w:bottom w:type="dxa" w:w="120"/>
              <w:right w:type="dxa" w:w="100"/>
            </w:tcMar>
            <w:vAlign w:val="center"/>
          </w:tcPr>
          <w:p>
            <w:pPr>
              <w:spacing w:after="0" w:line="240"/>
              <w:jc w:val="center"/>
            </w:pPr>
            <w:r>
              <w:rPr>
                <w:rFonts w:ascii="Calibri" w:cs="Calibri" w:eastAsia="Calibri" w:hAnsi="Calibri"/>
                <w:b/>
                <w:bCs/>
                <w:color w:val="FFFFFF"/>
                <w:sz w:val="18"/>
                <w:szCs w:val="18"/>
              </w:rPr>
              <w:t xml:space="preserve">M1</w:t>
            </w:r>
            <w:r>
              <w:rPr>
                <w:rFonts w:ascii="Calibri" w:cs="Calibri" w:eastAsia="Calibri" w:hAnsi="Calibri"/>
                <w:color w:val="FFFFFF"/>
                <w:sz w:val="18"/>
                <w:szCs w:val="18"/>
              </w:rPr>
              <w:t xml:space="preserve"> · aplicación web</w:t>
            </w:r>
          </w:p>
        </w:tc>
      </w:tr>
    </w:tbl>
    <w:p>
      <w:pPr>
        <w:spacing w:after="260"/>
      </w:pPr>
      <w:r>
        <w:rPr>
          <w:rFonts w:ascii="Calibri" w:cs="Calibri" w:eastAsia="Calibri" w:hAnsi="Calibri"/>
          <w:i/>
          <w:iCs/>
          <w:color w:val="5A6675"/>
          <w:sz w:val="17"/>
          <w:szCs w:val="17"/>
        </w:rPr>
        <w:t xml:space="preserve">Figura 1. Flujo del sistema. Los contratos y el artefacto de datos se congelan primero; a partir de ahí, M1, M2 y M3 trabajan en paralelo sin esperarse.</w:t>
      </w:r>
    </w:p>
    <w:tbl>
      <w:tblPr>
        <w:tblW w:type="dxa" w:w="9360"/>
        <w:tblBorders>
          <w:top w:val="single" w:color="EEF2F8" w:sz="2"/>
          <w:left w:val="single" w:color="345D9D" w:sz="18"/>
          <w:bottom w:val="single" w:color="EEF2F8" w:sz="2"/>
          <w:right w:val="single" w:color="EEF2F8" w:sz="2"/>
          <w:insideH w:val="none"/>
          <w:insideV w:val="none"/>
        </w:tblBorders>
      </w:tblPr>
      <w:tblGrid>
        <w:gridCol w:w="9360"/>
      </w:tblGrid>
      <w:tr>
        <w:tc>
          <w:tcPr>
            <w:tcW w:type="dxa" w:w="9360"/>
            <w:shd w:fill="EEF2F8" w:val="clear"/>
            <w:tcMar>
              <w:top w:type="dxa" w:w="160"/>
              <w:left w:type="dxa" w:w="220"/>
              <w:bottom w:type="dxa" w:w="160"/>
              <w:right w:type="dxa" w:w="220"/>
            </w:tcMar>
          </w:tcPr>
          <w:p>
            <w:pPr>
              <w:spacing w:after="0" w:line="264"/>
            </w:pPr>
            <w:r>
              <w:rPr>
                <w:rFonts w:ascii="Calibri" w:cs="Calibri" w:eastAsia="Calibri" w:hAnsi="Calibri"/>
                <w:b/>
                <w:bCs/>
                <w:color w:val="20242B"/>
                <w:sz w:val="20"/>
                <w:szCs w:val="20"/>
              </w:rPr>
              <w:t xml:space="preserve">La idea central:</w:t>
            </w:r>
            <w:r>
              <w:rPr>
                <w:rFonts w:ascii="Calibri" w:cs="Calibri" w:eastAsia="Calibri" w:hAnsi="Calibri"/>
                <w:color w:val="20242B"/>
                <w:sz w:val="20"/>
                <w:szCs w:val="20"/>
              </w:rPr>
              <w:t xml:space="preserve"> el artefacto de datos y los contratos se congelan primero. A partir de ahí, los tres módulos trabajan en paralelo sin esperarse entre sí, porque todos dependen del contrato y ninguno depende del trabajo en curso de otro.</w:t>
            </w:r>
          </w:p>
        </w:tc>
      </w:tr>
    </w:tbl>
    <w:p>
      <w:pPr>
        <w:spacing w:after="120"/>
      </w:pPr>
    </w:p>
    <w:p>
      <w:pPr>
        <w:pStyle w:val="Heading2"/>
      </w:pPr>
      <w:r>
        <w:t xml:space="preserve">6.1 Pila tecnológica</w:t>
      </w:r>
    </w:p>
    <w:tbl>
      <w:tblPr>
        <w:tblW w:type="dxa" w:w="9360"/>
        <w:tblBorders>
          <w:top w:val="single" w:color="1B2A4A" w:sz="4"/>
          <w:left w:val="none"/>
          <w:bottom w:val="single" w:color="1B2A4A" w:sz="4"/>
          <w:right w:val="none"/>
          <w:insideH w:val="single" w:color="C9D3E0" w:sz="2"/>
          <w:insideV w:val="none"/>
        </w:tblBorders>
      </w:tblPr>
      <w:tblGrid>
        <w:gridCol w:w="1591"/>
        <w:gridCol w:w="2808"/>
        <w:gridCol w:w="4961"/>
      </w:tblGrid>
      <w:tr>
        <w:trPr>
          <w:tblHeader/>
        </w:trPr>
        <w:tc>
          <w:tcPr>
            <w:tcW w:type="dxa" w:w="1591"/>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Capa</w:t>
            </w:r>
          </w:p>
        </w:tc>
        <w:tc>
          <w:tcPr>
            <w:tcW w:type="dxa" w:w="2808"/>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Elección</w:t>
            </w:r>
          </w:p>
        </w:tc>
        <w:tc>
          <w:tcPr>
            <w:tcW w:type="dxa" w:w="4961"/>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Por qué</w:t>
            </w:r>
          </w:p>
        </w:tc>
      </w:tr>
      <w:tr>
        <w:tc>
          <w:tcPr>
            <w:tcW w:type="dxa" w:w="1591"/>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Lenguaje</w:t>
            </w:r>
          </w:p>
        </w:tc>
        <w:tc>
          <w:tcPr>
            <w:tcW w:type="dxa" w:w="2808"/>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Python 3.14</w:t>
            </w:r>
          </w:p>
        </w:tc>
        <w:tc>
          <w:tcPr>
            <w:tcW w:type="dxa" w:w="4961"/>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Ultima estable. Se midio que resuelve identico a 3.13 con torch 2.13 y transformers 5.14; 3.15 se descarta porque ningun torch publica ruedas para esa version</w:t>
            </w:r>
          </w:p>
        </w:tc>
      </w:tr>
      <w:tr>
        <w:tc>
          <w:tcPr>
            <w:tcW w:type="dxa" w:w="1591"/>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Entorno</w:t>
            </w:r>
          </w:p>
        </w:tc>
        <w:tc>
          <w:tcPr>
            <w:tcW w:type="dxa" w:w="2808"/>
            <w:shd w:fill="FFFFFF" w:val="clear"/>
            <w:tcMar>
              <w:top w:type="dxa" w:w="90"/>
              <w:left w:type="dxa" w:w="130"/>
              <w:bottom w:type="dxa" w:w="90"/>
              <w:right w:type="dxa" w:w="130"/>
            </w:tcMar>
            <w:vAlign w:val="top"/>
          </w:tcPr>
          <w:p>
            <w:pPr>
              <w:spacing w:after="0" w:line="252"/>
            </w:pPr>
            <w:r>
              <w:rPr>
                <w:rFonts w:ascii="Consolas" w:cs="Consolas" w:eastAsia="Consolas" w:hAnsi="Consolas"/>
                <w:color w:val="345D9D"/>
                <w:sz w:val="17"/>
                <w:szCs w:val="17"/>
              </w:rPr>
              <w:t xml:space="preserve">uv</w:t>
            </w:r>
            <w:r>
              <w:rPr>
                <w:rFonts w:ascii="Calibri" w:cs="Calibri" w:eastAsia="Calibri" w:hAnsi="Calibri"/>
                <w:color w:val="20242B"/>
                <w:sz w:val="19"/>
                <w:szCs w:val="19"/>
              </w:rPr>
              <w:t xml:space="preserve"> con archivo de bloqueo</w:t>
            </w:r>
          </w:p>
        </w:tc>
        <w:tc>
          <w:tcPr>
            <w:tcW w:type="dxa" w:w="4961"/>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Un solo comando instala todo, incluido el intérprete. Elimina los cuatro puntos de falla habituales del setup</w:t>
            </w:r>
          </w:p>
        </w:tc>
      </w:tr>
      <w:tr>
        <w:tc>
          <w:tcPr>
            <w:tcW w:type="dxa" w:w="1591"/>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Datos</w:t>
            </w:r>
          </w:p>
        </w:tc>
        <w:tc>
          <w:tcPr>
            <w:tcW w:type="dxa" w:w="2808"/>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pandas + parquet</w:t>
            </w:r>
          </w:p>
        </w:tc>
        <w:tc>
          <w:tcPr>
            <w:tcW w:type="dxa" w:w="4961"/>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El dataset son miles de filas, no millones. pandas es lo que van a encontrar en cualquier tutorial cuando se traben</w:t>
            </w:r>
          </w:p>
        </w:tc>
      </w:tr>
      <w:tr>
        <w:tc>
          <w:tcPr>
            <w:tcW w:type="dxa" w:w="1591"/>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Modelos</w:t>
            </w:r>
          </w:p>
        </w:tc>
        <w:tc>
          <w:tcPr>
            <w:tcW w:type="dxa" w:w="2808"/>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PyTorch (CPU) + transformers</w:t>
            </w:r>
          </w:p>
        </w:tc>
        <w:tc>
          <w:tcPr>
            <w:tcW w:type="dxa" w:w="4961"/>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Requisito del enunciado</w:t>
            </w:r>
          </w:p>
        </w:tc>
      </w:tr>
      <w:tr>
        <w:tc>
          <w:tcPr>
            <w:tcW w:type="dxa" w:w="1591"/>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Backend</w:t>
            </w:r>
          </w:p>
        </w:tc>
        <w:tc>
          <w:tcPr>
            <w:tcW w:type="dxa" w:w="2808"/>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FastAPI</w:t>
            </w:r>
          </w:p>
        </w:tc>
        <w:tc>
          <w:tcPr>
            <w:tcW w:type="dxa" w:w="4961"/>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Expone las funciones que ya existen como JSON. Delgado, sin lógica propia</w:t>
            </w:r>
          </w:p>
        </w:tc>
      </w:tr>
      <w:tr>
        <w:tc>
          <w:tcPr>
            <w:tcW w:type="dxa" w:w="1591"/>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Frontend</w:t>
            </w:r>
          </w:p>
        </w:tc>
        <w:tc>
          <w:tcPr>
            <w:tcW w:type="dxa" w:w="2808"/>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Vite + React + TypeScript + Tailwind</w:t>
            </w:r>
          </w:p>
        </w:tc>
        <w:tc>
          <w:tcPr>
            <w:tcW w:type="dxa" w:w="4961"/>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El equipo ya entregó un producto con esta pila</w:t>
            </w:r>
          </w:p>
        </w:tc>
      </w:tr>
      <w:tr>
        <w:tc>
          <w:tcPr>
            <w:tcW w:type="dxa" w:w="1591"/>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Gráficos</w:t>
            </w:r>
          </w:p>
        </w:tc>
        <w:tc>
          <w:tcPr>
            <w:tcW w:type="dxa" w:w="2808"/>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TradingView Lightweight Charts</w:t>
            </w:r>
          </w:p>
        </w:tc>
        <w:tc>
          <w:tcPr>
            <w:tcW w:type="dxa" w:w="4961"/>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Es la librería que hace que un gráfico de cripto se vea profesional, con marcadores sobre puntos concretos</w:t>
            </w:r>
          </w:p>
        </w:tc>
      </w:tr>
      <w:tr>
        <w:tc>
          <w:tcPr>
            <w:tcW w:type="dxa" w:w="1591"/>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Figuras del informe</w:t>
            </w:r>
          </w:p>
        </w:tc>
        <w:tc>
          <w:tcPr>
            <w:tcW w:type="dxa" w:w="2808"/>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matplotlib con estilo compartido</w:t>
            </w:r>
          </w:p>
        </w:tc>
        <w:tc>
          <w:tcPr>
            <w:tcW w:type="dxa" w:w="4961"/>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Consistencia entre los cinco documentos</w:t>
            </w:r>
          </w:p>
        </w:tc>
      </w:tr>
    </w:tbl>
    <w:p>
      <w:pPr>
        <w:spacing w:after="240"/>
      </w:pPr>
    </w:p>
    <w:p>
      <w:pPr>
        <w:spacing w:after="140" w:line="276"/>
      </w:pPr>
      <w:r>
        <w:rPr>
          <w:rFonts w:ascii="Calibri" w:cs="Calibri" w:eastAsia="Calibri" w:hAnsi="Calibri"/>
          <w:b/>
          <w:bCs/>
          <w:color w:val="20242B"/>
          <w:sz w:val="21"/>
          <w:szCs w:val="21"/>
        </w:rPr>
        <w:t xml:space="preserve">Lo que deliberadamente no usamos:</w:t>
      </w:r>
      <w:r>
        <w:rPr>
          <w:rFonts w:ascii="Calibri" w:cs="Calibri" w:eastAsia="Calibri" w:hAnsi="Calibri"/>
          <w:color w:val="20242B"/>
          <w:sz w:val="21"/>
          <w:szCs w:val="21"/>
        </w:rPr>
        <w:t xml:space="preserve"> MLflow, DVC, Weights &amp; Biases ni Docker. Cada una es una semana de aprendizaje que no tenemos, y el problema que resuelven — trazabilidad de experimentos — lo cubrimos con un parquet versionado y un archivo de resultados commiteado.</w:t>
      </w:r>
    </w:p>
    <w:p>
      <w:pPr>
        <w:pStyle w:val="Heading1"/>
      </w:pPr>
      <w:r>
        <w:t xml:space="preserve">7. Módulos y responsables</w:t>
      </w:r>
    </w:p>
    <w:tbl>
      <w:tblPr>
        <w:tblW w:type="dxa" w:w="9360"/>
        <w:tblBorders>
          <w:top w:val="single" w:color="EEF2F8" w:sz="2"/>
          <w:left w:val="single" w:color="345D9D" w:sz="18"/>
          <w:bottom w:val="single" w:color="EEF2F8" w:sz="2"/>
          <w:right w:val="single" w:color="EEF2F8" w:sz="2"/>
          <w:insideH w:val="none"/>
          <w:insideV w:val="none"/>
        </w:tblBorders>
      </w:tblPr>
      <w:tblGrid>
        <w:gridCol w:w="9360"/>
      </w:tblGrid>
      <w:tr>
        <w:tc>
          <w:tcPr>
            <w:tcW w:type="dxa" w:w="9360"/>
            <w:shd w:fill="EEF2F8" w:val="clear"/>
            <w:tcMar>
              <w:top w:type="dxa" w:w="160"/>
              <w:left w:type="dxa" w:w="220"/>
              <w:bottom w:type="dxa" w:w="160"/>
              <w:right w:type="dxa" w:w="220"/>
            </w:tcMar>
          </w:tcPr>
          <w:p>
            <w:pPr>
              <w:spacing w:after="0" w:line="264"/>
            </w:pPr>
            <w:r>
              <w:rPr>
                <w:rFonts w:ascii="Calibri" w:cs="Calibri" w:eastAsia="Calibri" w:hAnsi="Calibri"/>
                <w:b/>
                <w:bCs/>
                <w:color w:val="20242B"/>
                <w:sz w:val="20"/>
                <w:szCs w:val="20"/>
              </w:rPr>
              <w:t xml:space="preserve">Regla base: nadie comparte tarea con nadie.</w:t>
            </w:r>
            <w:r>
              <w:rPr>
                <w:rFonts w:ascii="Calibri" w:cs="Calibri" w:eastAsia="Calibri" w:hAnsi="Calibri"/>
                <w:color w:val="20242B"/>
                <w:sz w:val="20"/>
                <w:szCs w:val="20"/>
              </w:rPr>
              <w:t xml:space="preserve"> Cada persona tiene sus carpetas, y nadie edita archivos ajenos sin avisar por escrito.</w:t>
            </w:r>
          </w:p>
        </w:tc>
      </w:tr>
    </w:tbl>
    <w:p>
      <w:pPr>
        <w:spacing w:after="120"/>
      </w:pPr>
    </w:p>
    <w:p>
      <w:pPr>
        <w:pStyle w:val="Heading2"/>
      </w:pPr>
      <w:r>
        <w:t xml:space="preserve">M0 · Infraestructura, contratos y evaluación — Fabrizio Espinoza</w:t>
      </w:r>
    </w:p>
    <w:p>
      <w:pPr>
        <w:spacing w:after="140" w:line="276"/>
      </w:pPr>
      <w:r>
        <w:rPr>
          <w:rFonts w:ascii="Calibri" w:cs="Calibri" w:eastAsia="Calibri" w:hAnsi="Calibri"/>
          <w:color w:val="20242B"/>
          <w:sz w:val="21"/>
          <w:szCs w:val="21"/>
        </w:rPr>
        <w:t xml:space="preserve">Monta el repositorio, el entorno, la integración continua y las guías. Produce el dataset canónico. Define y congela los contratos. Construye el arnés de evaluación y el backend. Ensambla los documentos semanales y los decks. Es quien une todo.</w:t>
      </w:r>
    </w:p>
    <w:p>
      <w:pPr>
        <w:spacing w:after="140" w:line="276"/>
      </w:pPr>
      <w:r>
        <w:rPr>
          <w:rFonts w:ascii="Calibri" w:cs="Calibri" w:eastAsia="Calibri" w:hAnsi="Calibri"/>
          <w:b/>
          <w:bCs/>
          <w:color w:val="20242B"/>
          <w:sz w:val="21"/>
          <w:szCs w:val="21"/>
        </w:rPr>
        <w:t xml:space="preserve">Carpetas:</w:t>
      </w:r>
      <w:r>
        <w:rPr>
          <w:rFonts w:ascii="Calibri" w:cs="Calibri" w:eastAsia="Calibri" w:hAnsi="Calibri"/>
          <w:color w:val="20242B"/>
          <w:sz w:val="21"/>
          <w:szCs w:val="21"/>
        </w:rPr>
        <w:t xml:space="preserve"> </w:t>
      </w:r>
      <w:r>
        <w:rPr>
          <w:rFonts w:ascii="Consolas" w:cs="Consolas" w:eastAsia="Consolas" w:hAnsi="Consolas"/>
          <w:color w:val="345D9D"/>
          <w:sz w:val="19"/>
          <w:szCs w:val="19"/>
        </w:rPr>
        <w:t xml:space="preserve">contracts/</w:t>
      </w:r>
      <w:r>
        <w:rPr>
          <w:rFonts w:ascii="Calibri" w:cs="Calibri" w:eastAsia="Calibri" w:hAnsi="Calibri"/>
          <w:color w:val="20242B"/>
          <w:sz w:val="21"/>
          <w:szCs w:val="21"/>
        </w:rPr>
        <w:t xml:space="preserve">, </w:t>
      </w:r>
      <w:r>
        <w:rPr>
          <w:rFonts w:ascii="Consolas" w:cs="Consolas" w:eastAsia="Consolas" w:hAnsi="Consolas"/>
          <w:color w:val="345D9D"/>
          <w:sz w:val="19"/>
          <w:szCs w:val="19"/>
        </w:rPr>
        <w:t xml:space="preserve">src/evaluacion/</w:t>
      </w:r>
      <w:r>
        <w:rPr>
          <w:rFonts w:ascii="Calibri" w:cs="Calibri" w:eastAsia="Calibri" w:hAnsi="Calibri"/>
          <w:color w:val="20242B"/>
          <w:sz w:val="21"/>
          <w:szCs w:val="21"/>
        </w:rPr>
        <w:t xml:space="preserve">, </w:t>
      </w:r>
      <w:r>
        <w:rPr>
          <w:rFonts w:ascii="Consolas" w:cs="Consolas" w:eastAsia="Consolas" w:hAnsi="Consolas"/>
          <w:color w:val="345D9D"/>
          <w:sz w:val="19"/>
          <w:szCs w:val="19"/>
        </w:rPr>
        <w:t xml:space="preserve">src/api/</w:t>
      </w:r>
      <w:r>
        <w:rPr>
          <w:rFonts w:ascii="Calibri" w:cs="Calibri" w:eastAsia="Calibri" w:hAnsi="Calibri"/>
          <w:color w:val="20242B"/>
          <w:sz w:val="21"/>
          <w:szCs w:val="21"/>
        </w:rPr>
        <w:t xml:space="preserve">, </w:t>
      </w:r>
      <w:r>
        <w:rPr>
          <w:rFonts w:ascii="Consolas" w:cs="Consolas" w:eastAsia="Consolas" w:hAnsi="Consolas"/>
          <w:color w:val="345D9D"/>
          <w:sz w:val="19"/>
          <w:szCs w:val="19"/>
        </w:rPr>
        <w:t xml:space="preserve">data/</w:t>
      </w:r>
      <w:r>
        <w:rPr>
          <w:rFonts w:ascii="Calibri" w:cs="Calibri" w:eastAsia="Calibri" w:hAnsi="Calibri"/>
          <w:color w:val="20242B"/>
          <w:sz w:val="21"/>
          <w:szCs w:val="21"/>
        </w:rPr>
        <w:t xml:space="preserve">, </w:t>
      </w:r>
      <w:r>
        <w:rPr>
          <w:rFonts w:ascii="Consolas" w:cs="Consolas" w:eastAsia="Consolas" w:hAnsi="Consolas"/>
          <w:color w:val="345D9D"/>
          <w:sz w:val="19"/>
          <w:szCs w:val="19"/>
        </w:rPr>
        <w:t xml:space="preserve">.github/</w:t>
      </w:r>
    </w:p>
    <w:p>
      <w:pPr>
        <w:spacing w:after="140" w:line="276"/>
      </w:pPr>
      <w:r>
        <w:rPr>
          <w:rFonts w:ascii="Calibri" w:cs="Calibri" w:eastAsia="Calibri" w:hAnsi="Calibri"/>
          <w:b/>
          <w:bCs/>
          <w:color w:val="20242B"/>
          <w:sz w:val="21"/>
          <w:szCs w:val="21"/>
        </w:rPr>
        <w:t xml:space="preserve">Su marco teórico:</w:t>
      </w:r>
      <w:r>
        <w:rPr>
          <w:rFonts w:ascii="Calibri" w:cs="Calibri" w:eastAsia="Calibri" w:hAnsi="Calibri"/>
          <w:color w:val="20242B"/>
          <w:sz w:val="21"/>
          <w:szCs w:val="21"/>
        </w:rPr>
        <w:t xml:space="preserve"> métricas de evaluación para puntos de inflexión.</w:t>
      </w:r>
    </w:p>
    <w:p>
      <w:pPr>
        <w:pStyle w:val="Heading2"/>
      </w:pPr>
      <w:r>
        <w:t xml:space="preserve">M1 · Datos, diagnóstico y aplicación — Jose Pablo Monestel</w:t>
      </w:r>
    </w:p>
    <w:p>
      <w:pPr>
        <w:spacing w:after="140" w:line="276"/>
      </w:pPr>
      <w:r>
        <w:rPr>
          <w:rFonts w:ascii="Calibri" w:cs="Calibri" w:eastAsia="Calibri" w:hAnsi="Calibri"/>
          <w:b/>
          <w:bCs/>
          <w:color w:val="20242B"/>
          <w:sz w:val="21"/>
          <w:szCs w:val="21"/>
        </w:rPr>
        <w:t xml:space="preserve">Semanas 1 y 2:</w:t>
      </w:r>
      <w:r>
        <w:rPr>
          <w:rFonts w:ascii="Calibri" w:cs="Calibri" w:eastAsia="Calibri" w:hAnsi="Calibri"/>
          <w:color w:val="20242B"/>
          <w:sz w:val="21"/>
          <w:szCs w:val="21"/>
        </w:rPr>
        <w:t xml:space="preserve"> análisis exploratorio y diagnóstico estadístico de las seis series — estacionariedad, volatilidad, autocorrelación y correlación cruzada. Es el módulo que responde “¿cómo son realmente estos datos?”.</w:t>
      </w:r>
    </w:p>
    <w:p>
      <w:pPr>
        <w:spacing w:after="140" w:line="276"/>
      </w:pPr>
      <w:r>
        <w:rPr>
          <w:rFonts w:ascii="Calibri" w:cs="Calibri" w:eastAsia="Calibri" w:hAnsi="Calibri"/>
          <w:b/>
          <w:bCs/>
          <w:color w:val="20242B"/>
          <w:sz w:val="21"/>
          <w:szCs w:val="21"/>
        </w:rPr>
        <w:t xml:space="preserve">Semanas 3 a 5:</w:t>
      </w:r>
      <w:r>
        <w:rPr>
          <w:rFonts w:ascii="Calibri" w:cs="Calibri" w:eastAsia="Calibri" w:hAnsi="Calibri"/>
          <w:color w:val="20242B"/>
          <w:sz w:val="21"/>
          <w:szCs w:val="21"/>
        </w:rPr>
        <w:t xml:space="preserve"> la aplicación web completa, con los tres modos.</w:t>
      </w:r>
    </w:p>
    <w:p>
      <w:pPr>
        <w:spacing w:after="140" w:line="276"/>
      </w:pPr>
      <w:r>
        <w:rPr>
          <w:rFonts w:ascii="Calibri" w:cs="Calibri" w:eastAsia="Calibri" w:hAnsi="Calibri"/>
          <w:color w:val="20242B"/>
          <w:sz w:val="21"/>
          <w:szCs w:val="21"/>
        </w:rPr>
        <w:t xml:space="preserve">Arranca el frontend en la semana 2 contra datos falsos. </w:t>
      </w:r>
      <w:r>
        <w:rPr>
          <w:rFonts w:ascii="Calibri" w:cs="Calibri" w:eastAsia="Calibri" w:hAnsi="Calibri"/>
          <w:b/>
          <w:bCs/>
          <w:color w:val="20242B"/>
          <w:sz w:val="21"/>
          <w:szCs w:val="21"/>
        </w:rPr>
        <w:t xml:space="preserve">No espera a que exista el modelo.</w:t>
      </w:r>
    </w:p>
    <w:p>
      <w:pPr>
        <w:spacing w:after="140" w:line="276"/>
      </w:pPr>
      <w:r>
        <w:rPr>
          <w:rFonts w:ascii="Calibri" w:cs="Calibri" w:eastAsia="Calibri" w:hAnsi="Calibri"/>
          <w:b/>
          <w:bCs/>
          <w:color w:val="20242B"/>
          <w:sz w:val="21"/>
          <w:szCs w:val="21"/>
        </w:rPr>
        <w:t xml:space="preserve">Carpetas:</w:t>
      </w:r>
      <w:r>
        <w:rPr>
          <w:rFonts w:ascii="Calibri" w:cs="Calibri" w:eastAsia="Calibri" w:hAnsi="Calibri"/>
          <w:color w:val="20242B"/>
          <w:sz w:val="21"/>
          <w:szCs w:val="21"/>
        </w:rPr>
        <w:t xml:space="preserve"> </w:t>
      </w:r>
      <w:r>
        <w:rPr>
          <w:rFonts w:ascii="Consolas" w:cs="Consolas" w:eastAsia="Consolas" w:hAnsi="Consolas"/>
          <w:color w:val="345D9D"/>
          <w:sz w:val="19"/>
          <w:szCs w:val="19"/>
        </w:rPr>
        <w:t xml:space="preserve">src/datos/</w:t>
      </w:r>
      <w:r>
        <w:rPr>
          <w:rFonts w:ascii="Calibri" w:cs="Calibri" w:eastAsia="Calibri" w:hAnsi="Calibri"/>
          <w:color w:val="20242B"/>
          <w:sz w:val="21"/>
          <w:szCs w:val="21"/>
        </w:rPr>
        <w:t xml:space="preserve">, </w:t>
      </w:r>
      <w:r>
        <w:rPr>
          <w:rFonts w:ascii="Consolas" w:cs="Consolas" w:eastAsia="Consolas" w:hAnsi="Consolas"/>
          <w:color w:val="345D9D"/>
          <w:sz w:val="19"/>
          <w:szCs w:val="19"/>
        </w:rPr>
        <w:t xml:space="preserve">src/visual/</w:t>
      </w:r>
      <w:r>
        <w:rPr>
          <w:rFonts w:ascii="Calibri" w:cs="Calibri" w:eastAsia="Calibri" w:hAnsi="Calibri"/>
          <w:color w:val="20242B"/>
          <w:sz w:val="21"/>
          <w:szCs w:val="21"/>
        </w:rPr>
        <w:t xml:space="preserve">, </w:t>
      </w:r>
      <w:r>
        <w:rPr>
          <w:rFonts w:ascii="Consolas" w:cs="Consolas" w:eastAsia="Consolas" w:hAnsi="Consolas"/>
          <w:color w:val="345D9D"/>
          <w:sz w:val="19"/>
          <w:szCs w:val="19"/>
        </w:rPr>
        <w:t xml:space="preserve">app/</w:t>
      </w:r>
    </w:p>
    <w:p>
      <w:pPr>
        <w:spacing w:after="140" w:line="276"/>
      </w:pPr>
      <w:r>
        <w:rPr>
          <w:rFonts w:ascii="Calibri" w:cs="Calibri" w:eastAsia="Calibri" w:hAnsi="Calibri"/>
          <w:b/>
          <w:bCs/>
          <w:color w:val="20242B"/>
          <w:sz w:val="21"/>
          <w:szCs w:val="21"/>
        </w:rPr>
        <w:t xml:space="preserve">Su marco teórico:</w:t>
      </w:r>
      <w:r>
        <w:rPr>
          <w:rFonts w:ascii="Calibri" w:cs="Calibri" w:eastAsia="Calibri" w:hAnsi="Calibri"/>
          <w:color w:val="20242B"/>
          <w:sz w:val="21"/>
          <w:szCs w:val="21"/>
        </w:rPr>
        <w:t xml:space="preserve"> definición y componentes de una serie temporal, estacionariedad, no estacionariedad, heterocedasticidad, volatilidad, autocorrelación y correlación cruzada.</w:t>
      </w:r>
    </w:p>
    <w:p>
      <w:pPr>
        <w:pStyle w:val="Heading2"/>
      </w:pPr>
      <w:r>
        <w:t xml:space="preserve">M2 · Etiquetado y características — Alejandro Zamora</w:t>
      </w:r>
    </w:p>
    <w:p>
      <w:pPr>
        <w:spacing w:after="140" w:line="276"/>
      </w:pPr>
      <w:r>
        <w:rPr>
          <w:rFonts w:ascii="Calibri" w:cs="Calibri" w:eastAsia="Calibri" w:hAnsi="Calibri"/>
          <w:color w:val="20242B"/>
          <w:sz w:val="21"/>
          <w:szCs w:val="21"/>
        </w:rPr>
        <w:t xml:space="preserve">Implementa la función de etiquetado según la definición que congele el equipo. Construye el generador de series sintéticas con giros conocidos. Diseña y mide las características. Reporta cuáles aportan y cuáles no.</w:t>
      </w:r>
    </w:p>
    <w:p>
      <w:pPr>
        <w:spacing w:after="140" w:line="276"/>
      </w:pPr>
      <w:r>
        <w:rPr>
          <w:rFonts w:ascii="Calibri" w:cs="Calibri" w:eastAsia="Calibri" w:hAnsi="Calibri"/>
          <w:b/>
          <w:bCs/>
          <w:color w:val="20242B"/>
          <w:sz w:val="21"/>
          <w:szCs w:val="21"/>
        </w:rPr>
        <w:t xml:space="preserve">Carpetas:</w:t>
      </w:r>
      <w:r>
        <w:rPr>
          <w:rFonts w:ascii="Calibri" w:cs="Calibri" w:eastAsia="Calibri" w:hAnsi="Calibri"/>
          <w:color w:val="20242B"/>
          <w:sz w:val="21"/>
          <w:szCs w:val="21"/>
        </w:rPr>
        <w:t xml:space="preserve"> </w:t>
      </w:r>
      <w:r>
        <w:rPr>
          <w:rFonts w:ascii="Consolas" w:cs="Consolas" w:eastAsia="Consolas" w:hAnsi="Consolas"/>
          <w:color w:val="345D9D"/>
          <w:sz w:val="19"/>
          <w:szCs w:val="19"/>
        </w:rPr>
        <w:t xml:space="preserve">src/features/</w:t>
      </w:r>
      <w:r>
        <w:rPr>
          <w:rFonts w:ascii="Calibri" w:cs="Calibri" w:eastAsia="Calibri" w:hAnsi="Calibri"/>
          <w:color w:val="20242B"/>
          <w:sz w:val="21"/>
          <w:szCs w:val="21"/>
        </w:rPr>
        <w:t xml:space="preserve">, </w:t>
      </w:r>
      <w:r>
        <w:rPr>
          <w:rFonts w:ascii="Consolas" w:cs="Consolas" w:eastAsia="Consolas" w:hAnsi="Consolas"/>
          <w:color w:val="345D9D"/>
          <w:sz w:val="19"/>
          <w:szCs w:val="19"/>
        </w:rPr>
        <w:t xml:space="preserve">src/sintetico/</w:t>
      </w:r>
    </w:p>
    <w:p>
      <w:pPr>
        <w:spacing w:after="140" w:line="276"/>
      </w:pPr>
      <w:r>
        <w:rPr>
          <w:rFonts w:ascii="Calibri" w:cs="Calibri" w:eastAsia="Calibri" w:hAnsi="Calibri"/>
          <w:b/>
          <w:bCs/>
          <w:color w:val="20242B"/>
          <w:sz w:val="21"/>
          <w:szCs w:val="21"/>
        </w:rPr>
        <w:t xml:space="preserve">Su marco teórico:</w:t>
      </w:r>
      <w:r>
        <w:rPr>
          <w:rFonts w:ascii="Calibri" w:cs="Calibri" w:eastAsia="Calibri" w:hAnsi="Calibri"/>
          <w:color w:val="20242B"/>
          <w:sz w:val="21"/>
          <w:szCs w:val="21"/>
        </w:rPr>
        <w:t xml:space="preserve"> criptoactivos, sus características y tipos, factores que afectan el precio, correlación y dependencia entre activos, definición de punto de inflexión y cómo encontrarlos.</w:t>
      </w:r>
    </w:p>
    <w:p>
      <w:pPr>
        <w:pStyle w:val="Heading2"/>
      </w:pPr>
      <w:r>
        <w:t xml:space="preserve">M3 · Modelado — Isaac Morun</w:t>
      </w:r>
    </w:p>
    <w:p>
      <w:pPr>
        <w:spacing w:after="140" w:line="276"/>
      </w:pPr>
      <w:r>
        <w:rPr>
          <w:rFonts w:ascii="Calibri" w:cs="Calibri" w:eastAsia="Calibri" w:hAnsi="Calibri"/>
          <w:b/>
          <w:bCs/>
          <w:color w:val="20242B"/>
          <w:sz w:val="21"/>
          <w:szCs w:val="21"/>
        </w:rPr>
        <w:t xml:space="preserve">Semanas 1 y 2:</w:t>
      </w:r>
      <w:r>
        <w:rPr>
          <w:rFonts w:ascii="Calibri" w:cs="Calibri" w:eastAsia="Calibri" w:hAnsi="Calibri"/>
          <w:color w:val="20242B"/>
          <w:sz w:val="21"/>
          <w:szCs w:val="21"/>
        </w:rPr>
        <w:t xml:space="preserve"> estudio comparado de los modelos candidatos y montaje del entorno de entrenamiento. </w:t>
      </w:r>
      <w:r>
        <w:rPr>
          <w:rFonts w:ascii="Calibri" w:cs="Calibri" w:eastAsia="Calibri" w:hAnsi="Calibri"/>
          <w:b/>
          <w:bCs/>
          <w:color w:val="20242B"/>
          <w:sz w:val="21"/>
          <w:szCs w:val="21"/>
        </w:rPr>
        <w:t xml:space="preserve">Semana 3:</w:t>
      </w:r>
      <w:r>
        <w:rPr>
          <w:rFonts w:ascii="Calibri" w:cs="Calibri" w:eastAsia="Calibri" w:hAnsi="Calibri"/>
          <w:color w:val="20242B"/>
          <w:sz w:val="21"/>
          <w:szCs w:val="21"/>
        </w:rPr>
        <w:t xml:space="preserve"> modelo fundacional de Hugging Face funcionando y evaluado. </w:t>
      </w:r>
      <w:r>
        <w:rPr>
          <w:rFonts w:ascii="Calibri" w:cs="Calibri" w:eastAsia="Calibri" w:hAnsi="Calibri"/>
          <w:b/>
          <w:bCs/>
          <w:color w:val="20242B"/>
          <w:sz w:val="21"/>
          <w:szCs w:val="21"/>
        </w:rPr>
        <w:t xml:space="preserve">Semana 4:</w:t>
      </w:r>
      <w:r>
        <w:rPr>
          <w:rFonts w:ascii="Calibri" w:cs="Calibri" w:eastAsia="Calibri" w:hAnsi="Calibri"/>
          <w:color w:val="20242B"/>
          <w:sz w:val="21"/>
          <w:szCs w:val="21"/>
        </w:rPr>
        <w:t xml:space="preserve"> modelo avanzado funcionando y evaluado.</w:t>
      </w:r>
    </w:p>
    <w:p>
      <w:pPr>
        <w:spacing w:after="140" w:line="276"/>
      </w:pPr>
      <w:r>
        <w:rPr>
          <w:rFonts w:ascii="Calibri" w:cs="Calibri" w:eastAsia="Calibri" w:hAnsi="Calibri"/>
          <w:color w:val="20242B"/>
          <w:sz w:val="21"/>
          <w:szCs w:val="21"/>
        </w:rPr>
        <w:t xml:space="preserve">Es el módulo con más riesgo del proyecto. Si en la semana 4 el modelo avanzado no arranca, el PM entra a apoyar. Eso está previsto y no es un fracaso: es el plan.</w:t>
      </w:r>
    </w:p>
    <w:p>
      <w:pPr>
        <w:spacing w:after="140" w:line="276"/>
      </w:pPr>
      <w:r>
        <w:rPr>
          <w:rFonts w:ascii="Calibri" w:cs="Calibri" w:eastAsia="Calibri" w:hAnsi="Calibri"/>
          <w:b/>
          <w:bCs/>
          <w:color w:val="20242B"/>
          <w:sz w:val="21"/>
          <w:szCs w:val="21"/>
        </w:rPr>
        <w:t xml:space="preserve">Carpetas:</w:t>
      </w:r>
      <w:r>
        <w:rPr>
          <w:rFonts w:ascii="Calibri" w:cs="Calibri" w:eastAsia="Calibri" w:hAnsi="Calibri"/>
          <w:color w:val="20242B"/>
          <w:sz w:val="21"/>
          <w:szCs w:val="21"/>
        </w:rPr>
        <w:t xml:space="preserve"> </w:t>
      </w:r>
      <w:r>
        <w:rPr>
          <w:rFonts w:ascii="Consolas" w:cs="Consolas" w:eastAsia="Consolas" w:hAnsi="Consolas"/>
          <w:color w:val="345D9D"/>
          <w:sz w:val="19"/>
          <w:szCs w:val="19"/>
        </w:rPr>
        <w:t xml:space="preserve">src/modelos/</w:t>
      </w:r>
    </w:p>
    <w:p>
      <w:pPr>
        <w:spacing w:after="140" w:line="276"/>
      </w:pPr>
      <w:r>
        <w:rPr>
          <w:rFonts w:ascii="Calibri" w:cs="Calibri" w:eastAsia="Calibri" w:hAnsi="Calibri"/>
          <w:b/>
          <w:bCs/>
          <w:color w:val="20242B"/>
          <w:sz w:val="21"/>
          <w:szCs w:val="21"/>
        </w:rPr>
        <w:t xml:space="preserve">Su marco teórico:</w:t>
      </w:r>
      <w:r>
        <w:rPr>
          <w:rFonts w:ascii="Calibri" w:cs="Calibri" w:eastAsia="Calibri" w:hAnsi="Calibri"/>
          <w:color w:val="20242B"/>
          <w:sz w:val="21"/>
          <w:szCs w:val="21"/>
        </w:rPr>
        <w:t xml:space="preserve"> modelos fundacionales de series de tiempo, VTA, FinLSPM y CryptoMamba.</w:t>
      </w:r>
    </w:p>
    <w:p>
      <w:pPr>
        <w:pStyle w:val="Heading2"/>
      </w:pPr>
      <w:r>
        <w:t xml:space="preserve">7.1 Por qué este reparto</w:t>
      </w:r>
    </w:p>
    <w:p>
      <w:pPr>
        <w:spacing w:after="140" w:line="276"/>
      </w:pPr>
      <w:r>
        <w:rPr>
          <w:rFonts w:ascii="Calibri" w:cs="Calibri" w:eastAsia="Calibri" w:hAnsi="Calibri"/>
          <w:color w:val="20242B"/>
          <w:sz w:val="21"/>
          <w:szCs w:val="21"/>
        </w:rPr>
        <w:t xml:space="preserve">No es al azar. Cada quien está donde ya demostró que rinde: en el proyecto anterior del equipo, Jose Pablo llevó interfaz y visualización, Isaac llevó la parte de inteligencia artificial, y Alejandro llevó el núcleo y la integración — que acá corresponde a los contratos de etiquetado.</w:t>
      </w:r>
    </w:p>
    <w:p>
      <w:pPr>
        <w:pStyle w:val="Heading2"/>
      </w:pPr>
      <w:r>
        <w:t xml:space="preserve">7.2 Sobre exponer</w:t>
      </w:r>
    </w:p>
    <w:p>
      <w:pPr>
        <w:spacing w:after="140" w:line="276"/>
      </w:pPr>
      <w:r>
        <w:rPr>
          <w:rFonts w:ascii="Calibri" w:cs="Calibri" w:eastAsia="Calibri" w:hAnsi="Calibri"/>
          <w:color w:val="20242B"/>
          <w:sz w:val="21"/>
          <w:szCs w:val="21"/>
        </w:rPr>
        <w:t xml:space="preserve">Cada semana, </w:t>
      </w:r>
      <w:r>
        <w:rPr>
          <w:rFonts w:ascii="Calibri" w:cs="Calibri" w:eastAsia="Calibri" w:hAnsi="Calibri"/>
          <w:b/>
          <w:bCs/>
          <w:color w:val="20242B"/>
          <w:sz w:val="21"/>
          <w:szCs w:val="21"/>
        </w:rPr>
        <w:t xml:space="preserve">cada persona expone el módulo de otro</w:t>
      </w:r>
      <w:r>
        <w:rPr>
          <w:rFonts w:ascii="Calibri" w:cs="Calibri" w:eastAsia="Calibri" w:hAnsi="Calibri"/>
          <w:color w:val="20242B"/>
          <w:sz w:val="21"/>
          <w:szCs w:val="21"/>
        </w:rPr>
        <w:t xml:space="preserve">, rotando. Esto no es trabajo compartido: cada quien sigue construyendo solo lo suyo. Es un ensayo.</w:t>
      </w:r>
    </w:p>
    <w:p>
      <w:pPr>
        <w:spacing w:after="140" w:line="276"/>
      </w:pPr>
      <w:r>
        <w:rPr>
          <w:rFonts w:ascii="Calibri" w:cs="Calibri" w:eastAsia="Calibri" w:hAnsi="Calibri"/>
          <w:color w:val="20242B"/>
          <w:sz w:val="21"/>
          <w:szCs w:val="21"/>
        </w:rPr>
        <w:t xml:space="preserve">La razón es concreta: dos de los seis criterios de la rúbrica evalúan la exposición y la comunicación, y suman lo mismo que contenido y análisis juntos. Si llegamos a la semana 5 con cuatro especialistas que solo saben defender su parte, perdemos ahí. Además, si alguien falta el día de la presentación, no se cae el avance.</w:t>
      </w:r>
    </w:p>
    <w:p>
      <w:pPr>
        <w:pStyle w:val="Heading1"/>
      </w:pPr>
      <w:r>
        <w:t xml:space="preserve">8. Los contratos congelados</w:t>
      </w:r>
    </w:p>
    <w:p>
      <w:pPr>
        <w:spacing w:after="140" w:line="276"/>
      </w:pPr>
      <w:r>
        <w:rPr>
          <w:rFonts w:ascii="Calibri" w:cs="Calibri" w:eastAsia="Calibri" w:hAnsi="Calibri"/>
          <w:color w:val="20242B"/>
          <w:sz w:val="21"/>
          <w:szCs w:val="21"/>
        </w:rPr>
        <w:t xml:space="preserve">Un contrato es una definición que varios módulos usan y que </w:t>
      </w:r>
      <w:r>
        <w:rPr>
          <w:rFonts w:ascii="Calibri" w:cs="Calibri" w:eastAsia="Calibri" w:hAnsi="Calibri"/>
          <w:b/>
          <w:bCs/>
          <w:color w:val="20242B"/>
          <w:sz w:val="21"/>
          <w:szCs w:val="21"/>
        </w:rPr>
        <w:t xml:space="preserve">nadie cambia por su cuenta</w:t>
      </w:r>
      <w:r>
        <w:rPr>
          <w:rFonts w:ascii="Calibri" w:cs="Calibri" w:eastAsia="Calibri" w:hAnsi="Calibri"/>
          <w:color w:val="20242B"/>
          <w:sz w:val="21"/>
          <w:szCs w:val="21"/>
        </w:rPr>
        <w:t xml:space="preserve">. Son la razón por la que se puede trabajar en paralelo sin pisarse. Se congelan al cierre de la Semana 1 y viven en </w:t>
      </w:r>
      <w:r>
        <w:rPr>
          <w:rFonts w:ascii="Consolas" w:cs="Consolas" w:eastAsia="Consolas" w:hAnsi="Consolas"/>
          <w:color w:val="345D9D"/>
          <w:sz w:val="19"/>
          <w:szCs w:val="19"/>
        </w:rPr>
        <w:t xml:space="preserve">contracts/</w:t>
      </w:r>
      <w:r>
        <w:rPr>
          <w:rFonts w:ascii="Calibri" w:cs="Calibri" w:eastAsia="Calibri" w:hAnsi="Calibri"/>
          <w:color w:val="20242B"/>
          <w:sz w:val="21"/>
          <w:szCs w:val="21"/>
        </w:rPr>
        <w:t xml:space="preserve">.</w:t>
      </w:r>
    </w:p>
    <w:tbl>
      <w:tblPr>
        <w:tblW w:type="dxa" w:w="9360"/>
        <w:tblBorders>
          <w:top w:val="single" w:color="1B2A4A" w:sz="4"/>
          <w:left w:val="none"/>
          <w:bottom w:val="single" w:color="1B2A4A" w:sz="4"/>
          <w:right w:val="none"/>
          <w:insideH w:val="single" w:color="C9D3E0" w:sz="2"/>
          <w:insideV w:val="none"/>
        </w:tblBorders>
      </w:tblPr>
      <w:tblGrid>
        <w:gridCol w:w="2059"/>
        <w:gridCol w:w="4961"/>
        <w:gridCol w:w="2340"/>
      </w:tblGrid>
      <w:tr>
        <w:trPr>
          <w:tblHeader/>
        </w:trPr>
        <w:tc>
          <w:tcPr>
            <w:tcW w:type="dxa" w:w="2059"/>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Contrato</w:t>
            </w:r>
          </w:p>
        </w:tc>
        <w:tc>
          <w:tcPr>
            <w:tcW w:type="dxa" w:w="4961"/>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Qué fija</w:t>
            </w:r>
          </w:p>
        </w:tc>
        <w:tc>
          <w:tcPr>
            <w:tcW w:type="dxa" w:w="2340"/>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Quién lo consume</w:t>
            </w:r>
          </w:p>
        </w:tc>
      </w:tr>
      <w:tr>
        <w:tc>
          <w:tcPr>
            <w:tcW w:type="dxa" w:w="2059"/>
            <w:shd w:fill="F7F9FC" w:val="clear"/>
            <w:tcMar>
              <w:top w:type="dxa" w:w="90"/>
              <w:left w:type="dxa" w:w="130"/>
              <w:bottom w:type="dxa" w:w="90"/>
              <w:right w:type="dxa" w:w="130"/>
            </w:tcMar>
            <w:vAlign w:val="top"/>
          </w:tcPr>
          <w:p>
            <w:pPr>
              <w:spacing w:after="0" w:line="252"/>
            </w:pPr>
            <w:r>
              <w:rPr>
                <w:rFonts w:ascii="Consolas" w:cs="Consolas" w:eastAsia="Consolas" w:hAnsi="Consolas"/>
                <w:color w:val="345D9D"/>
                <w:sz w:val="17"/>
                <w:szCs w:val="17"/>
              </w:rPr>
              <w:t xml:space="preserve">schema.py</w:t>
            </w:r>
          </w:p>
        </w:tc>
        <w:tc>
          <w:tcPr>
            <w:tcW w:type="dxa" w:w="4961"/>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Columnas exactas del panel, tipos y zona horaria</w:t>
            </w:r>
          </w:p>
        </w:tc>
        <w:tc>
          <w:tcPr>
            <w:tcW w:type="dxa" w:w="2340"/>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M1, M2, M3</w:t>
            </w:r>
          </w:p>
        </w:tc>
      </w:tr>
      <w:tr>
        <w:tc>
          <w:tcPr>
            <w:tcW w:type="dxa" w:w="2059"/>
            <w:shd w:fill="FFFFFF" w:val="clear"/>
            <w:tcMar>
              <w:top w:type="dxa" w:w="90"/>
              <w:left w:type="dxa" w:w="130"/>
              <w:bottom w:type="dxa" w:w="90"/>
              <w:right w:type="dxa" w:w="130"/>
            </w:tcMar>
            <w:vAlign w:val="top"/>
          </w:tcPr>
          <w:p>
            <w:pPr>
              <w:spacing w:after="0" w:line="252"/>
            </w:pPr>
            <w:r>
              <w:rPr>
                <w:rFonts w:ascii="Consolas" w:cs="Consolas" w:eastAsia="Consolas" w:hAnsi="Consolas"/>
                <w:color w:val="345D9D"/>
                <w:sz w:val="17"/>
                <w:szCs w:val="17"/>
              </w:rPr>
              <w:t xml:space="preserve">labeling.py</w:t>
            </w:r>
          </w:p>
        </w:tc>
        <w:tc>
          <w:tcPr>
            <w:tcW w:type="dxa" w:w="4961"/>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La función que asigna Máximo / Mínimo / Continuidad</w:t>
            </w:r>
          </w:p>
        </w:tc>
        <w:tc>
          <w:tcPr>
            <w:tcW w:type="dxa" w:w="2340"/>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M2, M3, M0</w:t>
            </w:r>
          </w:p>
        </w:tc>
      </w:tr>
      <w:tr>
        <w:tc>
          <w:tcPr>
            <w:tcW w:type="dxa" w:w="2059"/>
            <w:shd w:fill="F7F9FC" w:val="clear"/>
            <w:tcMar>
              <w:top w:type="dxa" w:w="90"/>
              <w:left w:type="dxa" w:w="130"/>
              <w:bottom w:type="dxa" w:w="90"/>
              <w:right w:type="dxa" w:w="130"/>
            </w:tcMar>
            <w:vAlign w:val="top"/>
          </w:tcPr>
          <w:p>
            <w:pPr>
              <w:spacing w:after="0" w:line="252"/>
            </w:pPr>
            <w:r>
              <w:rPr>
                <w:rFonts w:ascii="Consolas" w:cs="Consolas" w:eastAsia="Consolas" w:hAnsi="Consolas"/>
                <w:color w:val="345D9D"/>
                <w:sz w:val="17"/>
                <w:szCs w:val="17"/>
              </w:rPr>
              <w:t xml:space="preserve">splits.py</w:t>
            </w:r>
          </w:p>
        </w:tc>
        <w:tc>
          <w:tcPr>
            <w:tcW w:type="dxa" w:w="4961"/>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Las fechas exactas de entrenamiento, validación y prueba</w:t>
            </w:r>
          </w:p>
        </w:tc>
        <w:tc>
          <w:tcPr>
            <w:tcW w:type="dxa" w:w="2340"/>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M3, M0</w:t>
            </w:r>
          </w:p>
        </w:tc>
      </w:tr>
      <w:tr>
        <w:tc>
          <w:tcPr>
            <w:tcW w:type="dxa" w:w="2059"/>
            <w:shd w:fill="FFFFFF" w:val="clear"/>
            <w:tcMar>
              <w:top w:type="dxa" w:w="90"/>
              <w:left w:type="dxa" w:w="130"/>
              <w:bottom w:type="dxa" w:w="90"/>
              <w:right w:type="dxa" w:w="130"/>
            </w:tcMar>
            <w:vAlign w:val="top"/>
          </w:tcPr>
          <w:p>
            <w:pPr>
              <w:spacing w:after="0" w:line="252"/>
            </w:pPr>
            <w:r>
              <w:rPr>
                <w:rFonts w:ascii="Consolas" w:cs="Consolas" w:eastAsia="Consolas" w:hAnsi="Consolas"/>
                <w:color w:val="345D9D"/>
                <w:sz w:val="17"/>
                <w:szCs w:val="17"/>
              </w:rPr>
              <w:t xml:space="preserve">metrics.py</w:t>
            </w:r>
          </w:p>
        </w:tc>
        <w:tc>
          <w:tcPr>
            <w:tcW w:type="dxa" w:w="4961"/>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Las firmas de todas las métricas</w:t>
            </w:r>
          </w:p>
        </w:tc>
        <w:tc>
          <w:tcPr>
            <w:tcW w:type="dxa" w:w="2340"/>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M3, M0, M1</w:t>
            </w:r>
          </w:p>
        </w:tc>
      </w:tr>
    </w:tbl>
    <w:p>
      <w:pPr>
        <w:spacing w:after="240"/>
      </w:pPr>
    </w:p>
    <w:p>
      <w:pPr>
        <w:spacing w:after="140" w:line="276"/>
      </w:pPr>
      <w:r>
        <w:rPr>
          <w:rFonts w:ascii="Calibri" w:cs="Calibri" w:eastAsia="Calibri" w:hAnsi="Calibri"/>
          <w:b/>
          <w:bCs/>
          <w:color w:val="20242B"/>
          <w:sz w:val="21"/>
          <w:szCs w:val="21"/>
        </w:rPr>
        <w:t xml:space="preserve">Cómo se cambia un contrato:</w:t>
      </w:r>
      <w:r>
        <w:rPr>
          <w:rFonts w:ascii="Calibri" w:cs="Calibri" w:eastAsia="Calibri" w:hAnsi="Calibri"/>
          <w:color w:val="20242B"/>
          <w:sz w:val="21"/>
          <w:szCs w:val="21"/>
        </w:rPr>
        <w:t xml:space="preserve"> se propone por escrito, con la razón y qué se rompe. Lo aprueban el PM y quien lo consume. Se cambia en un solo lugar y se vuelve a correr todo. Nunca se parcha en cuatro archivos distintos.</w:t>
      </w:r>
    </w:p>
    <w:tbl>
      <w:tblPr>
        <w:tblW w:type="dxa" w:w="9360"/>
        <w:tblBorders>
          <w:top w:val="single" w:color="EEF2F8" w:sz="2"/>
          <w:left w:val="single" w:color="345D9D" w:sz="18"/>
          <w:bottom w:val="single" w:color="EEF2F8" w:sz="2"/>
          <w:right w:val="single" w:color="EEF2F8" w:sz="2"/>
          <w:insideH w:val="none"/>
          <w:insideV w:val="none"/>
        </w:tblBorders>
      </w:tblPr>
      <w:tblGrid>
        <w:gridCol w:w="9360"/>
      </w:tblGrid>
      <w:tr>
        <w:tc>
          <w:tcPr>
            <w:tcW w:type="dxa" w:w="9360"/>
            <w:shd w:fill="EEF2F8" w:val="clear"/>
            <w:tcMar>
              <w:top w:type="dxa" w:w="160"/>
              <w:left w:type="dxa" w:w="220"/>
              <w:bottom w:type="dxa" w:w="160"/>
              <w:right w:type="dxa" w:w="220"/>
            </w:tcMar>
          </w:tcPr>
          <w:p>
            <w:pPr>
              <w:spacing w:after="0" w:line="264"/>
            </w:pPr>
            <w:r>
              <w:rPr>
                <w:rFonts w:ascii="Calibri" w:cs="Calibri" w:eastAsia="Calibri" w:hAnsi="Calibri"/>
                <w:b/>
                <w:bCs/>
                <w:color w:val="20242B"/>
                <w:sz w:val="20"/>
                <w:szCs w:val="20"/>
              </w:rPr>
              <w:t xml:space="preserve">Por qué esto importa tanto:</w:t>
            </w:r>
            <w:r>
              <w:rPr>
                <w:rFonts w:ascii="Calibri" w:cs="Calibri" w:eastAsia="Calibri" w:hAnsi="Calibri"/>
                <w:color w:val="20242B"/>
                <w:sz w:val="20"/>
                <w:szCs w:val="20"/>
              </w:rPr>
              <w:t xml:space="preserve"> si en la semana 3 Alejandro está etiquetando con una ventana de 5 e Isaac entrenó con una de 10, los resultados no son comparables entre sí y no hay forma de saber cuál modelo es mejor. Peor: no nos vamos a dar cuenta hasta que los números no cuadren, probablemente en la semana 4, cuando ya no hay tiempo para rehacer.</w:t>
            </w:r>
          </w:p>
        </w:tc>
      </w:tr>
    </w:tbl>
    <w:p>
      <w:pPr>
        <w:spacing w:after="120"/>
      </w:pPr>
    </w:p>
    <w:p>
      <w:pPr>
        <w:pStyle w:val="Heading2"/>
      </w:pPr>
      <w:r>
        <w:t xml:space="preserve">8.1 Estándar de figuras</w:t>
      </w:r>
    </w:p>
    <w:p>
      <w:pPr>
        <w:spacing w:after="140" w:line="276"/>
      </w:pPr>
      <w:r>
        <w:rPr>
          <w:rFonts w:ascii="Consolas" w:cs="Consolas" w:eastAsia="Consolas" w:hAnsi="Consolas"/>
          <w:color w:val="345D9D"/>
          <w:sz w:val="19"/>
          <w:szCs w:val="19"/>
        </w:rPr>
        <w:t xml:space="preserve">src/visual/estilo.py</w:t>
      </w:r>
      <w:r>
        <w:rPr>
          <w:rFonts w:ascii="Calibri" w:cs="Calibri" w:eastAsia="Calibri" w:hAnsi="Calibri"/>
          <w:color w:val="20242B"/>
          <w:sz w:val="21"/>
          <w:szCs w:val="21"/>
        </w:rPr>
        <w:t xml:space="preserve"> contiene la paleta, la hoja de estilo y las funciones de ayuda. </w:t>
      </w:r>
      <w:r>
        <w:rPr>
          <w:rFonts w:ascii="Calibri" w:cs="Calibri" w:eastAsia="Calibri" w:hAnsi="Calibri"/>
          <w:b/>
          <w:bCs/>
          <w:color w:val="20242B"/>
          <w:sz w:val="21"/>
          <w:szCs w:val="21"/>
        </w:rPr>
        <w:t xml:space="preserve">Cada módulo genera sus propias figuras llamando a eso.</w:t>
      </w:r>
      <w:r>
        <w:rPr>
          <w:rFonts w:ascii="Calibri" w:cs="Calibri" w:eastAsia="Calibri" w:hAnsi="Calibri"/>
          <w:color w:val="20242B"/>
          <w:sz w:val="21"/>
          <w:szCs w:val="21"/>
        </w:rPr>
        <w:t xml:space="preserve"> Nadie espera a nadie, y salen consistentes porque comparten el código, no porque alguien se acuerde de una convención.</w:t>
      </w:r>
    </w:p>
    <w:p>
      <w:pPr>
        <w:spacing w:after="140" w:line="276"/>
      </w:pPr>
      <w:r>
        <w:rPr>
          <w:rFonts w:ascii="Calibri" w:cs="Calibri" w:eastAsia="Calibri" w:hAnsi="Calibri"/>
          <w:color w:val="20242B"/>
          <w:sz w:val="21"/>
          <w:szCs w:val="21"/>
        </w:rPr>
        <w:t xml:space="preserve">La aplicación web usa la misma paleta que las figuras del informe. El demo y el documento tienen que parecer el mismo proyecto.</w:t>
      </w:r>
    </w:p>
    <w:p>
      <w:pPr>
        <w:pStyle w:val="Heading1"/>
      </w:pPr>
      <w:r>
        <w:t xml:space="preserve">9. Plan por semanas</w:t>
      </w:r>
    </w:p>
    <w:p>
      <w:pPr>
        <w:spacing w:after="140" w:line="276"/>
      </w:pPr>
      <w:r>
        <w:rPr>
          <w:rFonts w:ascii="Calibri" w:cs="Calibri" w:eastAsia="Calibri" w:hAnsi="Calibri"/>
          <w:color w:val="20242B"/>
          <w:sz w:val="21"/>
          <w:szCs w:val="21"/>
        </w:rPr>
        <w:t xml:space="preserve">Las fechas de cierre están </w:t>
      </w:r>
      <w:r>
        <w:rPr>
          <w:rFonts w:ascii="Calibri" w:cs="Calibri" w:eastAsia="Calibri" w:hAnsi="Calibri"/>
          <w:b/>
          <w:bCs/>
          <w:color w:val="20242B"/>
          <w:sz w:val="21"/>
          <w:szCs w:val="21"/>
        </w:rPr>
        <w:t xml:space="preserve">por confirmar con el profesor</w:t>
      </w:r>
      <w:r>
        <w:rPr>
          <w:rFonts w:ascii="Calibri" w:cs="Calibri" w:eastAsia="Calibri" w:hAnsi="Calibri"/>
          <w:color w:val="20242B"/>
          <w:sz w:val="21"/>
          <w:szCs w:val="21"/>
        </w:rPr>
        <w:t xml:space="preserve">.</w:t>
      </w:r>
    </w:p>
    <w:tbl>
      <w:tblPr>
        <w:tblW w:type="dxa" w:w="9360"/>
        <w:tblBorders>
          <w:top w:val="single" w:color="1B2A4A" w:sz="4"/>
          <w:left w:val="none"/>
          <w:bottom w:val="single" w:color="1B2A4A" w:sz="4"/>
          <w:right w:val="none"/>
          <w:insideH w:val="single" w:color="C9D3E0" w:sz="2"/>
          <w:insideV w:val="none"/>
        </w:tblBorders>
      </w:tblPr>
      <w:tblGrid>
        <w:gridCol w:w="842"/>
        <w:gridCol w:w="1310"/>
        <w:gridCol w:w="3557"/>
        <w:gridCol w:w="3651"/>
      </w:tblGrid>
      <w:tr>
        <w:trPr>
          <w:tblHeader/>
        </w:trPr>
        <w:tc>
          <w:tcPr>
            <w:tcW w:type="dxa" w:w="842"/>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Semana</w:t>
            </w:r>
          </w:p>
        </w:tc>
        <w:tc>
          <w:tcPr>
            <w:tcW w:type="dxa" w:w="1310"/>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Cierre estimado</w:t>
            </w:r>
          </w:p>
        </w:tc>
        <w:tc>
          <w:tcPr>
            <w:tcW w:type="dxa" w:w="3557"/>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Entregable del enunciado</w:t>
            </w:r>
          </w:p>
        </w:tc>
        <w:tc>
          <w:tcPr>
            <w:tcW w:type="dxa" w:w="3651"/>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Qué se construye en paralelo</w:t>
            </w:r>
          </w:p>
        </w:tc>
      </w:tr>
      <w:tr>
        <w:tc>
          <w:tcPr>
            <w:tcW w:type="dxa" w:w="842"/>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1</w:t>
            </w:r>
          </w:p>
        </w:tc>
        <w:tc>
          <w:tcPr>
            <w:tcW w:type="dxa" w:w="1310"/>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~11/08</w:t>
            </w:r>
          </w:p>
        </w:tc>
        <w:tc>
          <w:tcPr>
            <w:tcW w:type="dxa" w:w="355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Marco teórico: series temporales y criptoactivos</w:t>
            </w:r>
          </w:p>
        </w:tc>
        <w:tc>
          <w:tcPr>
            <w:tcW w:type="dxa" w:w="3651"/>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Repositorio, entorno, dataset canónico, contratos congelados</w:t>
            </w:r>
          </w:p>
        </w:tc>
      </w:tr>
      <w:tr>
        <w:tc>
          <w:tcPr>
            <w:tcW w:type="dxa" w:w="842"/>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2</w:t>
            </w:r>
          </w:p>
        </w:tc>
        <w:tc>
          <w:tcPr>
            <w:tcW w:type="dxa" w:w="1310"/>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~18/08</w:t>
            </w:r>
          </w:p>
        </w:tc>
        <w:tc>
          <w:tcPr>
            <w:tcW w:type="dxa" w:w="3557"/>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Marco teórico: modelos y definición del pipeline</w:t>
            </w:r>
          </w:p>
        </w:tc>
        <w:tc>
          <w:tcPr>
            <w:tcW w:type="dxa" w:w="3651"/>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Características, entorno de entrenamiento, esqueleto de la app contra datos falsos</w:t>
            </w:r>
          </w:p>
        </w:tc>
      </w:tr>
      <w:tr>
        <w:tc>
          <w:tcPr>
            <w:tcW w:type="dxa" w:w="842"/>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3</w:t>
            </w:r>
          </w:p>
        </w:tc>
        <w:tc>
          <w:tcPr>
            <w:tcW w:type="dxa" w:w="1310"/>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~25/08</w:t>
            </w:r>
          </w:p>
        </w:tc>
        <w:tc>
          <w:tcPr>
            <w:tcW w:type="dxa" w:w="355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Modelo fundacional y pruebas de detección</w:t>
            </w:r>
          </w:p>
        </w:tc>
        <w:tc>
          <w:tcPr>
            <w:tcW w:type="dxa" w:w="3651"/>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App conectada al modelo real, modos sintético e histórico</w:t>
            </w:r>
          </w:p>
        </w:tc>
      </w:tr>
      <w:tr>
        <w:tc>
          <w:tcPr>
            <w:tcW w:type="dxa" w:w="842"/>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4</w:t>
            </w:r>
          </w:p>
        </w:tc>
        <w:tc>
          <w:tcPr>
            <w:tcW w:type="dxa" w:w="1310"/>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~01/09</w:t>
            </w:r>
          </w:p>
        </w:tc>
        <w:tc>
          <w:tcPr>
            <w:tcW w:type="dxa" w:w="3557"/>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Modelo avanzado y pruebas de detección</w:t>
            </w:r>
          </w:p>
        </w:tc>
        <w:tc>
          <w:tcPr>
            <w:tcW w:type="dxa" w:w="3651"/>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Modo tiempo real, comparación de modelos</w:t>
            </w:r>
          </w:p>
        </w:tc>
      </w:tr>
      <w:tr>
        <w:tc>
          <w:tcPr>
            <w:tcW w:type="dxa" w:w="842"/>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5</w:t>
            </w:r>
          </w:p>
        </w:tc>
        <w:tc>
          <w:tcPr>
            <w:tcW w:type="dxa" w:w="1310"/>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08/09</w:t>
            </w:r>
          </w:p>
        </w:tc>
        <w:tc>
          <w:tcPr>
            <w:tcW w:type="dxa" w:w="355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Reporte final y presentación</w:t>
            </w:r>
          </w:p>
        </w:tc>
        <w:tc>
          <w:tcPr>
            <w:tcW w:type="dxa" w:w="3651"/>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Cierre, ensayo, evidencias</w:t>
            </w:r>
          </w:p>
        </w:tc>
      </w:tr>
    </w:tbl>
    <w:p>
      <w:pPr>
        <w:spacing w:after="240"/>
      </w:pPr>
    </w:p>
    <w:tbl>
      <w:tblPr>
        <w:tblW w:type="dxa" w:w="9360"/>
        <w:tblBorders>
          <w:top w:val="single" w:color="EEF2F8" w:sz="2"/>
          <w:left w:val="single" w:color="345D9D" w:sz="18"/>
          <w:bottom w:val="single" w:color="EEF2F8" w:sz="2"/>
          <w:right w:val="single" w:color="EEF2F8" w:sz="2"/>
          <w:insideH w:val="none"/>
          <w:insideV w:val="none"/>
        </w:tblBorders>
      </w:tblPr>
      <w:tblGrid>
        <w:gridCol w:w="9360"/>
      </w:tblGrid>
      <w:tr>
        <w:tc>
          <w:tcPr>
            <w:tcW w:type="dxa" w:w="9360"/>
            <w:shd w:fill="EEF2F8" w:val="clear"/>
            <w:tcMar>
              <w:top w:type="dxa" w:w="160"/>
              <w:left w:type="dxa" w:w="220"/>
              <w:bottom w:type="dxa" w:w="160"/>
              <w:right w:type="dxa" w:w="220"/>
            </w:tcMar>
          </w:tcPr>
          <w:p>
            <w:pPr>
              <w:spacing w:after="100" w:line="264"/>
            </w:pPr>
            <w:r>
              <w:rPr>
                <w:rFonts w:ascii="Calibri" w:cs="Calibri" w:eastAsia="Calibri" w:hAnsi="Calibri"/>
                <w:b/>
                <w:bCs/>
                <w:color w:val="20242B"/>
                <w:sz w:val="20"/>
                <w:szCs w:val="20"/>
              </w:rPr>
              <w:t xml:space="preserve">Decisión clave del plan:</w:t>
            </w:r>
            <w:r>
              <w:rPr>
                <w:rFonts w:ascii="Calibri" w:cs="Calibri" w:eastAsia="Calibri" w:hAnsi="Calibri"/>
                <w:color w:val="20242B"/>
                <w:sz w:val="20"/>
                <w:szCs w:val="20"/>
              </w:rPr>
              <w:t xml:space="preserve"> el enunciado pide que las semanas 1 y 2 sean solo teoría. No lo hacemos así. Escribimos la teoría </w:t>
            </w:r>
            <w:r>
              <w:rPr>
                <w:rFonts w:ascii="Calibri" w:cs="Calibri" w:eastAsia="Calibri" w:hAnsi="Calibri"/>
                <w:b/>
                <w:bCs/>
                <w:color w:val="20242B"/>
                <w:sz w:val="20"/>
                <w:szCs w:val="20"/>
              </w:rPr>
              <w:t xml:space="preserve">y</w:t>
            </w:r>
            <w:r>
              <w:rPr>
                <w:rFonts w:ascii="Calibri" w:cs="Calibri" w:eastAsia="Calibri" w:hAnsi="Calibri"/>
                <w:color w:val="20242B"/>
                <w:sz w:val="20"/>
                <w:szCs w:val="20"/>
              </w:rPr>
              <w:t xml:space="preserve"> construimos el pipeline en paralelo desde la primera semana.</w:t>
            </w:r>
          </w:p>
          <w:p>
            <w:pPr>
              <w:spacing w:after="0" w:line="264"/>
            </w:pPr>
            <w:r>
              <w:rPr>
                <w:rFonts w:ascii="Calibri" w:cs="Calibri" w:eastAsia="Calibri" w:hAnsi="Calibri"/>
                <w:color w:val="20242B"/>
                <w:sz w:val="20"/>
                <w:szCs w:val="20"/>
              </w:rPr>
              <w:t xml:space="preserve">Si esperamos a la semana 3 para tocar código, las semanas 4 y 5 se convierten en una carrera y no queda margen para probar de verdad ni para ensayar la presentación. El entregable semanal se respeta tal cual lo pide el enunciado; el código adicional es nuestro colchón, no un cambio de alcance.</w:t>
            </w:r>
          </w:p>
        </w:tc>
      </w:tr>
    </w:tbl>
    <w:p>
      <w:pPr>
        <w:spacing w:after="120"/>
      </w:pPr>
    </w:p>
    <w:p>
      <w:pPr>
        <w:pStyle w:val="Heading1"/>
      </w:pPr>
      <w:r>
        <w:t xml:space="preserve">10. Cadencia semanal</w:t>
      </w:r>
    </w:p>
    <w:tbl>
      <w:tblPr>
        <w:tblW w:type="dxa" w:w="9360"/>
        <w:tblBorders>
          <w:top w:val="single" w:color="1B2A4A" w:sz="4"/>
          <w:left w:val="none"/>
          <w:bottom w:val="single" w:color="1B2A4A" w:sz="4"/>
          <w:right w:val="none"/>
          <w:insideH w:val="single" w:color="C9D3E0" w:sz="2"/>
          <w:insideV w:val="none"/>
        </w:tblBorders>
      </w:tblPr>
      <w:tblGrid>
        <w:gridCol w:w="1685"/>
        <w:gridCol w:w="7675"/>
      </w:tblGrid>
      <w:tr>
        <w:trPr>
          <w:tblHeader/>
        </w:trPr>
        <w:tc>
          <w:tcPr>
            <w:tcW w:type="dxa" w:w="1685"/>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Cuándo</w:t>
            </w:r>
          </w:p>
        </w:tc>
        <w:tc>
          <w:tcPr>
            <w:tcW w:type="dxa" w:w="7675"/>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Qué</w:t>
            </w:r>
          </w:p>
        </w:tc>
      </w:tr>
      <w:tr>
        <w:tc>
          <w:tcPr>
            <w:tcW w:type="dxa" w:w="1685"/>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Lunes</w:t>
            </w:r>
          </w:p>
        </w:tc>
        <w:tc>
          <w:tcPr>
            <w:tcW w:type="dxa" w:w="7675"/>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Reunión de 30 minutos. Cada uno dice qué entrega esta semana y qué lo puede bloquear. Se cierra el alcance de la semana.</w:t>
            </w:r>
          </w:p>
        </w:tc>
      </w:tr>
      <w:tr>
        <w:tc>
          <w:tcPr>
            <w:tcW w:type="dxa" w:w="1685"/>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Todos los días</w:t>
            </w:r>
          </w:p>
        </w:tc>
        <w:tc>
          <w:tcPr>
            <w:tcW w:type="dxa" w:w="7675"/>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Cada quien sube su trabajo a su rama, aunque esté incompleto. Un día sin subir nada es una señal de alarma, no un problema de disciplina.</w:t>
            </w:r>
          </w:p>
        </w:tc>
      </w:tr>
      <w:tr>
        <w:tc>
          <w:tcPr>
            <w:tcW w:type="dxa" w:w="1685"/>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Jueves</w:t>
            </w:r>
          </w:p>
        </w:tc>
        <w:tc>
          <w:tcPr>
            <w:tcW w:type="dxa" w:w="7675"/>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Corte. Cada módulo entrega su sección del documento y sus figuras.</w:t>
            </w:r>
          </w:p>
        </w:tc>
      </w:tr>
      <w:tr>
        <w:tc>
          <w:tcPr>
            <w:tcW w:type="dxa" w:w="1685"/>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Viernes</w:t>
            </w:r>
          </w:p>
        </w:tc>
        <w:tc>
          <w:tcPr>
            <w:tcW w:type="dxa" w:w="7675"/>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El PM ensambla el documento y el deck. Ensayo con exposición cruzada.</w:t>
            </w:r>
          </w:p>
        </w:tc>
      </w:tr>
    </w:tbl>
    <w:p>
      <w:pPr>
        <w:spacing w:after="240"/>
      </w:pPr>
    </w:p>
    <w:p>
      <w:pPr>
        <w:spacing w:after="140" w:line="276"/>
      </w:pPr>
      <w:r>
        <w:rPr>
          <w:rFonts w:ascii="Calibri" w:cs="Calibri" w:eastAsia="Calibri" w:hAnsi="Calibri"/>
          <w:b/>
          <w:bCs/>
          <w:color w:val="20242B"/>
          <w:sz w:val="21"/>
          <w:szCs w:val="21"/>
        </w:rPr>
        <w:t xml:space="preserve">Regla de desbloqueo:</w:t>
      </w:r>
      <w:r>
        <w:rPr>
          <w:rFonts w:ascii="Calibri" w:cs="Calibri" w:eastAsia="Calibri" w:hAnsi="Calibri"/>
          <w:color w:val="20242B"/>
          <w:sz w:val="21"/>
          <w:szCs w:val="21"/>
        </w:rPr>
        <w:t xml:space="preserve"> si alguien está trabado más de un día, lo dice. No hay premio por sufrir en silencio, y en un proyecto de cinco semanas un día perdido es el 3 % del tiempo total.</w:t>
      </w:r>
    </w:p>
    <w:p>
      <w:pPr>
        <w:spacing w:after="140" w:line="276"/>
      </w:pPr>
      <w:r>
        <w:rPr>
          <w:rFonts w:ascii="Calibri" w:cs="Calibri" w:eastAsia="Calibri" w:hAnsi="Calibri"/>
          <w:b/>
          <w:bCs/>
          <w:color w:val="20242B"/>
          <w:sz w:val="21"/>
          <w:szCs w:val="21"/>
        </w:rPr>
        <w:t xml:space="preserve">Regla de datos que no existen:</w:t>
      </w:r>
      <w:r>
        <w:rPr>
          <w:rFonts w:ascii="Calibri" w:cs="Calibri" w:eastAsia="Calibri" w:hAnsi="Calibri"/>
          <w:color w:val="20242B"/>
          <w:sz w:val="21"/>
          <w:szCs w:val="21"/>
        </w:rPr>
        <w:t xml:space="preserve"> si alguien va a construir algo que depende de datos, de una API o de un archivo que todavía no existe, lo avisa </w:t>
      </w:r>
      <w:r>
        <w:rPr>
          <w:rFonts w:ascii="Calibri" w:cs="Calibri" w:eastAsia="Calibri" w:hAnsi="Calibri"/>
          <w:b/>
          <w:bCs/>
          <w:color w:val="20242B"/>
          <w:sz w:val="21"/>
          <w:szCs w:val="21"/>
        </w:rPr>
        <w:t xml:space="preserve">antes de empezar</w:t>
      </w:r>
      <w:r>
        <w:rPr>
          <w:rFonts w:ascii="Calibri" w:cs="Calibri" w:eastAsia="Calibri" w:hAnsi="Calibri"/>
          <w:color w:val="20242B"/>
          <w:sz w:val="21"/>
          <w:szCs w:val="21"/>
        </w:rPr>
        <w:t xml:space="preserve">. Esa es la forma más cara de perder tiempo en este tipo de proyecto.</w:t>
      </w:r>
    </w:p>
    <w:p>
      <w:pPr>
        <w:pStyle w:val="Heading1"/>
      </w:pPr>
      <w:r>
        <w:t xml:space="preserve">11. Cuándo una tarea está terminada</w:t>
      </w:r>
    </w:p>
    <w:p>
      <w:pPr>
        <w:spacing w:after="140" w:line="276"/>
      </w:pPr>
      <w:r>
        <w:rPr>
          <w:rFonts w:ascii="Calibri" w:cs="Calibri" w:eastAsia="Calibri" w:hAnsi="Calibri"/>
          <w:color w:val="20242B"/>
          <w:sz w:val="21"/>
          <w:szCs w:val="21"/>
        </w:rPr>
        <w:t xml:space="preserve">Una tarea no está terminada cuando el código corre. Está terminada cuando existen estas cuatro cosas:</w:t>
      </w:r>
    </w:p>
    <w:p>
      <w:pPr>
        <w:pStyle w:val="ListParagraph"/>
        <w:numPr>
          <w:ilvl w:val="0"/>
          <w:numId w:val="7"/>
        </w:numPr>
        <w:spacing w:after="80" w:line="276"/>
      </w:pPr>
      <w:r>
        <w:rPr>
          <w:rFonts w:ascii="Calibri" w:cs="Calibri" w:eastAsia="Calibri" w:hAnsi="Calibri"/>
          <w:b/>
          <w:bCs/>
          <w:color w:val="20242B"/>
          <w:sz w:val="21"/>
          <w:szCs w:val="21"/>
        </w:rPr>
        <w:t xml:space="preserve">Código</w:t>
      </w:r>
      <w:r>
        <w:rPr>
          <w:rFonts w:ascii="Calibri" w:cs="Calibri" w:eastAsia="Calibri" w:hAnsi="Calibri"/>
          <w:color w:val="20242B"/>
          <w:sz w:val="21"/>
          <w:szCs w:val="21"/>
        </w:rPr>
        <w:t xml:space="preserve"> en la rama, con sus pruebas pasando.</w:t>
      </w:r>
    </w:p>
    <w:p>
      <w:pPr>
        <w:pStyle w:val="ListParagraph"/>
        <w:numPr>
          <w:ilvl w:val="0"/>
          <w:numId w:val="7"/>
        </w:numPr>
        <w:spacing w:after="80" w:line="276"/>
      </w:pPr>
      <w:r>
        <w:rPr>
          <w:rFonts w:ascii="Calibri" w:cs="Calibri" w:eastAsia="Calibri" w:hAnsi="Calibri"/>
          <w:b/>
          <w:bCs/>
          <w:color w:val="20242B"/>
          <w:sz w:val="21"/>
          <w:szCs w:val="21"/>
        </w:rPr>
        <w:t xml:space="preserve">Evidencia medida</w:t>
      </w:r>
      <w:r>
        <w:rPr>
          <w:rFonts w:ascii="Calibri" w:cs="Calibri" w:eastAsia="Calibri" w:hAnsi="Calibri"/>
          <w:color w:val="20242B"/>
          <w:sz w:val="21"/>
          <w:szCs w:val="21"/>
        </w:rPr>
        <w:t xml:space="preserve"> — un número que salió de ejecutar algo, no de estimarlo. Si no se ejecutó, se dice “no lo he medido”.</w:t>
      </w:r>
    </w:p>
    <w:p>
      <w:pPr>
        <w:pStyle w:val="ListParagraph"/>
        <w:numPr>
          <w:ilvl w:val="0"/>
          <w:numId w:val="7"/>
        </w:numPr>
        <w:spacing w:after="80" w:line="276"/>
      </w:pPr>
      <w:r>
        <w:rPr>
          <w:rFonts w:ascii="Calibri" w:cs="Calibri" w:eastAsia="Calibri" w:hAnsi="Calibri"/>
          <w:b/>
          <w:bCs/>
          <w:color w:val="20242B"/>
          <w:sz w:val="21"/>
          <w:szCs w:val="21"/>
        </w:rPr>
        <w:t xml:space="preserve">Sección del documento</w:t>
      </w:r>
      <w:r>
        <w:rPr>
          <w:rFonts w:ascii="Calibri" w:cs="Calibri" w:eastAsia="Calibri" w:hAnsi="Calibri"/>
          <w:color w:val="20242B"/>
          <w:sz w:val="21"/>
          <w:szCs w:val="21"/>
        </w:rPr>
        <w:t xml:space="preserve"> escrita, con sus figuras numeradas y referenciadas.</w:t>
      </w:r>
    </w:p>
    <w:p>
      <w:pPr>
        <w:pStyle w:val="ListParagraph"/>
        <w:numPr>
          <w:ilvl w:val="0"/>
          <w:numId w:val="7"/>
        </w:numPr>
        <w:spacing w:after="80" w:line="276"/>
      </w:pPr>
      <w:r>
        <w:rPr>
          <w:rFonts w:ascii="Calibri" w:cs="Calibri" w:eastAsia="Calibri" w:hAnsi="Calibri"/>
          <w:b/>
          <w:bCs/>
          <w:color w:val="20242B"/>
          <w:sz w:val="21"/>
          <w:szCs w:val="21"/>
        </w:rPr>
        <w:t xml:space="preserve">Slide</w:t>
      </w:r>
      <w:r>
        <w:rPr>
          <w:rFonts w:ascii="Calibri" w:cs="Calibri" w:eastAsia="Calibri" w:hAnsi="Calibri"/>
          <w:color w:val="20242B"/>
          <w:sz w:val="21"/>
          <w:szCs w:val="21"/>
        </w:rPr>
        <w:t xml:space="preserve"> con lo esencial de ese avance.</w:t>
      </w:r>
    </w:p>
    <w:p>
      <w:pPr>
        <w:spacing w:after="140" w:line="276"/>
      </w:pPr>
      <w:r>
        <w:rPr>
          <w:rFonts w:ascii="Calibri" w:cs="Calibri" w:eastAsia="Calibri" w:hAnsi="Calibri"/>
          <w:color w:val="20242B"/>
          <w:sz w:val="21"/>
          <w:szCs w:val="21"/>
        </w:rPr>
        <w:t xml:space="preserve">Las cuatro. Una tarea con código y sin documento no cuenta como avance, porque el 66 % de la nota está en el documento y la presentación.</w:t>
      </w:r>
    </w:p>
    <w:p>
      <w:pPr>
        <w:pStyle w:val="Heading2"/>
      </w:pPr>
      <w:r>
        <w:t xml:space="preserve">11.1 Cómo se escriben las tareas</w:t>
      </w:r>
    </w:p>
    <w:p>
      <w:pPr>
        <w:spacing w:after="140" w:line="276"/>
      </w:pPr>
      <w:r>
        <w:rPr>
          <w:rFonts w:ascii="Calibri" w:cs="Calibri" w:eastAsia="Calibri" w:hAnsi="Calibri"/>
          <w:color w:val="20242B"/>
          <w:sz w:val="21"/>
          <w:szCs w:val="21"/>
        </w:rPr>
        <w:t xml:space="preserve">Cada tarea del backlog cumple estos seis criterios, conocidos como INVEST:</w:t>
      </w:r>
    </w:p>
    <w:tbl>
      <w:tblPr>
        <w:tblW w:type="dxa" w:w="9360"/>
        <w:tblBorders>
          <w:top w:val="single" w:color="1B2A4A" w:sz="4"/>
          <w:left w:val="none"/>
          <w:bottom w:val="single" w:color="1B2A4A" w:sz="4"/>
          <w:right w:val="none"/>
          <w:insideH w:val="single" w:color="C9D3E0" w:sz="2"/>
          <w:insideV w:val="none"/>
        </w:tblBorders>
      </w:tblPr>
      <w:tblGrid>
        <w:gridCol w:w="1872"/>
        <w:gridCol w:w="7488"/>
      </w:tblGrid>
      <w:tr>
        <w:trPr>
          <w:tblHeader/>
        </w:trPr>
        <w:tc>
          <w:tcPr>
            <w:tcW w:type="dxa" w:w="1872"/>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Criterio</w:t>
            </w:r>
          </w:p>
        </w:tc>
        <w:tc>
          <w:tcPr>
            <w:tcW w:type="dxa" w:w="7488"/>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Qué significa acá</w:t>
            </w:r>
          </w:p>
        </w:tc>
      </w:tr>
      <w:tr>
        <w:tc>
          <w:tcPr>
            <w:tcW w:type="dxa" w:w="1872"/>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Independiente</w:t>
            </w:r>
          </w:p>
        </w:tc>
        <w:tc>
          <w:tcPr>
            <w:tcW w:type="dxa" w:w="7488"/>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Se puede hacer sin esperar a que otro termine. Los contratos existen justamente para esto.</w:t>
            </w:r>
          </w:p>
        </w:tc>
      </w:tr>
      <w:tr>
        <w:tc>
          <w:tcPr>
            <w:tcW w:type="dxa" w:w="1872"/>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Negociable</w:t>
            </w:r>
          </w:p>
        </w:tc>
        <w:tc>
          <w:tcPr>
            <w:tcW w:type="dxa" w:w="7488"/>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El </w:t>
            </w:r>
            <w:r>
              <w:rPr>
                <w:rFonts w:ascii="Calibri" w:cs="Calibri" w:eastAsia="Calibri" w:hAnsi="Calibri"/>
                <w:b/>
                <w:bCs/>
                <w:color w:val="20242B"/>
                <w:sz w:val="19"/>
                <w:szCs w:val="19"/>
              </w:rPr>
              <w:t xml:space="preserve">qué</w:t>
            </w:r>
            <w:r>
              <w:rPr>
                <w:rFonts w:ascii="Calibri" w:cs="Calibri" w:eastAsia="Calibri" w:hAnsi="Calibri"/>
                <w:color w:val="20242B"/>
                <w:sz w:val="19"/>
                <w:szCs w:val="19"/>
              </w:rPr>
              <w:t xml:space="preserve"> está fijo; el </w:t>
            </w:r>
            <w:r>
              <w:rPr>
                <w:rFonts w:ascii="Calibri" w:cs="Calibri" w:eastAsia="Calibri" w:hAnsi="Calibri"/>
                <w:b/>
                <w:bCs/>
                <w:color w:val="20242B"/>
                <w:sz w:val="19"/>
                <w:szCs w:val="19"/>
              </w:rPr>
              <w:t xml:space="preserve">cómo</w:t>
            </w:r>
            <w:r>
              <w:rPr>
                <w:rFonts w:ascii="Calibri" w:cs="Calibri" w:eastAsia="Calibri" w:hAnsi="Calibri"/>
                <w:color w:val="20242B"/>
                <w:sz w:val="19"/>
                <w:szCs w:val="19"/>
              </w:rPr>
              <w:t xml:space="preserve"> lo decide quien la hace.</w:t>
            </w:r>
          </w:p>
        </w:tc>
      </w:tr>
      <w:tr>
        <w:tc>
          <w:tcPr>
            <w:tcW w:type="dxa" w:w="1872"/>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Valiosa</w:t>
            </w:r>
          </w:p>
        </w:tc>
        <w:tc>
          <w:tcPr>
            <w:tcW w:type="dxa" w:w="7488"/>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Produce algo que se puede mostrar: un número, una figura, una pantalla. No “avanzar en el módulo”.</w:t>
            </w:r>
          </w:p>
        </w:tc>
      </w:tr>
      <w:tr>
        <w:tc>
          <w:tcPr>
            <w:tcW w:type="dxa" w:w="1872"/>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Estimable</w:t>
            </w:r>
          </w:p>
        </w:tc>
        <w:tc>
          <w:tcPr>
            <w:tcW w:type="dxa" w:w="7488"/>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Quien la hace puede decir si le toma horas o días. Si no puede, está mal descrita.</w:t>
            </w:r>
          </w:p>
        </w:tc>
      </w:tr>
      <w:tr>
        <w:tc>
          <w:tcPr>
            <w:tcW w:type="dxa" w:w="1872"/>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Pequeña</w:t>
            </w:r>
          </w:p>
        </w:tc>
        <w:tc>
          <w:tcPr>
            <w:tcW w:type="dxa" w:w="7488"/>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Cabe en una semana. Si no cabe, se parte.</w:t>
            </w:r>
          </w:p>
        </w:tc>
      </w:tr>
      <w:tr>
        <w:tc>
          <w:tcPr>
            <w:tcW w:type="dxa" w:w="1872"/>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Testeable</w:t>
            </w:r>
          </w:p>
        </w:tc>
        <w:tc>
          <w:tcPr>
            <w:tcW w:type="dxa" w:w="7488"/>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Hay una forma clara de saber si quedó bien, escrita antes de empezar.</w:t>
            </w:r>
          </w:p>
        </w:tc>
      </w:tr>
    </w:tbl>
    <w:p>
      <w:pPr>
        <w:spacing w:after="240"/>
      </w:pPr>
    </w:p>
    <w:p>
      <w:pPr>
        <w:pStyle w:val="Heading1"/>
      </w:pPr>
      <w:r>
        <w:t xml:space="preserve">12. Reglas de honestidad</w:t>
      </w:r>
    </w:p>
    <w:p>
      <w:pPr>
        <w:spacing w:after="140" w:line="276"/>
      </w:pPr>
      <w:r>
        <w:rPr>
          <w:rFonts w:ascii="Calibri" w:cs="Calibri" w:eastAsia="Calibri" w:hAnsi="Calibri"/>
          <w:color w:val="20242B"/>
          <w:sz w:val="21"/>
          <w:szCs w:val="21"/>
        </w:rPr>
        <w:t xml:space="preserve">Estas no son formalismos. Cada una evita un error concreto que en un proyecto así se paga caro.</w:t>
      </w:r>
    </w:p>
    <w:p>
      <w:pPr>
        <w:pStyle w:val="ListParagraph"/>
        <w:numPr>
          <w:ilvl w:val="0"/>
          <w:numId w:val="8"/>
        </w:numPr>
        <w:spacing w:after="80" w:line="276"/>
      </w:pPr>
      <w:r>
        <w:rPr>
          <w:rFonts w:ascii="Calibri" w:cs="Calibri" w:eastAsia="Calibri" w:hAnsi="Calibri"/>
          <w:b/>
          <w:bCs/>
          <w:color w:val="20242B"/>
          <w:sz w:val="21"/>
          <w:szCs w:val="21"/>
        </w:rPr>
        <w:t xml:space="preserve">Ningún número que no se haya obtenido ejecutando.</w:t>
      </w:r>
      <w:r>
        <w:rPr>
          <w:rFonts w:ascii="Calibri" w:cs="Calibri" w:eastAsia="Calibri" w:hAnsi="Calibri"/>
          <w:color w:val="20242B"/>
          <w:sz w:val="21"/>
          <w:szCs w:val="21"/>
        </w:rPr>
        <w:t xml:space="preserve"> Ni conteos, ni porcentajes, ni tiempos. Si no se corrió, se escribe “no lo he medido”. Un número inventado en un documento entregado es peor que un espacio en blanco.</w:t>
      </w:r>
    </w:p>
    <w:p>
      <w:pPr>
        <w:pStyle w:val="ListParagraph"/>
        <w:numPr>
          <w:ilvl w:val="0"/>
          <w:numId w:val="8"/>
        </w:numPr>
        <w:spacing w:after="80" w:line="276"/>
      </w:pPr>
      <w:r>
        <w:rPr>
          <w:rFonts w:ascii="Calibri" w:cs="Calibri" w:eastAsia="Calibri" w:hAnsi="Calibri"/>
          <w:b/>
          <w:bCs/>
          <w:color w:val="20242B"/>
          <w:sz w:val="21"/>
          <w:szCs w:val="21"/>
        </w:rPr>
        <w:t xml:space="preserve">Ninguna conclusión a partir de una salida cortada.</w:t>
      </w:r>
      <w:r>
        <w:rPr>
          <w:rFonts w:ascii="Calibri" w:cs="Calibri" w:eastAsia="Calibri" w:hAnsi="Calibri"/>
          <w:color w:val="20242B"/>
          <w:sz w:val="21"/>
          <w:szCs w:val="21"/>
        </w:rPr>
        <w:t xml:space="preserve"> Si un log o un archivo se truncó, se pide de nuevo. No se completa con suposiciones.</w:t>
      </w:r>
    </w:p>
    <w:p>
      <w:pPr>
        <w:pStyle w:val="ListParagraph"/>
        <w:numPr>
          <w:ilvl w:val="0"/>
          <w:numId w:val="8"/>
        </w:numPr>
        <w:spacing w:after="80" w:line="276"/>
      </w:pPr>
      <w:r>
        <w:rPr>
          <w:rFonts w:ascii="Calibri" w:cs="Calibri" w:eastAsia="Calibri" w:hAnsi="Calibri"/>
          <w:b/>
          <w:bCs/>
          <w:color w:val="20242B"/>
          <w:sz w:val="21"/>
          <w:szCs w:val="21"/>
        </w:rPr>
        <w:t xml:space="preserve">Verificar la fecha de todo artefacto generado</w:t>
      </w:r>
      <w:r>
        <w:rPr>
          <w:rFonts w:ascii="Calibri" w:cs="Calibri" w:eastAsia="Calibri" w:hAnsi="Calibri"/>
          <w:color w:val="20242B"/>
          <w:sz w:val="21"/>
          <w:szCs w:val="21"/>
        </w:rPr>
        <w:t xml:space="preserve"> antes de usarlo como evidencia — figuras, archivos de datos, resultados. Es fácil pasar horas mirando un resultado viejo que no se regeneró.</w:t>
      </w:r>
    </w:p>
    <w:p>
      <w:pPr>
        <w:pStyle w:val="ListParagraph"/>
        <w:numPr>
          <w:ilvl w:val="0"/>
          <w:numId w:val="8"/>
        </w:numPr>
        <w:spacing w:after="80" w:line="276"/>
      </w:pPr>
      <w:r>
        <w:rPr>
          <w:rFonts w:ascii="Calibri" w:cs="Calibri" w:eastAsia="Calibri" w:hAnsi="Calibri"/>
          <w:b/>
          <w:bCs/>
          <w:color w:val="20242B"/>
          <w:sz w:val="21"/>
          <w:szCs w:val="21"/>
        </w:rPr>
        <w:t xml:space="preserve">Distinguir lo medido de lo construido.</w:t>
      </w:r>
      <w:r>
        <w:rPr>
          <w:rFonts w:ascii="Calibri" w:cs="Calibri" w:eastAsia="Calibri" w:hAnsi="Calibri"/>
          <w:color w:val="20242B"/>
          <w:sz w:val="21"/>
          <w:szCs w:val="21"/>
        </w:rPr>
        <w:t xml:space="preserve"> Si alguien arma un caso sintético para ilustrar un riesgo, lo dice. No se presenta como algo que está pasando en los datos reales.</w:t>
      </w:r>
    </w:p>
    <w:p>
      <w:pPr>
        <w:pStyle w:val="ListParagraph"/>
        <w:numPr>
          <w:ilvl w:val="0"/>
          <w:numId w:val="8"/>
        </w:numPr>
        <w:spacing w:after="80" w:line="276"/>
      </w:pPr>
      <w:r>
        <w:rPr>
          <w:rFonts w:ascii="Calibri" w:cs="Calibri" w:eastAsia="Calibri" w:hAnsi="Calibri"/>
          <w:b/>
          <w:bCs/>
          <w:color w:val="20242B"/>
          <w:sz w:val="21"/>
          <w:szCs w:val="21"/>
        </w:rPr>
        <w:t xml:space="preserve">Decir en la misma frase lo que no está verificado.</w:t>
      </w:r>
      <w:r>
        <w:rPr>
          <w:rFonts w:ascii="Calibri" w:cs="Calibri" w:eastAsia="Calibri" w:hAnsi="Calibri"/>
          <w:color w:val="20242B"/>
          <w:sz w:val="21"/>
          <w:szCs w:val="21"/>
        </w:rPr>
        <w:t xml:space="preserve"> “Compila” y “funciona” no son lo mismo. “Las pruebas pasan” y “lo probé de verdad” tampoco.</w:t>
      </w:r>
    </w:p>
    <w:p>
      <w:pPr>
        <w:pStyle w:val="ListParagraph"/>
        <w:numPr>
          <w:ilvl w:val="0"/>
          <w:numId w:val="8"/>
        </w:numPr>
        <w:spacing w:after="80" w:line="276"/>
      </w:pPr>
      <w:r>
        <w:rPr>
          <w:rFonts w:ascii="Calibri" w:cs="Calibri" w:eastAsia="Calibri" w:hAnsi="Calibri"/>
          <w:b/>
          <w:bCs/>
          <w:color w:val="20242B"/>
          <w:sz w:val="21"/>
          <w:szCs w:val="21"/>
        </w:rPr>
        <w:t xml:space="preserve">Fijar el criterio antes de mirar el resultado.</w:t>
      </w:r>
      <w:r>
        <w:rPr>
          <w:rFonts w:ascii="Calibri" w:cs="Calibri" w:eastAsia="Calibri" w:hAnsi="Calibri"/>
          <w:color w:val="20242B"/>
          <w:sz w:val="21"/>
          <w:szCs w:val="21"/>
        </w:rPr>
        <w:t xml:space="preserve"> Si hay que elegir entre dos opciones, se define primero qué número decide. Al revés se llama justificar lo que ya se quería hacer.</w:t>
      </w:r>
    </w:p>
    <w:p>
      <w:pPr>
        <w:pStyle w:val="ListParagraph"/>
        <w:numPr>
          <w:ilvl w:val="0"/>
          <w:numId w:val="8"/>
        </w:numPr>
        <w:spacing w:after="80" w:line="276"/>
      </w:pPr>
      <w:r>
        <w:rPr>
          <w:rFonts w:ascii="Calibri" w:cs="Calibri" w:eastAsia="Calibri" w:hAnsi="Calibri"/>
          <w:b/>
          <w:bCs/>
          <w:color w:val="20242B"/>
          <w:sz w:val="21"/>
          <w:szCs w:val="21"/>
        </w:rPr>
        <w:t xml:space="preserve">Desconfiar de las listas de estado.</w:t>
      </w:r>
      <w:r>
        <w:rPr>
          <w:rFonts w:ascii="Calibri" w:cs="Calibri" w:eastAsia="Calibri" w:hAnsi="Calibri"/>
          <w:color w:val="20242B"/>
          <w:sz w:val="21"/>
          <w:szCs w:val="21"/>
        </w:rPr>
        <w:t xml:space="preserve"> Se desactualizan en las dos direcciones. La fuente de verdad es el código y lo que se ejecuta.</w:t>
      </w:r>
    </w:p>
    <w:p>
      <w:pPr>
        <w:pStyle w:val="Heading1"/>
      </w:pPr>
      <w:r>
        <w:t xml:space="preserve">13. Decisiones abiertas</w:t>
      </w:r>
    </w:p>
    <w:tbl>
      <w:tblPr>
        <w:tblW w:type="dxa" w:w="9360"/>
        <w:tblBorders>
          <w:top w:val="single" w:color="1B2A4A" w:sz="4"/>
          <w:left w:val="none"/>
          <w:bottom w:val="single" w:color="1B2A4A" w:sz="4"/>
          <w:right w:val="none"/>
          <w:insideH w:val="single" w:color="C9D3E0" w:sz="2"/>
          <w:insideV w:val="none"/>
        </w:tblBorders>
      </w:tblPr>
      <w:tblGrid>
        <w:gridCol w:w="562"/>
        <w:gridCol w:w="4306"/>
        <w:gridCol w:w="2995"/>
        <w:gridCol w:w="1497"/>
      </w:tblGrid>
      <w:tr>
        <w:trPr>
          <w:tblHeader/>
        </w:trPr>
        <w:tc>
          <w:tcPr>
            <w:tcW w:type="dxa" w:w="562"/>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w:t>
            </w:r>
          </w:p>
        </w:tc>
        <w:tc>
          <w:tcPr>
            <w:tcW w:type="dxa" w:w="4306"/>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Decisión</w:t>
            </w:r>
          </w:p>
        </w:tc>
        <w:tc>
          <w:tcPr>
            <w:tcW w:type="dxa" w:w="2995"/>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Quién decide</w:t>
            </w:r>
          </w:p>
        </w:tc>
        <w:tc>
          <w:tcPr>
            <w:tcW w:type="dxa" w:w="1497"/>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Cuándo</w:t>
            </w:r>
          </w:p>
        </w:tc>
      </w:tr>
      <w:tr>
        <w:tc>
          <w:tcPr>
            <w:tcW w:type="dxa" w:w="562"/>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D1</w:t>
            </w:r>
          </w:p>
        </w:tc>
        <w:tc>
          <w:tcPr>
            <w:tcW w:type="dxa" w:w="4306"/>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Granularidad de las velas: diaria, 4 horas u horaria</w:t>
            </w:r>
          </w:p>
        </w:tc>
        <w:tc>
          <w:tcPr>
            <w:tcW w:type="dxa" w:w="2995"/>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Equipo, con la medición del spike de datos en la mano</w:t>
            </w:r>
          </w:p>
        </w:tc>
        <w:tc>
          <w:tcPr>
            <w:tcW w:type="dxa" w:w="149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Semana 1</w:t>
            </w:r>
          </w:p>
        </w:tc>
      </w:tr>
      <w:tr>
        <w:tc>
          <w:tcPr>
            <w:tcW w:type="dxa" w:w="562"/>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D2</w:t>
            </w:r>
          </w:p>
        </w:tc>
        <w:tc>
          <w:tcPr>
            <w:tcW w:type="dxa" w:w="4306"/>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Valor de la ventana </w:t>
            </w:r>
            <w:r>
              <w:rPr>
                <w:rFonts w:ascii="Consolas" w:cs="Consolas" w:eastAsia="Consolas" w:hAnsi="Consolas"/>
                <w:color w:val="345D9D"/>
                <w:sz w:val="17"/>
                <w:szCs w:val="17"/>
              </w:rPr>
              <w:t xml:space="preserve">w</w:t>
            </w:r>
          </w:p>
        </w:tc>
        <w:tc>
          <w:tcPr>
            <w:tcW w:type="dxa" w:w="2995"/>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Equipo</w:t>
            </w:r>
          </w:p>
        </w:tc>
        <w:tc>
          <w:tcPr>
            <w:tcW w:type="dxa" w:w="1497"/>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Semana 1</w:t>
            </w:r>
          </w:p>
        </w:tc>
      </w:tr>
      <w:tr>
        <w:tc>
          <w:tcPr>
            <w:tcW w:type="dxa" w:w="562"/>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D3</w:t>
            </w:r>
          </w:p>
        </w:tc>
        <w:tc>
          <w:tcPr>
            <w:tcW w:type="dxa" w:w="4306"/>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Valor del horizonte </w:t>
            </w:r>
            <w:r>
              <w:rPr>
                <w:rFonts w:ascii="Consolas" w:cs="Consolas" w:eastAsia="Consolas" w:hAnsi="Consolas"/>
                <w:color w:val="345D9D"/>
                <w:sz w:val="17"/>
                <w:szCs w:val="17"/>
              </w:rPr>
              <w:t xml:space="preserve">h</w:t>
            </w:r>
          </w:p>
        </w:tc>
        <w:tc>
          <w:tcPr>
            <w:tcW w:type="dxa" w:w="2995"/>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Equipo</w:t>
            </w:r>
          </w:p>
        </w:tc>
        <w:tc>
          <w:tcPr>
            <w:tcW w:type="dxa" w:w="149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Semana 1</w:t>
            </w:r>
          </w:p>
        </w:tc>
      </w:tr>
      <w:tr>
        <w:tc>
          <w:tcPr>
            <w:tcW w:type="dxa" w:w="562"/>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D4</w:t>
            </w:r>
          </w:p>
        </w:tc>
        <w:tc>
          <w:tcPr>
            <w:tcW w:type="dxa" w:w="4306"/>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Qué se considera “tiempo real”: detección con retraso confirmado o predicción en el momento</w:t>
            </w:r>
          </w:p>
        </w:tc>
        <w:tc>
          <w:tcPr>
            <w:tcW w:type="dxa" w:w="2995"/>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Profesor</w:t>
            </w:r>
          </w:p>
        </w:tc>
        <w:tc>
          <w:tcPr>
            <w:tcW w:type="dxa" w:w="1497"/>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Pendiente</w:t>
            </w:r>
          </w:p>
        </w:tc>
      </w:tr>
      <w:tr>
        <w:tc>
          <w:tcPr>
            <w:tcW w:type="dxa" w:w="562"/>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D5</w:t>
            </w:r>
          </w:p>
        </w:tc>
        <w:tc>
          <w:tcPr>
            <w:tcW w:type="dxa" w:w="4306"/>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Cómo interpretar la Precisión Direccional en un problema de tres clases</w:t>
            </w:r>
          </w:p>
        </w:tc>
        <w:tc>
          <w:tcPr>
            <w:tcW w:type="dxa" w:w="2995"/>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Profesor</w:t>
            </w:r>
          </w:p>
        </w:tc>
        <w:tc>
          <w:tcPr>
            <w:tcW w:type="dxa" w:w="149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Pendiente</w:t>
            </w:r>
          </w:p>
        </w:tc>
      </w:tr>
      <w:tr>
        <w:tc>
          <w:tcPr>
            <w:tcW w:type="dxa" w:w="562"/>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D6</w:t>
            </w:r>
          </w:p>
        </w:tc>
        <w:tc>
          <w:tcPr>
            <w:tcW w:type="dxa" w:w="4306"/>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Qué máquina tiene cada integrante</w:t>
            </w:r>
          </w:p>
        </w:tc>
        <w:tc>
          <w:tcPr>
            <w:tcW w:type="dxa" w:w="2995"/>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Equipo</w:t>
            </w:r>
          </w:p>
        </w:tc>
        <w:tc>
          <w:tcPr>
            <w:tcW w:type="dxa" w:w="1497"/>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Esta semana</w:t>
            </w:r>
          </w:p>
        </w:tc>
      </w:tr>
      <w:tr>
        <w:tc>
          <w:tcPr>
            <w:tcW w:type="dxa" w:w="562"/>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D7</w:t>
            </w:r>
          </w:p>
        </w:tc>
        <w:tc>
          <w:tcPr>
            <w:tcW w:type="dxa" w:w="4306"/>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Qué modelo fundacional y qué modelo avanzado</w:t>
            </w:r>
          </w:p>
        </w:tc>
        <w:tc>
          <w:tcPr>
            <w:tcW w:type="dxa" w:w="2995"/>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Isaac, justificado con datos medidos</w:t>
            </w:r>
          </w:p>
        </w:tc>
        <w:tc>
          <w:tcPr>
            <w:tcW w:type="dxa" w:w="149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Semanas 2 y 3</w:t>
            </w:r>
          </w:p>
        </w:tc>
      </w:tr>
      <w:tr>
        <w:tc>
          <w:tcPr>
            <w:tcW w:type="dxa" w:w="562"/>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D8</w:t>
            </w:r>
          </w:p>
        </w:tc>
        <w:tc>
          <w:tcPr>
            <w:tcW w:type="dxa" w:w="4306"/>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Pila del frontend: React/Vite o Streamlit</w:t>
            </w:r>
          </w:p>
        </w:tc>
        <w:tc>
          <w:tcPr>
            <w:tcW w:type="dxa" w:w="2995"/>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PM — propuesta React/Vite</w:t>
            </w:r>
          </w:p>
        </w:tc>
        <w:tc>
          <w:tcPr>
            <w:tcW w:type="dxa" w:w="1497"/>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Esta semana</w:t>
            </w:r>
          </w:p>
        </w:tc>
      </w:tr>
    </w:tbl>
    <w:p>
      <w:pPr>
        <w:spacing w:after="240"/>
      </w:pPr>
    </w:p>
    <w:p>
      <w:pPr>
        <w:spacing w:after="140" w:line="276"/>
      </w:pPr>
      <w:r>
        <w:rPr>
          <w:rFonts w:ascii="Calibri" w:cs="Calibri" w:eastAsia="Calibri" w:hAnsi="Calibri"/>
          <w:color w:val="20242B"/>
          <w:sz w:val="21"/>
          <w:szCs w:val="21"/>
        </w:rPr>
        <w:t xml:space="preserve">El contexto completo de D1 a D5 está en el documento </w:t>
      </w:r>
      <w:r>
        <w:rPr>
          <w:rFonts w:ascii="Calibri" w:cs="Calibri" w:eastAsia="Calibri" w:hAnsi="Calibri"/>
          <w:b/>
          <w:bCs/>
          <w:color w:val="20242B"/>
          <w:sz w:val="21"/>
          <w:szCs w:val="21"/>
        </w:rPr>
        <w:t xml:space="preserve">Definición operativa del punto de inflexión</w:t>
      </w:r>
      <w:r>
        <w:rPr>
          <w:rFonts w:ascii="Calibri" w:cs="Calibri" w:eastAsia="Calibri" w:hAnsi="Calibri"/>
          <w:color w:val="20242B"/>
          <w:sz w:val="21"/>
          <w:szCs w:val="21"/>
        </w:rPr>
        <w:t xml:space="preserve">, que además contiene la consulta al profesor redactada para enviarse.</w:t>
      </w:r>
    </w:p>
    <w:p>
      <w:pPr>
        <w:pStyle w:val="Heading1"/>
      </w:pPr>
      <w:r>
        <w:t xml:space="preserve">14. Riesgos</w:t>
      </w:r>
    </w:p>
    <w:p>
      <w:pPr>
        <w:spacing w:after="140" w:line="276"/>
      </w:pPr>
      <w:r>
        <w:rPr>
          <w:rFonts w:ascii="Calibri" w:cs="Calibri" w:eastAsia="Calibri" w:hAnsi="Calibri"/>
          <w:color w:val="20242B"/>
          <w:sz w:val="21"/>
          <w:szCs w:val="21"/>
        </w:rPr>
        <w:t xml:space="preserve">Ordenados del más grave al menos grave.</w:t>
      </w:r>
    </w:p>
    <w:tbl>
      <w:tblPr>
        <w:tblW w:type="dxa" w:w="9360"/>
        <w:tblBorders>
          <w:top w:val="single" w:color="1B2A4A" w:sz="4"/>
          <w:left w:val="none"/>
          <w:bottom w:val="single" w:color="1B2A4A" w:sz="4"/>
          <w:right w:val="none"/>
          <w:insideH w:val="single" w:color="C9D3E0" w:sz="2"/>
          <w:insideV w:val="none"/>
        </w:tblBorders>
      </w:tblPr>
      <w:tblGrid>
        <w:gridCol w:w="468"/>
        <w:gridCol w:w="3276"/>
        <w:gridCol w:w="2527"/>
        <w:gridCol w:w="3089"/>
      </w:tblGrid>
      <w:tr>
        <w:trPr>
          <w:tblHeader/>
        </w:trPr>
        <w:tc>
          <w:tcPr>
            <w:tcW w:type="dxa" w:w="468"/>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w:t>
            </w:r>
          </w:p>
        </w:tc>
        <w:tc>
          <w:tcPr>
            <w:tcW w:type="dxa" w:w="3276"/>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Riesgo</w:t>
            </w:r>
          </w:p>
        </w:tc>
        <w:tc>
          <w:tcPr>
            <w:tcW w:type="dxa" w:w="2527"/>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Impacto</w:t>
            </w:r>
          </w:p>
        </w:tc>
        <w:tc>
          <w:tcPr>
            <w:tcW w:type="dxa" w:w="3089"/>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Qué hacemos</w:t>
            </w:r>
          </w:p>
        </w:tc>
      </w:tr>
      <w:tr>
        <w:tc>
          <w:tcPr>
            <w:tcW w:type="dxa" w:w="468"/>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R1</w:t>
            </w:r>
          </w:p>
        </w:tc>
        <w:tc>
          <w:tcPr>
            <w:tcW w:type="dxa" w:w="3276"/>
            <w:shd w:fill="F7F9FC" w:val="clear"/>
            <w:tcMar>
              <w:top w:type="dxa" w:w="90"/>
              <w:left w:type="dxa" w:w="130"/>
              <w:bottom w:type="dxa" w:w="90"/>
              <w:right w:type="dxa" w:w="130"/>
            </w:tcMar>
            <w:vAlign w:val="top"/>
          </w:tcPr>
          <w:p>
            <w:pPr>
              <w:spacing w:after="0" w:line="252"/>
            </w:pPr>
            <w:r>
              <w:rPr>
                <w:rFonts w:ascii="Calibri" w:cs="Calibri" w:eastAsia="Calibri" w:hAnsi="Calibri"/>
                <w:b/>
                <w:bCs/>
                <w:color w:val="20242B"/>
                <w:sz w:val="19"/>
                <w:szCs w:val="19"/>
              </w:rPr>
              <w:t xml:space="preserve">Los datos no alcanzan.</w:t>
            </w:r>
            <w:r>
              <w:rPr>
                <w:rFonts w:ascii="Calibri" w:cs="Calibri" w:eastAsia="Calibri" w:hAnsi="Calibri"/>
                <w:color w:val="20242B"/>
                <w:sz w:val="19"/>
                <w:szCs w:val="19"/>
              </w:rPr>
              <w:t xml:space="preserve"> La ventana histórica común de las seis criptomonedas puede dar pocas filas, y las clases de interés van a ser raras por construcción</w:t>
            </w:r>
          </w:p>
        </w:tc>
        <w:tc>
          <w:tcPr>
            <w:tcW w:type="dxa" w:w="252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Puede invalidar la elección de modelo y obligar a rediseñar</w:t>
            </w:r>
          </w:p>
        </w:tc>
        <w:tc>
          <w:tcPr>
            <w:tcW w:type="dxa" w:w="3089"/>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Spike de datos esta semana, antes de repartir tareas. Si en velas diarias no alcanza, se pasa a granularidad menor</w:t>
            </w:r>
          </w:p>
        </w:tc>
      </w:tr>
      <w:tr>
        <w:tc>
          <w:tcPr>
            <w:tcW w:type="dxa" w:w="468"/>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R2</w:t>
            </w:r>
          </w:p>
        </w:tc>
        <w:tc>
          <w:tcPr>
            <w:tcW w:type="dxa" w:w="3276"/>
            <w:shd w:fill="FFFFFF" w:val="clear"/>
            <w:tcMar>
              <w:top w:type="dxa" w:w="90"/>
              <w:left w:type="dxa" w:w="130"/>
              <w:bottom w:type="dxa" w:w="90"/>
              <w:right w:type="dxa" w:w="130"/>
            </w:tcMar>
            <w:vAlign w:val="top"/>
          </w:tcPr>
          <w:p>
            <w:pPr>
              <w:spacing w:after="0" w:line="252"/>
            </w:pPr>
            <w:r>
              <w:rPr>
                <w:rFonts w:ascii="Calibri" w:cs="Calibri" w:eastAsia="Calibri" w:hAnsi="Calibri"/>
                <w:b/>
                <w:bCs/>
                <w:color w:val="20242B"/>
                <w:sz w:val="19"/>
                <w:szCs w:val="19"/>
              </w:rPr>
              <w:t xml:space="preserve">El modelo avanzado no arranca.</w:t>
            </w:r>
            <w:r>
              <w:rPr>
                <w:rFonts w:ascii="Calibri" w:cs="Calibri" w:eastAsia="Calibri" w:hAnsi="Calibri"/>
                <w:color w:val="20242B"/>
                <w:sz w:val="19"/>
                <w:szCs w:val="19"/>
              </w:rPr>
              <w:t xml:space="preserve"> Es el módulo más pesado y está sobre una sola persona</w:t>
            </w:r>
          </w:p>
        </w:tc>
        <w:tc>
          <w:tcPr>
            <w:tcW w:type="dxa" w:w="2527"/>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Se cae el entregable de la semana 4</w:t>
            </w:r>
          </w:p>
        </w:tc>
        <w:tc>
          <w:tcPr>
            <w:tcW w:type="dxa" w:w="3089"/>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Punto de decisión explícito el lunes de la semana 4. El PM entra a apoyar. Está previsto</w:t>
            </w:r>
          </w:p>
        </w:tc>
      </w:tr>
      <w:tr>
        <w:tc>
          <w:tcPr>
            <w:tcW w:type="dxa" w:w="468"/>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R3</w:t>
            </w:r>
          </w:p>
        </w:tc>
        <w:tc>
          <w:tcPr>
            <w:tcW w:type="dxa" w:w="3276"/>
            <w:shd w:fill="F7F9FC" w:val="clear"/>
            <w:tcMar>
              <w:top w:type="dxa" w:w="90"/>
              <w:left w:type="dxa" w:w="130"/>
              <w:bottom w:type="dxa" w:w="90"/>
              <w:right w:type="dxa" w:w="130"/>
            </w:tcMar>
            <w:vAlign w:val="top"/>
          </w:tcPr>
          <w:p>
            <w:pPr>
              <w:spacing w:after="0" w:line="252"/>
            </w:pPr>
            <w:r>
              <w:rPr>
                <w:rFonts w:ascii="Calibri" w:cs="Calibri" w:eastAsia="Calibri" w:hAnsi="Calibri"/>
                <w:b/>
                <w:bCs/>
                <w:color w:val="20242B"/>
                <w:sz w:val="19"/>
                <w:szCs w:val="19"/>
              </w:rPr>
              <w:t xml:space="preserve">Cómputo insuficiente.</w:t>
            </w:r>
            <w:r>
              <w:rPr>
                <w:rFonts w:ascii="Calibri" w:cs="Calibri" w:eastAsia="Calibri" w:hAnsi="Calibri"/>
                <w:color w:val="20242B"/>
                <w:sz w:val="19"/>
                <w:szCs w:val="19"/>
              </w:rPr>
              <w:t xml:space="preserve"> Todavía no sabemos qué máquinas hay. CryptoMamba puede depender de CUDA — hay que verificarlo</w:t>
            </w:r>
          </w:p>
        </w:tc>
        <w:tc>
          <w:tcPr>
            <w:tcW w:type="dxa" w:w="252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Elimina modelos de la lista del enunciado</w:t>
            </w:r>
          </w:p>
        </w:tc>
        <w:tc>
          <w:tcPr>
            <w:tcW w:type="dxa" w:w="3089"/>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Confirmar máquinas esta semana. Verificar la dependencia antes de que alguien elija ese modelo</w:t>
            </w:r>
          </w:p>
        </w:tc>
      </w:tr>
      <w:tr>
        <w:tc>
          <w:tcPr>
            <w:tcW w:type="dxa" w:w="468"/>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R4</w:t>
            </w:r>
          </w:p>
        </w:tc>
        <w:tc>
          <w:tcPr>
            <w:tcW w:type="dxa" w:w="3276"/>
            <w:shd w:fill="FFFFFF" w:val="clear"/>
            <w:tcMar>
              <w:top w:type="dxa" w:w="90"/>
              <w:left w:type="dxa" w:w="130"/>
              <w:bottom w:type="dxa" w:w="90"/>
              <w:right w:type="dxa" w:w="130"/>
            </w:tcMar>
            <w:vAlign w:val="top"/>
          </w:tcPr>
          <w:p>
            <w:pPr>
              <w:spacing w:after="0" w:line="252"/>
            </w:pPr>
            <w:r>
              <w:rPr>
                <w:rFonts w:ascii="Calibri" w:cs="Calibri" w:eastAsia="Calibri" w:hAnsi="Calibri"/>
                <w:b/>
                <w:bCs/>
                <w:color w:val="20242B"/>
                <w:sz w:val="19"/>
                <w:szCs w:val="19"/>
              </w:rPr>
              <w:t xml:space="preserve">Fuga de información.</w:t>
            </w:r>
            <w:r>
              <w:rPr>
                <w:rFonts w:ascii="Calibri" w:cs="Calibri" w:eastAsia="Calibri" w:hAnsi="Calibri"/>
                <w:color w:val="20242B"/>
                <w:sz w:val="19"/>
                <w:szCs w:val="19"/>
              </w:rPr>
              <w:t xml:space="preserve"> Como la etiqueta de un instante requiere ver el futuro, es fácil contaminar las características sin darse cuenta</w:t>
            </w:r>
          </w:p>
        </w:tc>
        <w:tc>
          <w:tcPr>
            <w:tcW w:type="dxa" w:w="2527"/>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Resultados excelentes y falsos. Es el peor caso porque no se nota</w:t>
            </w:r>
          </w:p>
        </w:tc>
        <w:tc>
          <w:tcPr>
            <w:tcW w:type="dxa" w:w="3089"/>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Prueba automática obligatoria (RF-E2). Se implementa antes que las características</w:t>
            </w:r>
          </w:p>
        </w:tc>
      </w:tr>
      <w:tr>
        <w:tc>
          <w:tcPr>
            <w:tcW w:type="dxa" w:w="468"/>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R5</w:t>
            </w:r>
          </w:p>
        </w:tc>
        <w:tc>
          <w:tcPr>
            <w:tcW w:type="dxa" w:w="3276"/>
            <w:shd w:fill="F7F9FC" w:val="clear"/>
            <w:tcMar>
              <w:top w:type="dxa" w:w="90"/>
              <w:left w:type="dxa" w:w="130"/>
              <w:bottom w:type="dxa" w:w="90"/>
              <w:right w:type="dxa" w:w="130"/>
            </w:tcMar>
            <w:vAlign w:val="top"/>
          </w:tcPr>
          <w:p>
            <w:pPr>
              <w:spacing w:after="0" w:line="252"/>
            </w:pPr>
            <w:r>
              <w:rPr>
                <w:rFonts w:ascii="Calibri" w:cs="Calibri" w:eastAsia="Calibri" w:hAnsi="Calibri"/>
                <w:b/>
                <w:bCs/>
                <w:color w:val="20242B"/>
                <w:sz w:val="19"/>
                <w:szCs w:val="19"/>
              </w:rPr>
              <w:t xml:space="preserve">La aplicación consume el tiempo del modelado.</w:t>
            </w:r>
            <w:r>
              <w:rPr>
                <w:rFonts w:ascii="Calibri" w:cs="Calibri" w:eastAsia="Calibri" w:hAnsi="Calibri"/>
                <w:color w:val="20242B"/>
                <w:sz w:val="19"/>
                <w:szCs w:val="19"/>
              </w:rPr>
              <w:t xml:space="preserve"> Ahora es un módulo completo</w:t>
            </w:r>
          </w:p>
        </w:tc>
        <w:tc>
          <w:tcPr>
            <w:tcW w:type="dxa" w:w="252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Se llega a la semana 5 con la app linda y el informe flojo</w:t>
            </w:r>
          </w:p>
        </w:tc>
        <w:tc>
          <w:tcPr>
            <w:tcW w:type="dxa" w:w="3089"/>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El alcance está cerrado en tres modos. La app no lleva lógica de negocio</w:t>
            </w:r>
          </w:p>
        </w:tc>
      </w:tr>
      <w:tr>
        <w:tc>
          <w:tcPr>
            <w:tcW w:type="dxa" w:w="468"/>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R6</w:t>
            </w:r>
          </w:p>
        </w:tc>
        <w:tc>
          <w:tcPr>
            <w:tcW w:type="dxa" w:w="3276"/>
            <w:shd w:fill="FFFFFF" w:val="clear"/>
            <w:tcMar>
              <w:top w:type="dxa" w:w="90"/>
              <w:left w:type="dxa" w:w="130"/>
              <w:bottom w:type="dxa" w:w="90"/>
              <w:right w:type="dxa" w:w="130"/>
            </w:tcMar>
            <w:vAlign w:val="top"/>
          </w:tcPr>
          <w:p>
            <w:pPr>
              <w:spacing w:after="0" w:line="252"/>
            </w:pPr>
            <w:r>
              <w:rPr>
                <w:rFonts w:ascii="Calibri" w:cs="Calibri" w:eastAsia="Calibri" w:hAnsi="Calibri"/>
                <w:b/>
                <w:bCs/>
                <w:color w:val="20242B"/>
                <w:sz w:val="19"/>
                <w:szCs w:val="19"/>
              </w:rPr>
              <w:t xml:space="preserve">Carga documental.</w:t>
            </w:r>
            <w:r>
              <w:rPr>
                <w:rFonts w:ascii="Calibri" w:cs="Calibri" w:eastAsia="Calibri" w:hAnsi="Calibri"/>
                <w:color w:val="20242B"/>
                <w:sz w:val="19"/>
                <w:szCs w:val="19"/>
              </w:rPr>
              <w:t xml:space="preserve"> Cinco documentos y cinco exposiciones en cinco semanas, con la rúbrica pesando 66 % en forma</w:t>
            </w:r>
          </w:p>
        </w:tc>
        <w:tc>
          <w:tcPr>
            <w:tcW w:type="dxa" w:w="2527"/>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Documentos apurados, que es exactamente donde más se pierde nota</w:t>
            </w:r>
          </w:p>
        </w:tc>
        <w:tc>
          <w:tcPr>
            <w:tcW w:type="dxa" w:w="3089"/>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La sección del documento es parte de la definición de terminado, no una tarea aparte</w:t>
            </w:r>
          </w:p>
        </w:tc>
      </w:tr>
      <w:tr>
        <w:tc>
          <w:tcPr>
            <w:tcW w:type="dxa" w:w="468"/>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R7</w:t>
            </w:r>
          </w:p>
        </w:tc>
        <w:tc>
          <w:tcPr>
            <w:tcW w:type="dxa" w:w="3276"/>
            <w:shd w:fill="F7F9FC" w:val="clear"/>
            <w:tcMar>
              <w:top w:type="dxa" w:w="90"/>
              <w:left w:type="dxa" w:w="130"/>
              <w:bottom w:type="dxa" w:w="90"/>
              <w:right w:type="dxa" w:w="130"/>
            </w:tcMar>
            <w:vAlign w:val="top"/>
          </w:tcPr>
          <w:p>
            <w:pPr>
              <w:spacing w:after="0" w:line="252"/>
            </w:pPr>
            <w:r>
              <w:rPr>
                <w:rFonts w:ascii="Calibri" w:cs="Calibri" w:eastAsia="Calibri" w:hAnsi="Calibri"/>
                <w:b/>
                <w:bCs/>
                <w:color w:val="20242B"/>
                <w:sz w:val="19"/>
                <w:szCs w:val="19"/>
              </w:rPr>
              <w:t xml:space="preserve">La respuesta del profesor cambia el alcance.</w:t>
            </w:r>
            <w:r>
              <w:rPr>
                <w:rFonts w:ascii="Calibri" w:cs="Calibri" w:eastAsia="Calibri" w:hAnsi="Calibri"/>
                <w:color w:val="20242B"/>
                <w:sz w:val="19"/>
                <w:szCs w:val="19"/>
              </w:rPr>
              <w:t xml:space="preserve"> En particular D4, sobre qué es tiempo real</w:t>
            </w:r>
          </w:p>
        </w:tc>
        <w:tc>
          <w:tcPr>
            <w:tcW w:type="dxa" w:w="2527"/>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Puede redefinir la app y las pruebas de las semanas 3 y 4</w:t>
            </w:r>
          </w:p>
        </w:tc>
        <w:tc>
          <w:tcPr>
            <w:tcW w:type="dxa" w:w="3089"/>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Enviar la consulta ya, no la semana que viene</w:t>
            </w:r>
          </w:p>
        </w:tc>
      </w:tr>
    </w:tbl>
    <w:p>
      <w:pPr>
        <w:spacing w:after="240"/>
      </w:pPr>
    </w:p>
    <w:p>
      <w:pPr>
        <w:pStyle w:val="Heading1"/>
      </w:pPr>
      <w:r>
        <w:t xml:space="preserve">15. Supuestos no verificados</w:t>
      </w:r>
    </w:p>
    <w:tbl>
      <w:tblPr>
        <w:tblW w:type="dxa" w:w="9360"/>
        <w:tblBorders>
          <w:top w:val="single" w:color="EEF2F8" w:sz="2"/>
          <w:left w:val="single" w:color="345D9D" w:sz="18"/>
          <w:bottom w:val="single" w:color="EEF2F8" w:sz="2"/>
          <w:right w:val="single" w:color="EEF2F8" w:sz="2"/>
          <w:insideH w:val="none"/>
          <w:insideV w:val="none"/>
        </w:tblBorders>
      </w:tblPr>
      <w:tblGrid>
        <w:gridCol w:w="9360"/>
      </w:tblGrid>
      <w:tr>
        <w:tc>
          <w:tcPr>
            <w:tcW w:type="dxa" w:w="9360"/>
            <w:shd w:fill="EEF2F8" w:val="clear"/>
            <w:tcMar>
              <w:top w:type="dxa" w:w="160"/>
              <w:left w:type="dxa" w:w="220"/>
              <w:bottom w:type="dxa" w:w="160"/>
              <w:right w:type="dxa" w:w="220"/>
            </w:tcMar>
          </w:tcPr>
          <w:p>
            <w:pPr>
              <w:spacing w:after="0" w:line="264"/>
            </w:pPr>
            <w:r>
              <w:rPr>
                <w:rFonts w:ascii="Calibri" w:cs="Calibri" w:eastAsia="Calibri" w:hAnsi="Calibri"/>
                <w:color w:val="20242B"/>
                <w:sz w:val="20"/>
                <w:szCs w:val="20"/>
              </w:rPr>
              <w:t xml:space="preserve">Esta sección existe porque es más honesto que dejarlos escondidos en el texto. </w:t>
            </w:r>
            <w:r>
              <w:rPr>
                <w:rFonts w:ascii="Calibri" w:cs="Calibri" w:eastAsia="Calibri" w:hAnsi="Calibri"/>
                <w:b/>
                <w:bCs/>
                <w:color w:val="20242B"/>
                <w:sz w:val="20"/>
                <w:szCs w:val="20"/>
              </w:rPr>
              <w:t xml:space="preserve">Nada de lo que sigue está medido.</w:t>
            </w:r>
          </w:p>
        </w:tc>
      </w:tr>
    </w:tbl>
    <w:p>
      <w:pPr>
        <w:spacing w:after="120"/>
      </w:pPr>
    </w:p>
    <w:p>
      <w:pPr>
        <w:pStyle w:val="ListParagraph"/>
        <w:numPr>
          <w:ilvl w:val="0"/>
          <w:numId w:val="9"/>
        </w:numPr>
        <w:spacing w:after="80" w:line="276"/>
      </w:pPr>
      <w:r>
        <w:rPr>
          <w:rFonts w:ascii="Calibri" w:cs="Calibri" w:eastAsia="Calibri" w:hAnsi="Calibri"/>
          <w:color w:val="20242B"/>
          <w:sz w:val="21"/>
          <w:szCs w:val="21"/>
        </w:rPr>
        <w:t xml:space="preserve">Que existe una fuente pública y gratuita con velas OHLCV de las seis criptomonedas, accesible desde Costa Rica. No se ha probado.</w:t>
      </w:r>
    </w:p>
    <w:p>
      <w:pPr>
        <w:pStyle w:val="ListParagraph"/>
        <w:numPr>
          <w:ilvl w:val="0"/>
          <w:numId w:val="9"/>
        </w:numPr>
        <w:spacing w:after="80" w:line="276"/>
      </w:pPr>
      <w:r>
        <w:rPr>
          <w:rFonts w:ascii="Calibri" w:cs="Calibri" w:eastAsia="Calibri" w:hAnsi="Calibri"/>
          <w:color w:val="20242B"/>
          <w:sz w:val="21"/>
          <w:szCs w:val="21"/>
        </w:rPr>
        <w:t xml:space="preserve">Que la ventana histórica común arranca alrededor de 2020, limitada por Solana, que es la de listado más reciente. Es una creencia, no una verificación.</w:t>
      </w:r>
    </w:p>
    <w:p>
      <w:pPr>
        <w:pStyle w:val="ListParagraph"/>
        <w:numPr>
          <w:ilvl w:val="0"/>
          <w:numId w:val="9"/>
        </w:numPr>
        <w:spacing w:after="80" w:line="276"/>
      </w:pPr>
      <w:r>
        <w:rPr>
          <w:rFonts w:ascii="Calibri" w:cs="Calibri" w:eastAsia="Calibri" w:hAnsi="Calibri"/>
          <w:color w:val="20242B"/>
          <w:sz w:val="21"/>
          <w:szCs w:val="21"/>
        </w:rPr>
        <w:t xml:space="preserve">Que en velas diarias hay alrededor de 2.000 observaciones desde 2020. Es aritmética sobre días transcurridos, no un conteo sobre datos reales.</w:t>
      </w:r>
    </w:p>
    <w:p>
      <w:pPr>
        <w:pStyle w:val="ListParagraph"/>
        <w:numPr>
          <w:ilvl w:val="0"/>
          <w:numId w:val="9"/>
        </w:numPr>
        <w:spacing w:after="80" w:line="276"/>
      </w:pPr>
      <w:r>
        <w:rPr>
          <w:rFonts w:ascii="Calibri" w:cs="Calibri" w:eastAsia="Calibri" w:hAnsi="Calibri"/>
          <w:color w:val="20242B"/>
          <w:sz w:val="21"/>
          <w:szCs w:val="21"/>
        </w:rPr>
        <w:t xml:space="preserve">Que las clases Máximo y Mínimo van a estar por debajo del 17 % cada una con una ventana de 5. Esto sí es una cota aritmética demostrable, pero el valor real será menor y no se ha medido.</w:t>
      </w:r>
    </w:p>
    <w:p>
      <w:pPr>
        <w:pStyle w:val="ListParagraph"/>
        <w:numPr>
          <w:ilvl w:val="0"/>
          <w:numId w:val="9"/>
        </w:numPr>
        <w:spacing w:after="80" w:line="276"/>
      </w:pPr>
      <w:r>
        <w:rPr>
          <w:rFonts w:ascii="Calibri" w:cs="Calibri" w:eastAsia="Calibri" w:hAnsi="Calibri"/>
          <w:color w:val="20242B"/>
          <w:sz w:val="21"/>
          <w:szCs w:val="21"/>
        </w:rPr>
        <w:t xml:space="preserve">Que existe un modelo fundacional en Hugging Face que corre en CPU en tiempo razonable para este problema. No se ha probado ninguno.</w:t>
      </w:r>
    </w:p>
    <w:p>
      <w:pPr>
        <w:pStyle w:val="ListParagraph"/>
        <w:numPr>
          <w:ilvl w:val="0"/>
          <w:numId w:val="9"/>
        </w:numPr>
        <w:spacing w:after="80" w:line="276"/>
      </w:pPr>
      <w:r>
        <w:rPr>
          <w:rFonts w:ascii="Calibri" w:cs="Calibri" w:eastAsia="Calibri" w:hAnsi="Calibri"/>
          <w:color w:val="20242B"/>
          <w:sz w:val="21"/>
          <w:szCs w:val="21"/>
        </w:rPr>
        <w:t xml:space="preserve">Que CryptoMamba depende de CUDA y es problemático en Windows. Es una sospecha, no una verificación.</w:t>
      </w:r>
    </w:p>
    <w:p>
      <w:pPr>
        <w:pStyle w:val="ListParagraph"/>
        <w:numPr>
          <w:ilvl w:val="0"/>
          <w:numId w:val="9"/>
        </w:numPr>
        <w:spacing w:after="80" w:line="276"/>
      </w:pPr>
      <w:r>
        <w:rPr>
          <w:rFonts w:ascii="Calibri" w:cs="Calibri" w:eastAsia="Calibri" w:hAnsi="Calibri"/>
          <w:color w:val="20242B"/>
          <w:sz w:val="21"/>
          <w:szCs w:val="21"/>
        </w:rPr>
        <w:t xml:space="preserve">Que las fechas de cierre semanal son los martes. Está por confirmar con el profesor.</w:t>
      </w:r>
    </w:p>
    <w:p>
      <w:pPr>
        <w:spacing w:after="140" w:line="276"/>
      </w:pPr>
      <w:r>
        <w:rPr>
          <w:rFonts w:ascii="Calibri" w:cs="Calibri" w:eastAsia="Calibri" w:hAnsi="Calibri"/>
          <w:b/>
          <w:bCs/>
          <w:color w:val="20242B"/>
          <w:sz w:val="21"/>
          <w:szCs w:val="21"/>
        </w:rPr>
        <w:t xml:space="preserve">Cada uno de estos supuestos se convierte en una medición o se retira del documento antes del cierre de la Semana 1.</w:t>
      </w:r>
    </w:p>
    <w:p>
      <w:pPr>
        <w:pStyle w:val="Heading1"/>
      </w:pPr>
      <w:r>
        <w:t xml:space="preserve">16. Glosario</w:t>
      </w:r>
    </w:p>
    <w:tbl>
      <w:tblPr>
        <w:tblW w:type="dxa" w:w="9360"/>
        <w:tblBorders>
          <w:top w:val="single" w:color="1B2A4A" w:sz="4"/>
          <w:left w:val="none"/>
          <w:bottom w:val="single" w:color="1B2A4A" w:sz="4"/>
          <w:right w:val="none"/>
          <w:insideH w:val="single" w:color="C9D3E0" w:sz="2"/>
          <w:insideV w:val="none"/>
        </w:tblBorders>
      </w:tblPr>
      <w:tblGrid>
        <w:gridCol w:w="2059"/>
        <w:gridCol w:w="7301"/>
      </w:tblGrid>
      <w:tr>
        <w:trPr>
          <w:tblHeader/>
        </w:trPr>
        <w:tc>
          <w:tcPr>
            <w:tcW w:type="dxa" w:w="2059"/>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Término</w:t>
            </w:r>
          </w:p>
        </w:tc>
        <w:tc>
          <w:tcPr>
            <w:tcW w:type="dxa" w:w="7301"/>
            <w:shd w:fill="1B2A4A"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Significado</w:t>
            </w:r>
          </w:p>
        </w:tc>
      </w:tr>
      <w:tr>
        <w:tc>
          <w:tcPr>
            <w:tcW w:type="dxa" w:w="2059"/>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Vela (candle)</w:t>
            </w:r>
          </w:p>
        </w:tc>
        <w:tc>
          <w:tcPr>
            <w:tcW w:type="dxa" w:w="7301"/>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Una observación de precio agrupada en un intervalo de tiempo — un día, una hora. Trae apertura, máximo, mínimo, cierre y volumen. Nosotros usamos el cierre.</w:t>
            </w:r>
          </w:p>
        </w:tc>
      </w:tr>
      <w:tr>
        <w:tc>
          <w:tcPr>
            <w:tcW w:type="dxa" w:w="2059"/>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OHLCV</w:t>
            </w:r>
          </w:p>
        </w:tc>
        <w:tc>
          <w:tcPr>
            <w:tcW w:type="dxa" w:w="7301"/>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Apertura, máximo, mínimo, cierre y volumen. Los cinco campos de una vela.</w:t>
            </w:r>
          </w:p>
        </w:tc>
      </w:tr>
      <w:tr>
        <w:tc>
          <w:tcPr>
            <w:tcW w:type="dxa" w:w="2059"/>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Etiqueta</w:t>
            </w:r>
          </w:p>
        </w:tc>
        <w:tc>
          <w:tcPr>
            <w:tcW w:type="dxa" w:w="7301"/>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La respuesta correcta que el modelo debe aprender a dar. Acá: Máximo, Mínimo o Continuidad.</w:t>
            </w:r>
          </w:p>
        </w:tc>
      </w:tr>
      <w:tr>
        <w:tc>
          <w:tcPr>
            <w:tcW w:type="dxa" w:w="2059"/>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Serie estacionaria</w:t>
            </w:r>
          </w:p>
        </w:tc>
        <w:tc>
          <w:tcPr>
            <w:tcW w:type="dxa" w:w="7301"/>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Una serie cuyas propiedades estadísticas no cambian con el tiempo. Los precios de cripto no lo son, y ese es parte del problema.</w:t>
            </w:r>
          </w:p>
        </w:tc>
      </w:tr>
      <w:tr>
        <w:tc>
          <w:tcPr>
            <w:tcW w:type="dxa" w:w="2059"/>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Heterocedasticidad</w:t>
            </w:r>
          </w:p>
        </w:tc>
        <w:tc>
          <w:tcPr>
            <w:tcW w:type="dxa" w:w="7301"/>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Que la volatilidad no sea constante. Hay períodos tranquilos y períodos agitados.</w:t>
            </w:r>
          </w:p>
        </w:tc>
      </w:tr>
      <w:tr>
        <w:tc>
          <w:tcPr>
            <w:tcW w:type="dxa" w:w="2059"/>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Clases desbalanceadas</w:t>
            </w:r>
          </w:p>
        </w:tc>
        <w:tc>
          <w:tcPr>
            <w:tcW w:type="dxa" w:w="7301"/>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Cuando una etiqueta aparece muchísimo más que las otras. Rompe la exactitud como medida de calidad.</w:t>
            </w:r>
          </w:p>
        </w:tc>
      </w:tr>
      <w:tr>
        <w:tc>
          <w:tcPr>
            <w:tcW w:type="dxa" w:w="2059"/>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F1-Score</w:t>
            </w:r>
          </w:p>
        </w:tc>
        <w:tc>
          <w:tcPr>
            <w:tcW w:type="dxa" w:w="7301"/>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Medida que combina cuántos de los giros anunciados eran de verdad giros con cuántos de los giros reales logramos anunciar. No se deja engañar por el desbalance.</w:t>
            </w:r>
          </w:p>
        </w:tc>
      </w:tr>
      <w:tr>
        <w:tc>
          <w:tcPr>
            <w:tcW w:type="dxa" w:w="2059"/>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F1 macro</w:t>
            </w:r>
          </w:p>
        </w:tc>
        <w:tc>
          <w:tcPr>
            <w:tcW w:type="dxa" w:w="7301"/>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El promedio del F1 de las tres clases, dando a cada una el mismo peso. Es duro con los modelos que ignoran las clases raras, que es justo lo que queremos.</w:t>
            </w:r>
          </w:p>
        </w:tc>
      </w:tr>
      <w:tr>
        <w:tc>
          <w:tcPr>
            <w:tcW w:type="dxa" w:w="2059"/>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Baseline trivial</w:t>
            </w:r>
          </w:p>
        </w:tc>
        <w:tc>
          <w:tcPr>
            <w:tcW w:type="dxa" w:w="7301"/>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Un modelo tonto que siempre responde lo mismo. Sirve como piso: si no lo superamos, no tenemos nada.</w:t>
            </w:r>
          </w:p>
        </w:tc>
      </w:tr>
      <w:tr>
        <w:tc>
          <w:tcPr>
            <w:tcW w:type="dxa" w:w="2059"/>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Fuga de información</w:t>
            </w:r>
          </w:p>
        </w:tc>
        <w:tc>
          <w:tcPr>
            <w:tcW w:type="dxa" w:w="7301"/>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Cuando el modelo recibe sin querer información del futuro que en la práctica no tendría. Produce resultados excelentes y falsos.</w:t>
            </w:r>
          </w:p>
        </w:tc>
      </w:tr>
      <w:tr>
        <w:tc>
          <w:tcPr>
            <w:tcW w:type="dxa" w:w="2059"/>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Modelo fundacional</w:t>
            </w:r>
          </w:p>
        </w:tc>
        <w:tc>
          <w:tcPr>
            <w:tcW w:type="dxa" w:w="7301"/>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Un modelo grande preentrenado sobre muchísimas series de tiempo, que se puede usar sin entrenarlo desde cero.</w:t>
            </w:r>
          </w:p>
        </w:tc>
      </w:tr>
      <w:tr>
        <w:tc>
          <w:tcPr>
            <w:tcW w:type="dxa" w:w="2059"/>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Contrato congelado</w:t>
            </w:r>
          </w:p>
        </w:tc>
        <w:tc>
          <w:tcPr>
            <w:tcW w:type="dxa" w:w="7301"/>
            <w:shd w:fill="FFFFFF"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Una definición acordada que varios módulos consumen y que nadie cambia por su cuenta.</w:t>
            </w:r>
          </w:p>
        </w:tc>
      </w:tr>
      <w:tr>
        <w:tc>
          <w:tcPr>
            <w:tcW w:type="dxa" w:w="2059"/>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Mock (dato falso)</w:t>
            </w:r>
          </w:p>
        </w:tc>
        <w:tc>
          <w:tcPr>
            <w:tcW w:type="dxa" w:w="7301"/>
            <w:shd w:fill="F7F9FC" w:val="clear"/>
            <w:tcMar>
              <w:top w:type="dxa" w:w="90"/>
              <w:left w:type="dxa" w:w="130"/>
              <w:bottom w:type="dxa" w:w="90"/>
              <w:right w:type="dxa" w:w="130"/>
            </w:tcMar>
            <w:vAlign w:val="top"/>
          </w:tcPr>
          <w:p>
            <w:pPr>
              <w:spacing w:after="0" w:line="252"/>
            </w:pPr>
            <w:r>
              <w:rPr>
                <w:rFonts w:ascii="Calibri" w:cs="Calibri" w:eastAsia="Calibri" w:hAnsi="Calibri"/>
                <w:color w:val="20242B"/>
                <w:sz w:val="19"/>
                <w:szCs w:val="19"/>
              </w:rPr>
              <w:t xml:space="preserve">Una versión simulada de algo que todavía no existe, para poder trabajar sin esperar a que exista.</w:t>
            </w:r>
          </w:p>
        </w:tc>
      </w:tr>
    </w:tbl>
    <w:p>
      <w:pPr>
        <w:spacing w:after="240"/>
      </w:pPr>
    </w:p>
    <w:p>
      <w:pPr>
        <w:pBdr>
          <w:top w:val="single" w:color="C9D3E0" w:sz="6" w:space="10"/>
        </w:pBdr>
        <w:spacing w:before="300"/>
      </w:pPr>
      <w:r>
        <w:rPr>
          <w:rFonts w:ascii="Calibri" w:cs="Calibri" w:eastAsia="Calibri" w:hAnsi="Calibri"/>
          <w:i/>
          <w:iCs/>
          <w:color w:val="5A6675"/>
          <w:sz w:val="19"/>
          <w:szCs w:val="19"/>
        </w:rPr>
        <w:t xml:space="preserve">Este documento se actualiza. Si algo cambia, cambia acá primero y después en el código.</w:t>
      </w:r>
    </w:p>
    <w:sectPr>
      <w:headerReference w:type="default" r:id="rId7"/>
      <w:headerReference w:type="first" r:id="rId8"/>
      <w:footerReference w:type="default" r:id="rId9"/>
      <w:footerReference w:type="first" r:id="rId10"/>
      <w:pgSz w:w="12240" w:h="15840" w:orient="portrait"/>
      <w:pgMar w:top="1440" w:right="1440" w:bottom="1440" w:left="1440" w:header="7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675"/>
        <w:sz w:val="17"/>
        <w:szCs w:val="17"/>
      </w:rPr>
      <w:t xml:space="preserve">Caso N.º 1 — Señales y Sistemas</w:t>
    </w:r>
    <w:r>
      <w:rPr>
        <w:sz w:val="17"/>
        <w:szCs w:val="17"/>
      </w:rPr>
      <w:t xml:space="preserve">	</w:t>
    </w:r>
    <w:r>
      <w:rPr>
        <w:rFonts w:ascii="Calibri" w:cs="Calibri" w:eastAsia="Calibri" w:hAnsi="Calibri"/>
        <w:color w:val="5A6675"/>
        <w:sz w:val="17"/>
        <w:szCs w:val="17"/>
      </w:rPr>
      <w:t xml:space="preserve">Página </w:t>
    </w:r>
    <w:r>
      <w:rPr>
        <w:rFonts w:ascii="Calibri" w:cs="Calibri" w:eastAsia="Calibri" w:hAnsi="Calibri"/>
        <w:b/>
        <w:bCs/>
        <w:color w:val="1B2A4A"/>
        <w:sz w:val="17"/>
        <w:szCs w:val="17"/>
      </w:rPr>
      <w:fldChar w:fldCharType="begin"/>
      <w:instrText xml:space="preserve">PAGE</w:instrText>
      <w:fldChar w:fldCharType="separate"/>
      <w:fldChar w:fldCharType="end"/>
    </w:r>
    <w:r>
      <w:rPr>
        <w:rFonts w:ascii="Calibri" w:cs="Calibri" w:eastAsia="Calibri" w:hAnsi="Calibri"/>
        <w:color w:val="5A6675"/>
        <w:sz w:val="17"/>
        <w:szCs w:val="17"/>
      </w:rPr>
      <w:t xml:space="preserve"> de </w:t>
    </w:r>
    <w:r>
      <w:rPr>
        <w:rFonts w:ascii="Calibri" w:cs="Calibri" w:eastAsia="Calibri" w:hAnsi="Calibri"/>
        <w:color w:val="5A6675"/>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0" w:sz="4" w:space="6"/>
      </w:pBdr>
      <w:jc w:val="right"/>
    </w:pPr>
    <w:r>
      <w:rPr>
        <w:rFonts w:ascii="Calibri" w:cs="Calibri" w:eastAsia="Calibri" w:hAnsi="Calibri"/>
        <w:color w:val="5A6675"/>
        <w:sz w:val="17"/>
        <w:szCs w:val="17"/>
      </w:rPr>
      <w:t xml:space="preserve">PRD · Pronóstico de Puntos de Inflexión en LTC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345D9D"/>
      </w:rPr>
    </w:lvl>
  </w:abstractNum>
  <w:abstractNum w:abstractNumId="3" w15:restartNumberingAfterBreak="0">
    <w:multiLevelType w:val="hybridMultilevel"/>
    <w:lvl w:ilvl="0" w15:tentative="1">
      <w:start w:val="1"/>
      <w:numFmt w:val="decimal"/>
      <w:lvlText w:val="%1."/>
      <w:lvlJc w:val="left"/>
      <w:pPr>
        <w:ind w:left="460" w:hanging="260"/>
      </w:pPr>
      <w:rPr>
        <w:b/>
        <w:bCs/>
        <w:color w:val="345D9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42B"/>
        <w:sz w:val="21"/>
        <w:szCs w:val="21"/>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345D9D" w:sz="6" w:space="6"/>
      </w:pBdr>
      <w:spacing w:after="180" w:before="400"/>
    </w:pPr>
    <w:rPr>
      <w:rFonts w:ascii="Calibri" w:cs="Calibri" w:eastAsia="Calibri" w:hAnsi="Calibri"/>
      <w:b/>
      <w:bCs/>
      <w:color w:val="1B2A4A"/>
      <w:sz w:val="32"/>
      <w:szCs w:val="32"/>
    </w:rPr>
  </w:style>
  <w:style w:type="paragraph" w:styleId="Heading2">
    <w:name w:val="Heading 2"/>
    <w:basedOn w:val="Normal"/>
    <w:next w:val="Normal"/>
    <w:qFormat/>
    <w:pPr>
      <w:spacing w:after="120" w:before="300"/>
    </w:pPr>
    <w:rPr>
      <w:rFonts w:ascii="Calibri" w:cs="Calibri" w:eastAsia="Calibri" w:hAnsi="Calibri"/>
      <w:b/>
      <w:bCs/>
      <w:color w:val="345D9D"/>
      <w:sz w:val="25"/>
      <w:szCs w:val="25"/>
    </w:rPr>
  </w:style>
  <w:style w:type="paragraph" w:styleId="Heading3">
    <w:name w:val="Heading 3"/>
    <w:basedOn w:val="Normal"/>
    <w:next w:val="Normal"/>
    <w:qFormat/>
    <w:pPr>
      <w:spacing w:after="100" w:before="240"/>
    </w:pPr>
    <w:rPr>
      <w:rFonts w:ascii="Calibri" w:cs="Calibri" w:eastAsia="Calibri" w:hAnsi="Calibri"/>
      <w:b/>
      <w:bCs/>
      <w:color w:val="1B2A4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Sistema de Pronóstico de Puntos de Inflexión en LTC</dc:title>
  <dc:creator>Fabrizio Espinoza Arce</dc:creator>
  <dc:description>Documento de Requisitos de Producto — Caso N.º 1, Señales y Sistemas</dc:description>
  <cp:lastModifiedBy>Un-named</cp:lastModifiedBy>
  <cp:revision>1</cp:revision>
  <dcterms:created xsi:type="dcterms:W3CDTF">2026-08-05T22:56:27.512Z</dcterms:created>
  <dcterms:modified xsi:type="dcterms:W3CDTF">2026-08-05T22:56:27.514Z</dcterms:modified>
</cp:coreProperties>
</file>

<file path=docProps/custom.xml><?xml version="1.0" encoding="utf-8"?>
<Properties xmlns="http://schemas.openxmlformats.org/officeDocument/2006/custom-properties" xmlns:vt="http://schemas.openxmlformats.org/officeDocument/2006/docPropsVTypes"/>
</file>