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300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404040"/>
          <w:sz w:val="60"/>
          <w:szCs w:val="60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60"/>
          <w:szCs w:val="60"/>
          <w:rtl w:val="0"/>
          <w:lang w:val="en-US"/>
          <w14:textFill>
            <w14:solidFill>
              <w14:srgbClr w14:val="404040"/>
            </w14:solidFill>
          </w14:textFill>
        </w:rPr>
        <w:t>ThreadPoolExecutor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合理的使用线程池的好处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降低资源消耗：通过重用已经创建的线程来降低线程创建和销毁的消耗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提高响应速度：任务到达时不需要等待线程创建就可以立即执行。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提高线程的可管理性：线程池可以统一管理、分配、调优和监控。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  <w:lang w:val="en-US"/>
        </w:rPr>
        <w:t>ThreadPoolExecutor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实现原理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step1.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</w:t>
      </w:r>
      <w:r>
        <w:rPr>
          <w:rFonts w:ascii="Helvetica Neue" w:hAnsi="Helvetica Neue" w:eastAsia="Arial Unicode MS"/>
          <w:rtl w:val="0"/>
          <w:lang w:val="en-US"/>
        </w:rPr>
        <w:t>ThreadPoolExecutor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execute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提交线程，首先检查</w:t>
      </w:r>
      <w:r>
        <w:rPr>
          <w:rFonts w:ascii="Helvetica Neue" w:hAnsi="Helvetica Neue" w:eastAsia="Arial Unicode MS"/>
          <w:rtl w:val="0"/>
          <w:lang w:val="en-US"/>
        </w:rPr>
        <w:t>CorePool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，如果</w:t>
      </w:r>
      <w:r>
        <w:rPr>
          <w:rFonts w:ascii="Helvetica Neue" w:hAnsi="Helvetica Neue" w:eastAsia="Arial Unicode MS"/>
          <w:rtl w:val="0"/>
          <w:lang w:val="en-US"/>
        </w:rPr>
        <w:t>CorePool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内的线程小于</w:t>
      </w:r>
      <w:r>
        <w:rPr>
          <w:rFonts w:ascii="Helvetica Neue" w:hAnsi="Helvetica Neue" w:eastAsia="Arial Unicode MS"/>
          <w:rtl w:val="0"/>
          <w:lang w:val="en-US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，新创建线程执行任务。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step2.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如果当前</w:t>
      </w:r>
      <w:r>
        <w:rPr>
          <w:rFonts w:ascii="Helvetica Neue" w:hAnsi="Helvetica Neue" w:eastAsia="Arial Unicode MS"/>
          <w:rtl w:val="0"/>
          <w:lang w:val="en-US"/>
        </w:rPr>
        <w:t>CorePool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内的线程大于等于</w:t>
      </w:r>
      <w:r>
        <w:rPr>
          <w:rFonts w:ascii="Helvetica Neue" w:hAnsi="Helvetica Neue" w:eastAsia="Arial Unicode MS"/>
          <w:rtl w:val="0"/>
          <w:lang w:val="en-US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，那么将线程加入到</w:t>
      </w:r>
      <w:r>
        <w:rPr>
          <w:rFonts w:ascii="Helvetica Neue" w:hAnsi="Helvetica Neue" w:eastAsia="Arial Unicode MS"/>
          <w:rtl w:val="0"/>
          <w:lang w:val="en-US"/>
        </w:rPr>
        <w:t>BlockingQueue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step3.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如果不能加入</w:t>
      </w:r>
      <w:r>
        <w:rPr>
          <w:rFonts w:ascii="Helvetica Neue" w:hAnsi="Helvetica Neue" w:eastAsia="Arial Unicode MS"/>
          <w:rtl w:val="0"/>
          <w:lang w:val="en-US"/>
        </w:rPr>
        <w:t>BlockingQueue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，在小于</w:t>
      </w:r>
      <w:r>
        <w:rPr>
          <w:rFonts w:ascii="Helvetica Neue" w:hAnsi="Helvetica Neue" w:eastAsia="Arial Unicode MS"/>
          <w:rtl w:val="0"/>
          <w:lang w:val="nl-NL"/>
        </w:rPr>
        <w:t>MaxPoolSize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的情况下创建线程执行任务。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step4.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如果线程数大于等于</w:t>
      </w:r>
      <w:r>
        <w:rPr>
          <w:rFonts w:ascii="Helvetica Neue" w:hAnsi="Helvetica Neue" w:eastAsia="Arial Unicode MS"/>
          <w:rtl w:val="0"/>
          <w:lang w:val="nl-NL"/>
        </w:rPr>
        <w:t>MaxPoolSize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，那么执行拒绝策略。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</w:t>
      </w:r>
      <w:r>
        <w:rPr>
          <w:rFonts w:ascii="Helvetica Neue" w:hAnsi="Helvetica Neue" w:eastAsia="Arial Unicode MS"/>
          <w:rtl w:val="0"/>
          <w:lang w:val="en-US"/>
        </w:rPr>
        <w:t>ThreadPoolExecutor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构建参数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corePoolSize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核心线程池大小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maximumPoolSize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线程池最大容量大小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keepAliveTime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线程池空闲时，线程存活的时间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TimeUnit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时间单位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ThreadFactory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线程工厂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BlockingQueue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任务队列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RejectedExecutionHandler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线程拒绝策略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四、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关键知识点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rPr>
          <w:rFonts w:ascii="Helvetica Neue" w:hAnsi="Helvetica Neue" w:eastAsia="Arial Unicode MS"/>
          <w:rtl w:val="0"/>
          <w:lang w:val="nl-NL"/>
        </w:rPr>
        <w:t>maximumPoolSize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的区别：这个概念很重要，</w:t>
      </w:r>
      <w:r>
        <w:rPr>
          <w:rFonts w:ascii="Helvetica Neue" w:hAnsi="Helvetica Neue" w:eastAsia="Arial Unicode MS"/>
          <w:rtl w:val="0"/>
          <w:lang w:val="nl-NL"/>
        </w:rPr>
        <w:t>maximumPoolSize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为线程池最大容量，也就是说线程池最多能起多少</w:t>
      </w:r>
      <w:r>
        <w:rPr>
          <w:rFonts w:ascii="Helvetica Neue" w:hAnsi="Helvetica Neue" w:eastAsia="Arial Unicode MS"/>
          <w:rtl w:val="0"/>
          <w:lang w:val="en-US"/>
        </w:rPr>
        <w:t>Worker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是核心线程池的大小，当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满了时，同时</w:t>
      </w:r>
      <w:r>
        <w:rPr>
          <w:rFonts w:ascii="Helvetica Neue" w:hAnsi="Helvetica Neue" w:eastAsia="Arial Unicode MS"/>
          <w:rtl w:val="0"/>
          <w:lang w:val="en-US"/>
        </w:rPr>
        <w:t>workQueue full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fr-FR"/>
        </w:rPr>
        <w:t>ArrayBolckQueue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是可能满的）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那么此时允许新建</w:t>
      </w:r>
      <w:r>
        <w:rPr>
          <w:rFonts w:ascii="Helvetica Neue" w:hAnsi="Helvetica Neue" w:eastAsia="Arial Unicode MS"/>
          <w:rtl w:val="0"/>
          <w:lang w:val="en-US"/>
        </w:rPr>
        <w:t>Worker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去处理</w:t>
      </w:r>
      <w:r>
        <w:rPr>
          <w:rFonts w:ascii="Helvetica Neue" w:hAnsi="Helvetica Neue" w:eastAsia="Arial Unicode MS"/>
          <w:rtl w:val="0"/>
          <w:lang w:val="de-DE"/>
        </w:rPr>
        <w:t>workQueue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hAnsi="Helvetica Neue" w:eastAsia="Arial Unicode MS"/>
          <w:rtl w:val="0"/>
          <w:lang w:val="de-DE"/>
        </w:rPr>
        <w:t>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，但是不能超过</w:t>
      </w:r>
      <w:r>
        <w:rPr>
          <w:rFonts w:ascii="Helvetica Neue" w:hAnsi="Helvetica Neue" w:eastAsia="Arial Unicode MS"/>
          <w:rtl w:val="0"/>
          <w:lang w:val="nl-NL"/>
        </w:rPr>
        <w:t>maximumPoolSize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。超过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之外的线程会在空闲超时后终止。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任务执行顺序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、当线程数小于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时，创建线程执行任务。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、当线程数大于等于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 xml:space="preserve">workQueue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没有满时，放入</w:t>
      </w:r>
      <w:r>
        <w:rPr>
          <w:rFonts w:ascii="Helvetica Neue" w:hAnsi="Helvetica Neue" w:eastAsia="Arial Unicode MS"/>
          <w:rtl w:val="0"/>
          <w:lang w:val="de-DE"/>
        </w:rPr>
        <w:t>workQueue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、线程数大于等于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corePoolSize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并且当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 xml:space="preserve">workQueue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满时，新任务新建线程运行，线程总数要小于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nl-NL"/>
        </w:rPr>
        <w:t>maximumPoolSize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、当线程总数等于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nl-NL"/>
        </w:rPr>
        <w:t xml:space="preserve">maximumPoolSize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 xml:space="preserve">workQueue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满了的时候执行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handler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rejectedExecution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。也就是拒绝策略。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心得：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在批处理中可以适当引入多线程处理来加速整体处理效率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大标题"/>
        <w:jc w:val="center"/>
      </w:pPr>
      <w:r>
        <w:rPr>
          <w:rtl w:val="0"/>
          <w:lang w:val="en-US"/>
        </w:rPr>
        <w:t>Spring AOP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一、关键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概念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切入点（</w:t>
      </w:r>
      <w:r>
        <w:rPr>
          <w:rFonts w:ascii="Helvetica Neue" w:hAnsi="Helvetica Neue" w:eastAsia="Arial Unicode MS"/>
          <w:rtl w:val="0"/>
          <w:lang w:val="en-US"/>
        </w:rPr>
        <w:t>Pointcut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在哪些类，哪些方法上切入（</w:t>
      </w:r>
      <w:r>
        <w:rPr>
          <w:rFonts w:ascii="Helvetica Neue" w:hAnsi="Helvetica Neue" w:eastAsia="Arial Unicode MS"/>
          <w:rtl w:val="0"/>
          <w:lang w:val="en-US"/>
        </w:rPr>
        <w:t>where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通知（</w:t>
      </w:r>
      <w:r>
        <w:rPr>
          <w:rFonts w:ascii="Helvetica Neue" w:hAnsi="Helvetica Neue" w:eastAsia="Arial Unicode MS"/>
          <w:rtl w:val="0"/>
          <w:lang w:val="en-US"/>
        </w:rPr>
        <w:t>Advice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在方法执行的什么实际（</w:t>
      </w:r>
      <w:r>
        <w:rPr>
          <w:rFonts w:ascii="Helvetica Neue" w:hAnsi="Helvetica Neue" w:eastAsia="Arial Unicode MS"/>
          <w:rtl w:val="0"/>
          <w:lang w:val="en-US"/>
        </w:rPr>
        <w:t>when: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方法前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方法后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方法前后）做什么（</w:t>
      </w:r>
      <w:r>
        <w:rPr>
          <w:rFonts w:ascii="Helvetica Neue" w:hAnsi="Helvetica Neue" w:eastAsia="Arial Unicode MS"/>
          <w:rtl w:val="0"/>
          <w:lang w:val="en-US"/>
        </w:rPr>
        <w:t>what: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增强的功能）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切面（</w:t>
      </w:r>
      <w:r>
        <w:rPr>
          <w:rFonts w:ascii="Helvetica Neue" w:hAnsi="Helvetica Neue" w:eastAsia="Arial Unicode MS"/>
          <w:rtl w:val="0"/>
          <w:lang w:val="fr-FR"/>
        </w:rPr>
        <w:t>Aspect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切面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切入点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通知，通俗点就是：在什么时机，什么地方，做什么增强！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织入（</w:t>
      </w:r>
      <w:r>
        <w:rPr>
          <w:rFonts w:ascii="Helvetica Neue" w:hAnsi="Helvetica Neue" w:eastAsia="Arial Unicode MS"/>
          <w:rtl w:val="0"/>
          <w:lang w:val="en-US"/>
        </w:rPr>
        <w:t>Weaving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把切面加入到对象，并创建出代理对象的过程。（由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Spring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来完成）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二、可创建的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注解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351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rtl w:val="0"/>
                <w:lang w:val="en-US"/>
              </w:rPr>
              <w:t>@Before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rtl w:val="0"/>
              </w:rPr>
              <w:t xml:space="preserve">前置通知，在连接点方法前调用 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rtl w:val="0"/>
                <w:lang w:val="en-US"/>
              </w:rPr>
              <w:t>@Around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rtl w:val="0"/>
              </w:rPr>
              <w:t>环绕通知，它将覆盖原有方法，但是允许你通过反射调用原有方法，后面会讲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rtl w:val="0"/>
                <w:lang w:val="en-US"/>
              </w:rPr>
              <w:t>@After</w:t>
            </w:r>
            <w:r>
              <w:rPr>
                <w:rFonts w:ascii="Times Roman" w:hAnsi="Times Roman"/>
                <w:rtl w:val="0"/>
              </w:rPr>
              <w:t xml:space="preserve">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rtl w:val="0"/>
              </w:rPr>
              <w:t xml:space="preserve">后置通知，在连接点方法后调用 </w:t>
            </w:r>
          </w:p>
        </w:tc>
      </w:tr>
      <w:tr>
        <w:tblPrEx>
          <w:shd w:val="clear" w:color="auto" w:fill="auto"/>
        </w:tblPrEx>
        <w:trPr>
          <w:trHeight w:val="102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rtl w:val="0"/>
                <w:lang w:val="en-US"/>
              </w:rPr>
              <w:t>@AfterReturning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rtl w:val="0"/>
              </w:rPr>
              <w:t>返回通知，在连接点方法执行并正常返回后调用，要求连接点方法在执行过程中没有发生异常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rtl w:val="0"/>
                <w:lang w:val="en-US"/>
              </w:rPr>
              <w:t>@AfterThrowing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Roman" w:hint="eastAsia"/>
                <w:rtl w:val="0"/>
              </w:rPr>
              <w:t>异常通知，当连接点方法异常时调用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切点指示符</w:t>
      </w:r>
    </w:p>
    <w:p>
      <w:pPr>
        <w:pStyle w:val="正文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8"/>
        <w:gridCol w:w="3491"/>
        <w:gridCol w:w="485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切点指示符</w:t>
            </w: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样例</w:t>
            </w:r>
          </w:p>
        </w:tc>
      </w:tr>
      <w:tr>
        <w:tblPrEx>
          <w:shd w:val="clear" w:color="auto" w:fill="auto"/>
        </w:tblPrEx>
        <w:trPr>
          <w:trHeight w:val="2828" w:hRule="atLeast"/>
        </w:trPr>
        <w:tc>
          <w:tcPr>
            <w:tcW w:type="dxa" w:w="128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execution</w:t>
            </w:r>
          </w:p>
        </w:tc>
        <w:tc>
          <w:tcPr>
            <w:tcW w:type="dxa" w:w="34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用来匹配方法签名，方法签名使用全限定名，包括访问修饰符（</w:t>
            </w:r>
            <w:r>
              <w:rPr>
                <w:rFonts w:ascii="Helvetica Neue" w:cs="Arial Unicode MS" w:hAnsi="Helvetica Neue" w:eastAsia="Arial Unicode MS"/>
                <w:rtl w:val="0"/>
              </w:rPr>
              <w:t>public/private/protected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）、返回类型，包名、类名、方法名、参数，其中返回类型，包名，类名，方法，参数是必须的</w:t>
            </w:r>
          </w:p>
        </w:tc>
        <w:tc>
          <w:tcPr>
            <w:tcW w:type="dxa" w:w="485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全限定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@Pointcut("execution(public String org.baeldung.dao.FooDao.findById(Long))")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通配符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@Pointcut("execution(* org.baeldung.dao.FooDao.*(..))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全限定参数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@Pointcut("execution(* *..find*(Long))")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参数通配符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@Pointcut("execution(* *..find*(Long,..))")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172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within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@within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用来限定连接点属于某个确定类型的类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1.@Pointcut("within(org.baeldung.dao.FooDao)")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2.@Pointcut(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within(org.baeldung..*)")</w:t>
            </w:r>
          </w:p>
          <w:p>
            <w:pPr>
              <w:pStyle w:val="表格样式 2"/>
              <w:bidi w:val="0"/>
            </w:pP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1.@Pointcut("@within(org.springframework.stereotype.Repository)")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等效于</w:t>
            </w:r>
            <w:r>
              <w:rPr>
                <w:rFonts w:ascii="Helvetica Neue" w:cs="Arial Unicode MS" w:hAnsi="Helvetica Neue" w:eastAsia="Arial Unicode MS"/>
                <w:rtl w:val="0"/>
              </w:rPr>
              <w:t>@Pointcut("within(@org.springframework.stereotype.Repository *)")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this</w:t>
            </w: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用来匹配的连接点所属的对象引用是某个特定类型的实现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@Pointcut("this(org.baeldung.service.FooServiceImpl)")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target</w:t>
            </w: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用来匹配的连接点所属目标对象为</w:t>
            </w:r>
            <w:r>
              <w:rPr>
                <w:rFonts w:ascii="Helvetica Neue" w:cs="Arial Unicode MS" w:hAnsi="Helvetica Neue" w:eastAsia="Arial Unicode MS"/>
                <w:rtl w:val="0"/>
              </w:rPr>
              <w:t>interface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@Pointcut("target(org.baeldung.service.FooService)")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@Target</w:t>
            </w: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匹配连接点所属的目标对象的类有一个指定的注解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@Pointcut("@target(org.springframework.stereotype.Repository)")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2881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@args</w:t>
            </w: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匹配连接点的参数的，</w:t>
            </w:r>
            <w:r>
              <w:rPr>
                <w:rFonts w:ascii="Helvetica Neue" w:cs="Arial Unicode MS" w:hAnsi="Helvetica Neue" w:eastAsia="Arial Unicode MS"/>
                <w:rtl w:val="0"/>
              </w:rPr>
              <w:t>@args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指出连接点在运行时传过来的参数的类必须要有指定的注解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@Pointcut("@args(org.baeldung.aop.annotations.Entity)")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 void methodsAcceptingEntities() {}</w:t>
            </w:r>
          </w:p>
          <w:p>
            <w:pPr>
              <w:pStyle w:val="表格样式 2"/>
              <w:bidi w:val="0"/>
            </w:pP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@Before("methodsAcceptingEntities()")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 void logMethodAcceptionEntityAnnotatedBean(JoinPoint jp) {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logger.info("Accepting beans with @Entity annotation: " + jp.getArgs()[0]);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1007" w:hRule="atLeast"/>
        </w:trPr>
        <w:tc>
          <w:tcPr>
            <w:tcW w:type="dxa" w:w="1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@annotation</w:t>
            </w:r>
          </w:p>
        </w:tc>
        <w:tc>
          <w:tcPr>
            <w:tcW w:type="dxa" w:w="3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匹配那些有指定注解的连接点</w:t>
            </w:r>
          </w:p>
        </w:tc>
        <w:tc>
          <w:tcPr>
            <w:tcW w:type="dxa" w:w="4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假设有</w:t>
            </w:r>
            <w:r>
              <w:rPr>
                <w:rFonts w:ascii="Helvetica Neue" w:cs="Arial Unicode MS" w:hAnsi="Helvetica Neue" w:eastAsia="Arial Unicode MS"/>
                <w:rtl w:val="0"/>
              </w:rPr>
              <w:t>@Loggable</w:t>
            </w:r>
          </w:p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@Pointcut("@annotation(org.baeldung.aop.annotations.Loggable)")</w:t>
            </w:r>
          </w:p>
          <w:p>
            <w:pPr>
              <w:pStyle w:val="表格样式 2"/>
              <w:bidi w:val="0"/>
            </w:pP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切点表达式组合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可以使用</w:t>
      </w:r>
      <w:r>
        <w:rPr>
          <w:rFonts w:ascii="Helvetica Neue" w:hAnsi="Helvetica Neue" w:eastAsia="Arial Unicode MS"/>
          <w:rtl w:val="0"/>
        </w:rPr>
        <w:t>&amp;&amp;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</w:rPr>
        <w:t>||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ru-RU"/>
        </w:rPr>
        <w:t>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、三种运算符来组合切点表达式，表示与或非的关系。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@Pointcut("@target(org.springframework.stereotype.Repository)")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public void repositoryMethods() {}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@Pointcut("execution(* *..create*(Long,..))")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public void firstLongParamMethods() {}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@Pointcut("repositoryMethods() &amp;&amp; firstLongParamMethods()")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public void entityCreationMethods() {}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心得：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AOP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能够将那些与业务无关，却为业务模块所共同调用的逻辑或责任（例如事务处理、日志管理、权限控制等）封装起来，便于减少系统的重复代码，降低模块间的耦合度，并有利于未来的可拓展性和可维护性。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